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line="1188" w:lineRule="exact"/>
        <w:ind w:left="249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3147914" cy="75437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147914" cy="754379"/>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7"/>
        <w:rPr>
          <w:rFonts w:ascii="Times New Roman" w:hAnsi="Times New Roman" w:cs="Times New Roman" w:eastAsia="Times New Roman" w:hint="default"/>
          <w:sz w:val="21"/>
          <w:szCs w:val="21"/>
        </w:rPr>
      </w:pPr>
    </w:p>
    <w:p>
      <w:pPr>
        <w:spacing w:line="585" w:lineRule="exact" w:before="0"/>
        <w:ind w:left="150" w:right="150" w:firstLine="0"/>
        <w:jc w:val="center"/>
        <w:rPr>
          <w:rFonts w:ascii="Microsoft JhengHei" w:hAnsi="Microsoft JhengHei" w:cs="Microsoft JhengHei" w:eastAsia="Microsoft JhengHei" w:hint="default"/>
          <w:sz w:val="48"/>
          <w:szCs w:val="48"/>
        </w:rPr>
      </w:pPr>
      <w:r>
        <w:rPr>
          <w:rFonts w:ascii="Microsoft JhengHei" w:hAnsi="Microsoft JhengHei" w:cs="Microsoft JhengHei" w:eastAsia="Microsoft JhengHei" w:hint="default"/>
          <w:b/>
          <w:bCs/>
          <w:sz w:val="48"/>
          <w:szCs w:val="48"/>
        </w:rPr>
        <w:t>光一科技股份有限公司</w:t>
      </w:r>
      <w:r>
        <w:rPr>
          <w:rFonts w:ascii="Microsoft JhengHei" w:hAnsi="Microsoft JhengHei" w:cs="Microsoft JhengHei" w:eastAsia="Microsoft JhengHei" w:hint="default"/>
          <w:sz w:val="48"/>
          <w:szCs w:val="48"/>
        </w:rPr>
      </w:r>
    </w:p>
    <w:p>
      <w:pPr>
        <w:spacing w:before="392"/>
        <w:ind w:left="150" w:right="150" w:firstLine="0"/>
        <w:jc w:val="center"/>
        <w:rPr>
          <w:rFonts w:ascii="Microsoft JhengHei" w:hAnsi="Microsoft JhengHei" w:cs="Microsoft JhengHei" w:eastAsia="Microsoft JhengHei" w:hint="default"/>
          <w:sz w:val="48"/>
          <w:szCs w:val="48"/>
        </w:rPr>
      </w:pPr>
      <w:r>
        <w:rPr>
          <w:rFonts w:ascii="Calibri" w:hAnsi="Calibri" w:cs="Calibri" w:eastAsia="Calibri" w:hint="default"/>
          <w:b/>
          <w:bCs/>
          <w:w w:val="95"/>
          <w:sz w:val="48"/>
          <w:szCs w:val="48"/>
        </w:rPr>
        <w:t>2014</w:t>
      </w:r>
      <w:r>
        <w:rPr>
          <w:rFonts w:ascii="Calibri" w:hAnsi="Calibri" w:cs="Calibri" w:eastAsia="Calibri" w:hint="default"/>
          <w:b/>
          <w:bCs/>
          <w:spacing w:val="35"/>
          <w:w w:val="95"/>
          <w:sz w:val="48"/>
          <w:szCs w:val="48"/>
        </w:rPr>
        <w:t> </w:t>
      </w:r>
      <w:r>
        <w:rPr>
          <w:rFonts w:ascii="Microsoft JhengHei" w:hAnsi="Microsoft JhengHei" w:cs="Microsoft JhengHei" w:eastAsia="Microsoft JhengHei" w:hint="default"/>
          <w:b/>
          <w:bCs/>
          <w:w w:val="95"/>
          <w:sz w:val="48"/>
          <w:szCs w:val="48"/>
        </w:rPr>
        <w:t>年度报告</w:t>
      </w:r>
      <w:r>
        <w:rPr>
          <w:rFonts w:ascii="Microsoft JhengHei" w:hAnsi="Microsoft JhengHei" w:cs="Microsoft JhengHei" w:eastAsia="Microsoft JhengHei" w:hint="default"/>
          <w:w w:val="95"/>
          <w:sz w:val="48"/>
          <w:szCs w:val="48"/>
        </w:rPr>
      </w: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36"/>
          <w:szCs w:val="36"/>
        </w:rPr>
      </w:pPr>
    </w:p>
    <w:p>
      <w:pPr>
        <w:spacing w:before="0"/>
        <w:ind w:left="150" w:right="150" w:firstLine="0"/>
        <w:jc w:val="center"/>
        <w:rPr>
          <w:rFonts w:ascii="Microsoft JhengHei" w:hAnsi="Microsoft JhengHei" w:cs="Microsoft JhengHei" w:eastAsia="Microsoft JhengHei" w:hint="default"/>
          <w:sz w:val="36"/>
          <w:szCs w:val="36"/>
        </w:rPr>
      </w:pPr>
      <w:r>
        <w:rPr>
          <w:rFonts w:ascii="Calibri" w:hAnsi="Calibri" w:cs="Calibri" w:eastAsia="Calibri" w:hint="default"/>
          <w:b/>
          <w:bCs/>
          <w:sz w:val="36"/>
          <w:szCs w:val="36"/>
        </w:rPr>
        <w:t>2015</w:t>
      </w:r>
      <w:r>
        <w:rPr>
          <w:rFonts w:ascii="Calibri" w:hAnsi="Calibri" w:cs="Calibri" w:eastAsia="Calibri" w:hint="default"/>
          <w:b/>
          <w:bCs/>
          <w:spacing w:val="-29"/>
          <w:sz w:val="36"/>
          <w:szCs w:val="36"/>
        </w:rPr>
        <w:t> </w:t>
      </w:r>
      <w:r>
        <w:rPr>
          <w:rFonts w:ascii="Microsoft JhengHei" w:hAnsi="Microsoft JhengHei" w:cs="Microsoft JhengHei" w:eastAsia="Microsoft JhengHei" w:hint="default"/>
          <w:b/>
          <w:bCs/>
          <w:sz w:val="36"/>
          <w:szCs w:val="36"/>
        </w:rPr>
        <w:t>年</w:t>
      </w:r>
      <w:r>
        <w:rPr>
          <w:rFonts w:ascii="Microsoft JhengHei" w:hAnsi="Microsoft JhengHei" w:cs="Microsoft JhengHei" w:eastAsia="Microsoft JhengHei" w:hint="default"/>
          <w:b/>
          <w:bCs/>
          <w:spacing w:val="-39"/>
          <w:sz w:val="36"/>
          <w:szCs w:val="36"/>
        </w:rPr>
        <w:t> </w:t>
      </w:r>
      <w:r>
        <w:rPr>
          <w:rFonts w:ascii="Calibri" w:hAnsi="Calibri" w:cs="Calibri" w:eastAsia="Calibri" w:hint="default"/>
          <w:b/>
          <w:bCs/>
          <w:sz w:val="36"/>
          <w:szCs w:val="36"/>
        </w:rPr>
        <w:t>04</w:t>
      </w:r>
      <w:r>
        <w:rPr>
          <w:rFonts w:ascii="Calibri" w:hAnsi="Calibri" w:cs="Calibri" w:eastAsia="Calibri" w:hint="default"/>
          <w:b/>
          <w:bCs/>
          <w:spacing w:val="-30"/>
          <w:sz w:val="36"/>
          <w:szCs w:val="36"/>
        </w:rPr>
        <w:t> </w:t>
      </w:r>
      <w:r>
        <w:rPr>
          <w:rFonts w:ascii="Microsoft JhengHei" w:hAnsi="Microsoft JhengHei" w:cs="Microsoft JhengHei" w:eastAsia="Microsoft JhengHei" w:hint="default"/>
          <w:b/>
          <w:bCs/>
          <w:sz w:val="36"/>
          <w:szCs w:val="36"/>
        </w:rPr>
        <w:t>月</w:t>
      </w:r>
      <w:r>
        <w:rPr>
          <w:rFonts w:ascii="Microsoft JhengHei" w:hAnsi="Microsoft JhengHei" w:cs="Microsoft JhengHei" w:eastAsia="Microsoft JhengHei" w:hint="default"/>
          <w:b/>
          <w:bCs/>
          <w:spacing w:val="-39"/>
          <w:sz w:val="36"/>
          <w:szCs w:val="36"/>
        </w:rPr>
        <w:t> </w:t>
      </w:r>
      <w:r>
        <w:rPr>
          <w:rFonts w:ascii="Calibri" w:hAnsi="Calibri" w:cs="Calibri" w:eastAsia="Calibri" w:hint="default"/>
          <w:b/>
          <w:bCs/>
          <w:sz w:val="36"/>
          <w:szCs w:val="36"/>
        </w:rPr>
        <w:t>22</w:t>
      </w:r>
      <w:r>
        <w:rPr>
          <w:rFonts w:ascii="Calibri" w:hAnsi="Calibri" w:cs="Calibri" w:eastAsia="Calibri" w:hint="default"/>
          <w:b/>
          <w:bCs/>
          <w:spacing w:val="-30"/>
          <w:sz w:val="36"/>
          <w:szCs w:val="36"/>
        </w:rPr>
        <w:t> </w:t>
      </w:r>
      <w:r>
        <w:rPr>
          <w:rFonts w:ascii="Microsoft JhengHei" w:hAnsi="Microsoft JhengHei" w:cs="Microsoft JhengHei" w:eastAsia="Microsoft JhengHei" w:hint="default"/>
          <w:b/>
          <w:bCs/>
          <w:sz w:val="36"/>
          <w:szCs w:val="36"/>
        </w:rPr>
        <w:t>日</w:t>
      </w:r>
      <w:r>
        <w:rPr>
          <w:rFonts w:ascii="Microsoft JhengHei" w:hAnsi="Microsoft JhengHei" w:cs="Microsoft JhengHei" w:eastAsia="Microsoft JhengHei" w:hint="default"/>
          <w:sz w:val="36"/>
          <w:szCs w:val="36"/>
        </w:rPr>
      </w:r>
    </w:p>
    <w:p>
      <w:pPr>
        <w:spacing w:after="0"/>
        <w:jc w:val="center"/>
        <w:rPr>
          <w:rFonts w:ascii="Microsoft JhengHei" w:hAnsi="Microsoft JhengHei" w:cs="Microsoft JhengHei" w:eastAsia="Microsoft JhengHei" w:hint="default"/>
          <w:sz w:val="36"/>
          <w:szCs w:val="36"/>
        </w:rPr>
        <w:sectPr>
          <w:headerReference w:type="default" r:id="rId5"/>
          <w:footerReference w:type="default" r:id="rId6"/>
          <w:type w:val="continuous"/>
          <w:pgSz w:w="11910" w:h="16840"/>
          <w:pgMar w:header="747" w:footer="1000" w:top="1040" w:bottom="1180" w:left="980" w:right="980"/>
        </w:sectPr>
      </w:pPr>
    </w:p>
    <w:p>
      <w:pPr>
        <w:spacing w:line="240" w:lineRule="auto" w:before="13"/>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10"/>
        <w:rPr>
          <w:rFonts w:ascii="宋体" w:hAnsi="宋体" w:cs="宋体" w:eastAsia="宋体" w:hint="default"/>
          <w:b/>
          <w:bCs/>
          <w:sz w:val="44"/>
          <w:szCs w:val="44"/>
        </w:rPr>
      </w:pPr>
    </w:p>
    <w:p>
      <w:pPr>
        <w:pStyle w:val="Heading2"/>
        <w:spacing w:line="357" w:lineRule="auto" w:before="0"/>
        <w:ind w:right="159" w:firstLine="482"/>
        <w:jc w:val="both"/>
        <w:rPr>
          <w:b w:val="0"/>
          <w:bCs w:val="0"/>
        </w:rPr>
      </w:pPr>
      <w:r>
        <w:rPr>
          <w:w w:val="95"/>
        </w:rPr>
        <w:t>本公司董事会、监事会及董事、监事、高级管理人员保证本报告所载资料不存在任何虚</w:t>
      </w:r>
      <w:r>
        <w:rPr>
          <w:w w:val="99"/>
        </w:rPr>
        <w:t> </w:t>
      </w:r>
      <w:r>
        <w:rPr>
          <w:w w:val="95"/>
        </w:rPr>
        <w:t>假记载、误导性陈述或者重大遗漏，并对其内容的真实性、准确性和完整性承担个别及连带</w:t>
      </w:r>
      <w:r>
        <w:rPr>
          <w:spacing w:val="99"/>
          <w:w w:val="95"/>
        </w:rPr>
        <w:t> </w:t>
      </w:r>
      <w:r>
        <w:rPr/>
        <w:t>责任。</w:t>
      </w:r>
      <w:r>
        <w:rPr>
          <w:b w:val="0"/>
          <w:bCs w:val="0"/>
        </w:rPr>
      </w:r>
    </w:p>
    <w:p>
      <w:pPr>
        <w:pStyle w:val="Heading2"/>
        <w:spacing w:line="432" w:lineRule="auto" w:before="137"/>
        <w:ind w:left="636" w:right="0"/>
        <w:jc w:val="left"/>
        <w:rPr>
          <w:b w:val="0"/>
          <w:bCs w:val="0"/>
        </w:rPr>
      </w:pPr>
      <w:r>
        <w:rPr/>
        <w:t>所有董事均已出席了审议本报告的董事会会议。</w:t>
      </w:r>
      <w:r>
        <w:rPr>
          <w:w w:val="99"/>
        </w:rPr>
        <w:t> </w:t>
      </w:r>
      <w:r>
        <w:rPr>
          <w:w w:val="95"/>
        </w:rPr>
        <w:t>公司负责人龙昌明先生、主管会计工作负责人及会计机构负责人</w:t>
      </w:r>
      <w:r>
        <w:rPr>
          <w:rFonts w:ascii="宋体" w:hAnsi="宋体" w:cs="宋体" w:eastAsia="宋体" w:hint="default"/>
          <w:w w:val="95"/>
        </w:rPr>
        <w:t>(</w:t>
      </w:r>
      <w:r>
        <w:rPr>
          <w:w w:val="95"/>
        </w:rPr>
        <w:t>会计主管人员</w:t>
      </w:r>
      <w:r>
        <w:rPr>
          <w:rFonts w:ascii="宋体" w:hAnsi="宋体" w:cs="宋体" w:eastAsia="宋体" w:hint="default"/>
          <w:w w:val="95"/>
        </w:rPr>
        <w:t>)</w:t>
      </w:r>
      <w:r>
        <w:rPr>
          <w:w w:val="95"/>
        </w:rPr>
        <w:t>周振娟</w:t>
      </w:r>
      <w:r>
        <w:rPr>
          <w:b w:val="0"/>
          <w:bCs w:val="0"/>
        </w:rPr>
      </w:r>
    </w:p>
    <w:p>
      <w:pPr>
        <w:pStyle w:val="Heading2"/>
        <w:spacing w:line="277" w:lineRule="exact" w:before="0"/>
        <w:ind w:right="0"/>
        <w:jc w:val="left"/>
        <w:rPr>
          <w:b w:val="0"/>
          <w:bCs w:val="0"/>
        </w:rPr>
      </w:pPr>
      <w:r>
        <w:rPr/>
        <w:t>女士声明：保证年度报告中财务报告的真实、准确、完整。</w:t>
      </w:r>
      <w:r>
        <w:rPr>
          <w:b w:val="0"/>
          <w:bCs w:val="0"/>
        </w:rPr>
      </w:r>
    </w:p>
    <w:p>
      <w:pPr>
        <w:spacing w:after="0" w:line="277" w:lineRule="exact"/>
        <w:jc w:val="left"/>
        <w:sectPr>
          <w:footerReference w:type="default" r:id="rId8"/>
          <w:pgSz w:w="11910" w:h="16840"/>
          <w:pgMar w:footer="1000" w:header="747" w:top="1040" w:bottom="1180" w:left="980" w:right="980"/>
          <w:pgNumType w:start="2"/>
        </w:sectPr>
      </w:pPr>
    </w:p>
    <w:p>
      <w:pPr>
        <w:spacing w:line="240" w:lineRule="auto" w:before="9"/>
        <w:rPr>
          <w:rFonts w:ascii="宋体" w:hAnsi="宋体" w:cs="宋体" w:eastAsia="宋体" w:hint="default"/>
          <w:b/>
          <w:bCs/>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51" w:right="15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 重要提示、目录和释义</w:t>
            </w:r>
            <w:r>
              <w:rPr>
                <w:rFonts w:ascii="宋体" w:hAnsi="宋体" w:cs="宋体" w:eastAsia="宋体" w:hint="default"/>
              </w:rPr>
              <w:tab/>
              <w:t>2</w:t>
            </w:r>
          </w:hyperlink>
        </w:p>
        <w:p>
          <w:pPr>
            <w:pStyle w:val="TOC1"/>
            <w:tabs>
              <w:tab w:pos="9782" w:val="right" w:leader="dot"/>
            </w:tabs>
            <w:spacing w:line="240" w:lineRule="auto"/>
            <w:ind w:right="0"/>
            <w:jc w:val="left"/>
            <w:rPr>
              <w:rFonts w:ascii="宋体" w:hAnsi="宋体" w:cs="宋体" w:eastAsia="宋体" w:hint="default"/>
            </w:rPr>
          </w:pPr>
          <w:hyperlink w:history="true" w:anchor="_bookmark1">
            <w:r>
              <w:rPr/>
              <w:t>第二节 公司基本情况简介</w:t>
            </w:r>
            <w:r>
              <w:rPr>
                <w:rFonts w:ascii="宋体" w:hAnsi="宋体" w:cs="宋体" w:eastAsia="宋体" w:hint="default"/>
              </w:rPr>
              <w:tab/>
              <w:t>5</w:t>
            </w:r>
          </w:hyperlink>
        </w:p>
        <w:p>
          <w:pPr>
            <w:pStyle w:val="TOC1"/>
            <w:tabs>
              <w:tab w:pos="9782" w:val="right" w:leader="dot"/>
            </w:tabs>
            <w:spacing w:line="240" w:lineRule="auto" w:before="434"/>
            <w:ind w:right="0"/>
            <w:jc w:val="left"/>
            <w:rPr>
              <w:rFonts w:ascii="宋体" w:hAnsi="宋体" w:cs="宋体" w:eastAsia="宋体" w:hint="default"/>
            </w:rPr>
          </w:pPr>
          <w:hyperlink w:history="true" w:anchor="_bookmark2">
            <w:r>
              <w:rPr/>
              <w:t>第三节 会计数据和财务指标摘要</w:t>
            </w:r>
            <w:r>
              <w:rPr>
                <w:rFonts w:ascii="宋体" w:hAnsi="宋体" w:cs="宋体" w:eastAsia="宋体" w:hint="default"/>
              </w:rPr>
              <w:tab/>
              <w:t>7</w:t>
            </w:r>
          </w:hyperlink>
        </w:p>
        <w:p>
          <w:pPr>
            <w:pStyle w:val="TOC1"/>
            <w:tabs>
              <w:tab w:pos="9782" w:val="right" w:leader="dot"/>
            </w:tabs>
            <w:spacing w:line="240" w:lineRule="auto"/>
            <w:ind w:right="0"/>
            <w:jc w:val="left"/>
            <w:rPr>
              <w:rFonts w:ascii="宋体" w:hAnsi="宋体" w:cs="宋体" w:eastAsia="宋体" w:hint="default"/>
            </w:rPr>
          </w:pPr>
          <w:hyperlink w:history="true" w:anchor="_bookmark3">
            <w:r>
              <w:rPr/>
              <w:t>第四节 董事会报告</w:t>
            </w:r>
            <w:r>
              <w:rPr>
                <w:rFonts w:ascii="宋体" w:hAnsi="宋体" w:cs="宋体" w:eastAsia="宋体" w:hint="default"/>
              </w:rPr>
              <w:tab/>
              <w:t>10</w:t>
            </w:r>
          </w:hyperlink>
        </w:p>
        <w:p>
          <w:pPr>
            <w:pStyle w:val="TOC1"/>
            <w:tabs>
              <w:tab w:pos="9782" w:val="right" w:leader="dot"/>
            </w:tabs>
            <w:spacing w:line="240" w:lineRule="auto"/>
            <w:ind w:right="0"/>
            <w:jc w:val="left"/>
            <w:rPr>
              <w:rFonts w:ascii="宋体" w:hAnsi="宋体" w:cs="宋体" w:eastAsia="宋体" w:hint="default"/>
            </w:rPr>
          </w:pPr>
          <w:hyperlink w:history="true" w:anchor="_bookmark4">
            <w:r>
              <w:rPr/>
              <w:t>第五节 重要事项</w:t>
            </w:r>
            <w:r>
              <w:rPr>
                <w:rFonts w:ascii="宋体" w:hAnsi="宋体" w:cs="宋体" w:eastAsia="宋体" w:hint="default"/>
              </w:rPr>
              <w:tab/>
              <w:t>33</w:t>
            </w:r>
          </w:hyperlink>
        </w:p>
        <w:p>
          <w:pPr>
            <w:pStyle w:val="TOC1"/>
            <w:tabs>
              <w:tab w:pos="9782" w:val="right" w:leader="dot"/>
            </w:tabs>
            <w:spacing w:line="240" w:lineRule="auto" w:before="435"/>
            <w:ind w:right="0"/>
            <w:jc w:val="left"/>
            <w:rPr>
              <w:rFonts w:ascii="宋体" w:hAnsi="宋体" w:cs="宋体" w:eastAsia="宋体" w:hint="default"/>
            </w:rPr>
          </w:pPr>
          <w:hyperlink w:history="true" w:anchor="_bookmark5">
            <w:r>
              <w:rPr/>
              <w:t>第六节 股份变动及股东情况</w:t>
            </w:r>
            <w:r>
              <w:rPr>
                <w:rFonts w:ascii="宋体" w:hAnsi="宋体" w:cs="宋体" w:eastAsia="宋体" w:hint="default"/>
              </w:rPr>
              <w:tab/>
              <w:t>56</w:t>
            </w:r>
          </w:hyperlink>
        </w:p>
        <w:p>
          <w:pPr>
            <w:pStyle w:val="TOC1"/>
            <w:tabs>
              <w:tab w:pos="9782" w:val="right" w:leader="dot"/>
            </w:tabs>
            <w:spacing w:line="240" w:lineRule="auto"/>
            <w:ind w:right="0"/>
            <w:jc w:val="left"/>
            <w:rPr>
              <w:rFonts w:ascii="宋体" w:hAnsi="宋体" w:cs="宋体" w:eastAsia="宋体" w:hint="default"/>
            </w:rPr>
          </w:pPr>
          <w:hyperlink w:history="true" w:anchor="_bookmark6">
            <w:r>
              <w:rPr/>
              <w:t>第七节 董事、监事、高级管理人员和员工情况</w:t>
            </w:r>
            <w:r>
              <w:rPr>
                <w:rFonts w:ascii="宋体" w:hAnsi="宋体" w:cs="宋体" w:eastAsia="宋体" w:hint="default"/>
              </w:rPr>
              <w:tab/>
              <w:t>61</w:t>
            </w:r>
          </w:hyperlink>
        </w:p>
        <w:p>
          <w:pPr>
            <w:pStyle w:val="TOC1"/>
            <w:tabs>
              <w:tab w:pos="9782" w:val="right" w:leader="dot"/>
            </w:tabs>
            <w:spacing w:line="240" w:lineRule="auto"/>
            <w:ind w:right="0"/>
            <w:jc w:val="left"/>
            <w:rPr>
              <w:rFonts w:ascii="宋体" w:hAnsi="宋体" w:cs="宋体" w:eastAsia="宋体" w:hint="default"/>
            </w:rPr>
          </w:pPr>
          <w:hyperlink w:history="true" w:anchor="_bookmark7">
            <w:r>
              <w:rPr/>
              <w:t>第八节 公司治理</w:t>
            </w:r>
            <w:r>
              <w:rPr>
                <w:rFonts w:ascii="宋体" w:hAnsi="宋体" w:cs="宋体" w:eastAsia="宋体" w:hint="default"/>
              </w:rPr>
              <w:tab/>
              <w:t>67</w:t>
            </w:r>
          </w:hyperlink>
        </w:p>
        <w:p>
          <w:pPr>
            <w:pStyle w:val="TOC1"/>
            <w:tabs>
              <w:tab w:pos="9782" w:val="right" w:leader="dot"/>
            </w:tabs>
            <w:spacing w:line="240" w:lineRule="auto" w:before="434"/>
            <w:ind w:right="0"/>
            <w:jc w:val="left"/>
            <w:rPr>
              <w:rFonts w:ascii="宋体" w:hAnsi="宋体" w:cs="宋体" w:eastAsia="宋体" w:hint="default"/>
            </w:rPr>
          </w:pPr>
          <w:hyperlink w:history="true" w:anchor="_bookmark8">
            <w:r>
              <w:rPr/>
              <w:t>第九节 财务报告</w:t>
            </w:r>
            <w:r>
              <w:rPr>
                <w:rFonts w:ascii="宋体" w:hAnsi="宋体" w:cs="宋体" w:eastAsia="宋体" w:hint="default"/>
              </w:rPr>
              <w:tab/>
              <w:t>70</w:t>
            </w:r>
          </w:hyperlink>
        </w:p>
        <w:p>
          <w:pPr>
            <w:pStyle w:val="TOC1"/>
            <w:tabs>
              <w:tab w:pos="9782" w:val="right" w:leader="dot"/>
            </w:tabs>
            <w:spacing w:line="240" w:lineRule="auto"/>
            <w:ind w:right="0"/>
            <w:jc w:val="left"/>
            <w:rPr>
              <w:rFonts w:ascii="宋体" w:hAnsi="宋体" w:cs="宋体" w:eastAsia="宋体" w:hint="default"/>
            </w:rPr>
          </w:pPr>
          <w:hyperlink w:history="true" w:anchor="_bookmark9">
            <w:r>
              <w:rPr/>
              <w:t>第十节 备查文件目录</w:t>
            </w:r>
            <w:r>
              <w:rPr>
                <w:rFonts w:ascii="宋体" w:hAnsi="宋体" w:cs="宋体" w:eastAsia="宋体" w:hint="default"/>
              </w:rPr>
              <w:tab/>
              <w:t>167</w:t>
            </w:r>
          </w:hyperlink>
        </w:p>
        <w:p>
          <w:pPr/>
          <w:r>
            <w:fldChar w:fldCharType="end"/>
          </w:r>
        </w:p>
      </w:sdtContent>
    </w:sdt>
    <w:p>
      <w:pPr>
        <w:spacing w:after="0"/>
        <w:sectPr>
          <w:pgSz w:w="11910" w:h="16840"/>
          <w:pgMar w:header="747" w:footer="1000" w:top="1040" w:bottom="1180" w:left="980" w:right="980"/>
        </w:sectPr>
      </w:pPr>
    </w:p>
    <w:p>
      <w:pPr>
        <w:spacing w:before="955"/>
        <w:ind w:left="151" w:right="15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421"/>
        <w:gridCol w:w="830"/>
        <w:gridCol w:w="6318"/>
      </w:tblGrid>
      <w:tr>
        <w:trPr>
          <w:trHeight w:val="416" w:hRule="exact"/>
        </w:trPr>
        <w:tc>
          <w:tcPr>
            <w:tcW w:w="242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8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1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14" w:hRule="exact"/>
        </w:trPr>
        <w:tc>
          <w:tcPr>
            <w:tcW w:w="2421" w:type="dxa"/>
            <w:tcBorders>
              <w:top w:val="single" w:sz="7" w:space="0" w:color="000000"/>
              <w:left w:val="single" w:sz="12" w:space="0" w:color="000000"/>
              <w:bottom w:val="single" w:sz="6" w:space="0" w:color="000000"/>
              <w:right w:val="single" w:sz="14" w:space="0" w:color="D2D2D2"/>
            </w:tcBorders>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z w:val="18"/>
                <w:szCs w:val="18"/>
              </w:rPr>
              <w:t>光一科技</w:t>
            </w:r>
            <w:r>
              <w:rPr>
                <w:rFonts w:ascii="宋体" w:hAnsi="宋体" w:cs="宋体" w:eastAsia="宋体" w:hint="default"/>
                <w:sz w:val="18"/>
                <w:szCs w:val="18"/>
              </w:rPr>
              <w:t>/</w:t>
            </w: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本公司</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7" w:space="0" w:color="000000"/>
              <w:left w:val="single" w:sz="9" w:space="0" w:color="D2D2D2"/>
              <w:bottom w:val="single" w:sz="6" w:space="0" w:color="000000"/>
              <w:right w:val="single" w:sz="12" w:space="0" w:color="000000"/>
            </w:tcBorders>
          </w:tcPr>
          <w:p>
            <w:pPr>
              <w:pStyle w:val="TableParagraph"/>
              <w:spacing w:line="240" w:lineRule="auto" w:before="55"/>
              <w:ind w:left="27" w:right="0"/>
              <w:jc w:val="left"/>
              <w:rPr>
                <w:rFonts w:ascii="宋体" w:hAnsi="宋体" w:cs="宋体" w:eastAsia="宋体" w:hint="default"/>
                <w:sz w:val="18"/>
                <w:szCs w:val="18"/>
              </w:rPr>
            </w:pPr>
            <w:r>
              <w:rPr>
                <w:rFonts w:ascii="宋体" w:hAnsi="宋体" w:cs="宋体" w:eastAsia="宋体" w:hint="default"/>
                <w:sz w:val="18"/>
                <w:szCs w:val="18"/>
              </w:rPr>
              <w:t>光一科技股份有限公司</w:t>
            </w:r>
          </w:p>
        </w:tc>
      </w:tr>
      <w:tr>
        <w:trPr>
          <w:trHeight w:val="412" w:hRule="exact"/>
        </w:trPr>
        <w:tc>
          <w:tcPr>
            <w:tcW w:w="2421"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光一投资</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江苏光一投资管理有限责任公司，本公司控股股东</w:t>
            </w:r>
          </w:p>
        </w:tc>
      </w:tr>
      <w:tr>
        <w:trPr>
          <w:trHeight w:val="413" w:hRule="exact"/>
        </w:trPr>
        <w:tc>
          <w:tcPr>
            <w:tcW w:w="2421"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5"/>
              <w:ind w:right="4"/>
              <w:jc w:val="center"/>
              <w:rPr>
                <w:rFonts w:ascii="宋体" w:hAnsi="宋体" w:cs="宋体" w:eastAsia="宋体" w:hint="default"/>
                <w:sz w:val="18"/>
                <w:szCs w:val="18"/>
              </w:rPr>
            </w:pPr>
            <w:r>
              <w:rPr>
                <w:rFonts w:ascii="宋体" w:hAnsi="宋体" w:cs="宋体" w:eastAsia="宋体" w:hint="default"/>
                <w:sz w:val="18"/>
                <w:szCs w:val="18"/>
              </w:rPr>
              <w:t>苏源光一</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5"/>
              <w:ind w:left="27" w:right="0"/>
              <w:jc w:val="left"/>
              <w:rPr>
                <w:rFonts w:ascii="宋体" w:hAnsi="宋体" w:cs="宋体" w:eastAsia="宋体" w:hint="default"/>
                <w:sz w:val="18"/>
                <w:szCs w:val="18"/>
              </w:rPr>
            </w:pPr>
            <w:r>
              <w:rPr>
                <w:rFonts w:ascii="宋体" w:hAnsi="宋体" w:cs="宋体" w:eastAsia="宋体" w:hint="default"/>
                <w:sz w:val="18"/>
                <w:szCs w:val="18"/>
              </w:rPr>
              <w:t>江苏苏源光一科技有限公司、本公司全资子公司</w:t>
            </w:r>
          </w:p>
        </w:tc>
      </w:tr>
      <w:tr>
        <w:trPr>
          <w:trHeight w:val="412" w:hRule="exact"/>
        </w:trPr>
        <w:tc>
          <w:tcPr>
            <w:tcW w:w="2421"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智友尚云</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南京智友尚云信息技术有限公司、本公司全资子公司</w:t>
            </w:r>
          </w:p>
        </w:tc>
      </w:tr>
      <w:tr>
        <w:trPr>
          <w:trHeight w:val="412" w:hRule="exact"/>
        </w:trPr>
        <w:tc>
          <w:tcPr>
            <w:tcW w:w="2421"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光一贵仁</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江苏光一贵仁股权投资基金管理有限公司、本公司全资子公司</w:t>
            </w:r>
          </w:p>
        </w:tc>
      </w:tr>
      <w:tr>
        <w:trPr>
          <w:trHeight w:val="413" w:hRule="exact"/>
        </w:trPr>
        <w:tc>
          <w:tcPr>
            <w:tcW w:w="2421"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5"/>
              <w:ind w:right="4"/>
              <w:jc w:val="center"/>
              <w:rPr>
                <w:rFonts w:ascii="宋体" w:hAnsi="宋体" w:cs="宋体" w:eastAsia="宋体" w:hint="default"/>
                <w:sz w:val="18"/>
                <w:szCs w:val="18"/>
              </w:rPr>
            </w:pPr>
            <w:r>
              <w:rPr>
                <w:rFonts w:ascii="宋体" w:hAnsi="宋体" w:cs="宋体" w:eastAsia="宋体" w:hint="default"/>
                <w:sz w:val="18"/>
                <w:szCs w:val="18"/>
              </w:rPr>
              <w:t>南京云商天下</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5"/>
              <w:ind w:left="27" w:right="0"/>
              <w:jc w:val="left"/>
              <w:rPr>
                <w:rFonts w:ascii="宋体" w:hAnsi="宋体" w:cs="宋体" w:eastAsia="宋体" w:hint="default"/>
                <w:sz w:val="18"/>
                <w:szCs w:val="18"/>
              </w:rPr>
            </w:pPr>
            <w:r>
              <w:rPr>
                <w:rFonts w:ascii="宋体" w:hAnsi="宋体" w:cs="宋体" w:eastAsia="宋体" w:hint="default"/>
                <w:sz w:val="18"/>
                <w:szCs w:val="18"/>
              </w:rPr>
              <w:t>南京云商天下信息技术有限公司、本公司控股子公司</w:t>
            </w:r>
          </w:p>
        </w:tc>
      </w:tr>
      <w:tr>
        <w:trPr>
          <w:trHeight w:val="412" w:hRule="exact"/>
        </w:trPr>
        <w:tc>
          <w:tcPr>
            <w:tcW w:w="2421"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索瑞电气</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湖北索瑞电气有限公司、本公司控股子公司</w:t>
            </w:r>
          </w:p>
        </w:tc>
      </w:tr>
      <w:tr>
        <w:trPr>
          <w:trHeight w:val="412" w:hRule="exact"/>
        </w:trPr>
        <w:tc>
          <w:tcPr>
            <w:tcW w:w="2421"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中云文化大数据</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中云文化大数据科技有限公司、本公司参股公司</w:t>
            </w:r>
          </w:p>
        </w:tc>
      </w:tr>
      <w:tr>
        <w:trPr>
          <w:trHeight w:val="413" w:hRule="exact"/>
        </w:trPr>
        <w:tc>
          <w:tcPr>
            <w:tcW w:w="2421"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5"/>
              <w:ind w:right="4"/>
              <w:jc w:val="center"/>
              <w:rPr>
                <w:rFonts w:ascii="宋体" w:hAnsi="宋体" w:cs="宋体" w:eastAsia="宋体" w:hint="default"/>
                <w:sz w:val="18"/>
                <w:szCs w:val="18"/>
              </w:rPr>
            </w:pPr>
            <w:r>
              <w:rPr>
                <w:rFonts w:ascii="宋体" w:hAnsi="宋体" w:cs="宋体" w:eastAsia="宋体" w:hint="default"/>
                <w:sz w:val="18"/>
                <w:szCs w:val="18"/>
              </w:rPr>
              <w:t>贵银投资</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5"/>
              <w:ind w:left="27" w:right="0"/>
              <w:jc w:val="left"/>
              <w:rPr>
                <w:rFonts w:ascii="宋体" w:hAnsi="宋体" w:cs="宋体" w:eastAsia="宋体" w:hint="default"/>
                <w:sz w:val="18"/>
                <w:szCs w:val="18"/>
              </w:rPr>
            </w:pPr>
            <w:r>
              <w:rPr>
                <w:rFonts w:ascii="宋体" w:hAnsi="宋体" w:cs="宋体" w:eastAsia="宋体" w:hint="default"/>
                <w:sz w:val="18"/>
                <w:szCs w:val="18"/>
              </w:rPr>
              <w:t>贵州贵银投资有限公司、本公司参股公司</w:t>
            </w:r>
          </w:p>
        </w:tc>
      </w:tr>
      <w:tr>
        <w:trPr>
          <w:trHeight w:val="412" w:hRule="exact"/>
        </w:trPr>
        <w:tc>
          <w:tcPr>
            <w:tcW w:w="2421"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南京宇能</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南京宇能仪表有限公司</w:t>
            </w:r>
          </w:p>
        </w:tc>
      </w:tr>
      <w:tr>
        <w:trPr>
          <w:trHeight w:val="412" w:hRule="exact"/>
        </w:trPr>
        <w:tc>
          <w:tcPr>
            <w:tcW w:w="2421"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国网公司</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国家电网公司</w:t>
            </w:r>
          </w:p>
        </w:tc>
      </w:tr>
      <w:tr>
        <w:trPr>
          <w:trHeight w:val="413" w:hRule="exact"/>
        </w:trPr>
        <w:tc>
          <w:tcPr>
            <w:tcW w:w="2421"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5"/>
              <w:ind w:right="4"/>
              <w:jc w:val="center"/>
              <w:rPr>
                <w:rFonts w:ascii="宋体" w:hAnsi="宋体" w:cs="宋体" w:eastAsia="宋体" w:hint="default"/>
                <w:sz w:val="18"/>
                <w:szCs w:val="18"/>
              </w:rPr>
            </w:pPr>
            <w:r>
              <w:rPr>
                <w:rFonts w:ascii="宋体" w:hAnsi="宋体" w:cs="宋体" w:eastAsia="宋体" w:hint="default"/>
                <w:sz w:val="18"/>
                <w:szCs w:val="18"/>
              </w:rPr>
              <w:t>网省公司</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5"/>
              <w:ind w:left="27" w:right="0"/>
              <w:jc w:val="left"/>
              <w:rPr>
                <w:rFonts w:ascii="宋体" w:hAnsi="宋体" w:cs="宋体" w:eastAsia="宋体" w:hint="default"/>
                <w:sz w:val="18"/>
                <w:szCs w:val="18"/>
              </w:rPr>
            </w:pPr>
            <w:r>
              <w:rPr>
                <w:rFonts w:ascii="宋体" w:hAnsi="宋体" w:cs="宋体" w:eastAsia="宋体" w:hint="default"/>
                <w:sz w:val="18"/>
                <w:szCs w:val="18"/>
              </w:rPr>
              <w:t>国家电网公司下属的各省电力公司</w:t>
            </w:r>
          </w:p>
        </w:tc>
      </w:tr>
      <w:tr>
        <w:trPr>
          <w:trHeight w:val="412" w:hRule="exact"/>
        </w:trPr>
        <w:tc>
          <w:tcPr>
            <w:tcW w:w="2421"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4"/>
              <w:jc w:val="center"/>
              <w:rPr>
                <w:rFonts w:ascii="宋体" w:hAnsi="宋体" w:cs="宋体" w:eastAsia="宋体" w:hint="default"/>
                <w:sz w:val="18"/>
                <w:szCs w:val="18"/>
              </w:rPr>
            </w:pPr>
            <w:r>
              <w:rPr>
                <w:rFonts w:ascii="宋体"/>
                <w:sz w:val="18"/>
              </w:rPr>
              <w:t>CCDI</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中国文化（出版广电）大数据产业项目</w:t>
            </w:r>
          </w:p>
        </w:tc>
      </w:tr>
      <w:tr>
        <w:trPr>
          <w:trHeight w:val="412" w:hRule="exact"/>
        </w:trPr>
        <w:tc>
          <w:tcPr>
            <w:tcW w:w="2421"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CCDI</w:t>
            </w:r>
            <w:r>
              <w:rPr>
                <w:rFonts w:ascii="宋体" w:hAnsi="宋体" w:cs="宋体" w:eastAsia="宋体" w:hint="default"/>
                <w:spacing w:val="-46"/>
                <w:sz w:val="18"/>
                <w:szCs w:val="18"/>
              </w:rPr>
              <w:t> </w:t>
            </w:r>
            <w:r>
              <w:rPr>
                <w:rFonts w:ascii="宋体" w:hAnsi="宋体" w:cs="宋体" w:eastAsia="宋体" w:hint="default"/>
                <w:sz w:val="18"/>
                <w:szCs w:val="18"/>
              </w:rPr>
              <w:t>一期项目</w:t>
            </w:r>
            <w:r>
              <w:rPr>
                <w:rFonts w:ascii="宋体" w:hAnsi="宋体" w:cs="宋体" w:eastAsia="宋体" w:hint="default"/>
                <w:sz w:val="18"/>
                <w:szCs w:val="18"/>
              </w:rPr>
              <w:t>/</w:t>
            </w:r>
            <w:r>
              <w:rPr>
                <w:rFonts w:ascii="宋体" w:hAnsi="宋体" w:cs="宋体" w:eastAsia="宋体" w:hint="default"/>
                <w:sz w:val="18"/>
                <w:szCs w:val="18"/>
              </w:rPr>
              <w:t>版权云项目</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国家数字音像传播服务监管平台项目</w:t>
            </w:r>
          </w:p>
        </w:tc>
      </w:tr>
      <w:tr>
        <w:trPr>
          <w:trHeight w:val="413" w:hRule="exact"/>
        </w:trPr>
        <w:tc>
          <w:tcPr>
            <w:tcW w:w="2421" w:type="dxa"/>
            <w:tcBorders>
              <w:top w:val="single" w:sz="6" w:space="0" w:color="000000"/>
              <w:left w:val="single" w:sz="12" w:space="0" w:color="000000"/>
              <w:bottom w:val="single" w:sz="6" w:space="0" w:color="000000"/>
              <w:right w:val="single" w:sz="14" w:space="0" w:color="D2D2D2"/>
            </w:tcBorders>
          </w:tcPr>
          <w:p>
            <w:pPr>
              <w:pStyle w:val="TableParagraph"/>
              <w:spacing w:line="240" w:lineRule="auto" w:before="55"/>
              <w:ind w:right="4"/>
              <w:jc w:val="center"/>
              <w:rPr>
                <w:rFonts w:ascii="宋体" w:hAnsi="宋体" w:cs="宋体" w:eastAsia="宋体" w:hint="default"/>
                <w:sz w:val="18"/>
                <w:szCs w:val="18"/>
              </w:rPr>
            </w:pPr>
            <w:r>
              <w:rPr>
                <w:rFonts w:ascii="宋体" w:hAnsi="宋体" w:cs="宋体" w:eastAsia="宋体" w:hint="default"/>
                <w:sz w:val="18"/>
                <w:szCs w:val="18"/>
              </w:rPr>
              <w:t>报告期</w:t>
            </w:r>
          </w:p>
        </w:tc>
        <w:tc>
          <w:tcPr>
            <w:tcW w:w="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6" w:space="0" w:color="000000"/>
              <w:left w:val="single" w:sz="9" w:space="0" w:color="D2D2D2"/>
              <w:bottom w:val="single" w:sz="6" w:space="0" w:color="000000"/>
              <w:right w:val="single" w:sz="12" w:space="0" w:color="000000"/>
            </w:tcBorders>
          </w:tcPr>
          <w:p>
            <w:pPr>
              <w:pStyle w:val="TableParagraph"/>
              <w:spacing w:line="240" w:lineRule="auto" w:before="55"/>
              <w:ind w:left="2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19" w:hRule="exact"/>
        </w:trPr>
        <w:tc>
          <w:tcPr>
            <w:tcW w:w="2421" w:type="dxa"/>
            <w:tcBorders>
              <w:top w:val="single" w:sz="6" w:space="0" w:color="000000"/>
              <w:left w:val="single" w:sz="12" w:space="0" w:color="000000"/>
              <w:bottom w:val="single" w:sz="12" w:space="0" w:color="000000"/>
              <w:right w:val="single" w:sz="14" w:space="0" w:color="D2D2D2"/>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万元</w:t>
            </w:r>
          </w:p>
        </w:tc>
        <w:tc>
          <w:tcPr>
            <w:tcW w:w="83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317"/>
              <w:jc w:val="right"/>
              <w:rPr>
                <w:rFonts w:ascii="宋体" w:hAnsi="宋体" w:cs="宋体" w:eastAsia="宋体" w:hint="default"/>
                <w:sz w:val="18"/>
                <w:szCs w:val="18"/>
              </w:rPr>
            </w:pPr>
            <w:r>
              <w:rPr>
                <w:rFonts w:ascii="宋体" w:hAnsi="宋体" w:cs="宋体" w:eastAsia="宋体" w:hint="default"/>
                <w:sz w:val="18"/>
                <w:szCs w:val="18"/>
              </w:rPr>
              <w:t>指</w:t>
            </w:r>
          </w:p>
        </w:tc>
        <w:tc>
          <w:tcPr>
            <w:tcW w:w="6318" w:type="dxa"/>
            <w:tcBorders>
              <w:top w:val="single" w:sz="6" w:space="0" w:color="000000"/>
              <w:left w:val="single" w:sz="9" w:space="0" w:color="D2D2D2"/>
              <w:bottom w:val="single" w:sz="12" w:space="0" w:color="000000"/>
              <w:right w:val="single" w:sz="12"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宋体" w:hAnsi="宋体" w:cs="宋体" w:eastAsia="宋体" w:hint="default"/>
                <w:sz w:val="18"/>
                <w:szCs w:val="18"/>
              </w:rPr>
              <w:t>/</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0"/>
          <w:szCs w:val="20"/>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931"/>
        <w:gridCol w:w="2306"/>
        <w:gridCol w:w="2147"/>
        <w:gridCol w:w="2186"/>
      </w:tblGrid>
      <w:tr>
        <w:trPr>
          <w:trHeight w:val="420" w:hRule="exact"/>
        </w:trPr>
        <w:tc>
          <w:tcPr>
            <w:tcW w:w="293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光一科技</w:t>
            </w:r>
          </w:p>
        </w:tc>
        <w:tc>
          <w:tcPr>
            <w:tcW w:w="214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6"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300356</w:t>
            </w:r>
          </w:p>
        </w:tc>
      </w:tr>
      <w:tr>
        <w:trPr>
          <w:trHeight w:val="411"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right="7"/>
              <w:jc w:val="center"/>
              <w:rPr>
                <w:rFonts w:ascii="宋体" w:hAnsi="宋体" w:cs="宋体" w:eastAsia="宋体" w:hint="default"/>
                <w:sz w:val="18"/>
                <w:szCs w:val="18"/>
              </w:rPr>
            </w:pPr>
            <w:r>
              <w:rPr>
                <w:rFonts w:ascii="宋体" w:hAnsi="宋体" w:cs="宋体" w:eastAsia="宋体" w:hint="default"/>
                <w:sz w:val="18"/>
                <w:szCs w:val="18"/>
              </w:rPr>
              <w:t>公司的中文名称</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0" w:right="0"/>
              <w:jc w:val="left"/>
              <w:rPr>
                <w:rFonts w:ascii="宋体" w:hAnsi="宋体" w:cs="宋体" w:eastAsia="宋体" w:hint="default"/>
                <w:sz w:val="18"/>
                <w:szCs w:val="18"/>
              </w:rPr>
            </w:pPr>
            <w:r>
              <w:rPr>
                <w:rFonts w:ascii="宋体" w:hAnsi="宋体" w:cs="宋体" w:eastAsia="宋体" w:hint="default"/>
                <w:sz w:val="18"/>
                <w:szCs w:val="18"/>
              </w:rPr>
              <w:t>光一科技股份有限公司</w:t>
            </w:r>
          </w:p>
        </w:tc>
      </w:tr>
      <w:tr>
        <w:trPr>
          <w:trHeight w:val="413"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公司的中文简称</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hAnsi="宋体" w:cs="宋体" w:eastAsia="宋体" w:hint="default"/>
                <w:sz w:val="18"/>
                <w:szCs w:val="18"/>
              </w:rPr>
              <w:t>光一科技</w:t>
            </w:r>
          </w:p>
        </w:tc>
      </w:tr>
      <w:tr>
        <w:trPr>
          <w:trHeight w:val="412"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公司的外文名称</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EleFirst Science &amp; Technology Co., Ltd.</w:t>
            </w:r>
          </w:p>
        </w:tc>
      </w:tr>
      <w:tr>
        <w:trPr>
          <w:trHeight w:val="412"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sz w:val="18"/>
              </w:rPr>
              <w:t>EleFirst</w:t>
            </w:r>
          </w:p>
        </w:tc>
      </w:tr>
      <w:tr>
        <w:trPr>
          <w:trHeight w:val="413"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hAnsi="宋体" w:cs="宋体" w:eastAsia="宋体" w:hint="default"/>
                <w:sz w:val="18"/>
                <w:szCs w:val="18"/>
              </w:rPr>
              <w:t>龙昌明</w:t>
            </w:r>
          </w:p>
        </w:tc>
      </w:tr>
      <w:tr>
        <w:trPr>
          <w:trHeight w:val="412"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南京市江宁经济技术开发区胜太路</w:t>
            </w:r>
            <w:r>
              <w:rPr>
                <w:rFonts w:ascii="宋体" w:hAnsi="宋体" w:cs="宋体" w:eastAsia="宋体" w:hint="default"/>
                <w:spacing w:val="-46"/>
                <w:sz w:val="18"/>
                <w:szCs w:val="18"/>
              </w:rPr>
              <w:t> </w:t>
            </w:r>
            <w:r>
              <w:rPr>
                <w:rFonts w:ascii="宋体" w:hAnsi="宋体" w:cs="宋体" w:eastAsia="宋体" w:hint="default"/>
                <w:sz w:val="18"/>
                <w:szCs w:val="18"/>
              </w:rPr>
              <w:t>88</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12"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sz w:val="18"/>
              </w:rPr>
              <w:t>211106</w:t>
            </w:r>
          </w:p>
        </w:tc>
      </w:tr>
      <w:tr>
        <w:trPr>
          <w:trHeight w:val="413"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hAnsi="宋体" w:cs="宋体" w:eastAsia="宋体" w:hint="default"/>
                <w:sz w:val="18"/>
                <w:szCs w:val="18"/>
              </w:rPr>
              <w:t>南京市江宁区润麒路</w:t>
            </w:r>
            <w:r>
              <w:rPr>
                <w:rFonts w:ascii="宋体" w:hAnsi="宋体" w:cs="宋体" w:eastAsia="宋体" w:hint="default"/>
                <w:spacing w:val="-46"/>
                <w:sz w:val="18"/>
                <w:szCs w:val="18"/>
              </w:rPr>
              <w:t> </w:t>
            </w:r>
            <w:r>
              <w:rPr>
                <w:rFonts w:ascii="宋体" w:hAnsi="宋体" w:cs="宋体" w:eastAsia="宋体" w:hint="default"/>
                <w:sz w:val="18"/>
                <w:szCs w:val="18"/>
              </w:rPr>
              <w:t>86</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12"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sz w:val="18"/>
              </w:rPr>
              <w:t>211103</w:t>
            </w:r>
          </w:p>
        </w:tc>
      </w:tr>
      <w:tr>
        <w:trPr>
          <w:trHeight w:val="412"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hyperlink r:id="rId9">
              <w:r>
                <w:rPr>
                  <w:rFonts w:ascii="宋体"/>
                  <w:sz w:val="18"/>
                </w:rPr>
                <w:t>http://www.elefirst.com</w:t>
              </w:r>
            </w:hyperlink>
          </w:p>
        </w:tc>
      </w:tr>
      <w:tr>
        <w:trPr>
          <w:trHeight w:val="413"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hyperlink r:id="rId10">
              <w:r>
                <w:rPr>
                  <w:rFonts w:ascii="宋体"/>
                  <w:sz w:val="18"/>
                </w:rPr>
                <w:t>elefirst@elefirst.com</w:t>
              </w:r>
            </w:hyperlink>
          </w:p>
        </w:tc>
      </w:tr>
      <w:tr>
        <w:trPr>
          <w:trHeight w:val="412" w:hRule="exact"/>
        </w:trPr>
        <w:tc>
          <w:tcPr>
            <w:tcW w:w="293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right="9"/>
              <w:jc w:val="center"/>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0"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19" w:hRule="exact"/>
        </w:trPr>
        <w:tc>
          <w:tcPr>
            <w:tcW w:w="293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5"/>
              <w:ind w:right="9"/>
              <w:jc w:val="center"/>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9"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left="20" w:right="0"/>
              <w:jc w:val="left"/>
              <w:rPr>
                <w:rFonts w:ascii="宋体" w:hAnsi="宋体" w:cs="宋体" w:eastAsia="宋体" w:hint="default"/>
                <w:sz w:val="18"/>
                <w:szCs w:val="18"/>
              </w:rPr>
            </w:pPr>
            <w:r>
              <w:rPr>
                <w:rFonts w:ascii="宋体" w:hAnsi="宋体" w:cs="宋体" w:eastAsia="宋体" w:hint="default"/>
                <w:sz w:val="18"/>
                <w:szCs w:val="18"/>
              </w:rPr>
              <w:t>上海市延安东路</w:t>
            </w:r>
            <w:r>
              <w:rPr>
                <w:rFonts w:ascii="宋体" w:hAnsi="宋体" w:cs="宋体" w:eastAsia="宋体" w:hint="default"/>
                <w:spacing w:val="-46"/>
                <w:sz w:val="18"/>
                <w:szCs w:val="18"/>
              </w:rPr>
              <w:t> </w:t>
            </w:r>
            <w:r>
              <w:rPr>
                <w:rFonts w:ascii="宋体" w:hAnsi="宋体" w:cs="宋体" w:eastAsia="宋体" w:hint="default"/>
                <w:sz w:val="18"/>
                <w:szCs w:val="18"/>
              </w:rPr>
              <w:t>550</w:t>
            </w:r>
            <w:r>
              <w:rPr>
                <w:rFonts w:ascii="宋体" w:hAnsi="宋体" w:cs="宋体" w:eastAsia="宋体" w:hint="default"/>
                <w:spacing w:val="-46"/>
                <w:sz w:val="18"/>
                <w:szCs w:val="18"/>
              </w:rPr>
              <w:t> </w:t>
            </w:r>
            <w:r>
              <w:rPr>
                <w:rFonts w:ascii="宋体" w:hAnsi="宋体" w:cs="宋体" w:eastAsia="宋体" w:hint="default"/>
                <w:sz w:val="18"/>
                <w:szCs w:val="18"/>
              </w:rPr>
              <w:t>号海洋大厦</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楼</w:t>
            </w:r>
          </w:p>
        </w:tc>
      </w:tr>
    </w:tbl>
    <w:p>
      <w:pPr>
        <w:spacing w:line="240" w:lineRule="auto" w:before="2"/>
        <w:rPr>
          <w:rFonts w:ascii="宋体" w:hAnsi="宋体" w:cs="宋体" w:eastAsia="宋体" w:hint="default"/>
          <w:b/>
          <w:bCs/>
          <w:sz w:val="18"/>
          <w:szCs w:val="18"/>
        </w:rPr>
      </w:pPr>
    </w:p>
    <w:p>
      <w:pPr>
        <w:pStyle w:val="Heading2"/>
        <w:spacing w:line="240" w:lineRule="auto"/>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961"/>
        <w:gridCol w:w="3308"/>
        <w:gridCol w:w="3295"/>
      </w:tblGrid>
      <w:tr>
        <w:trPr>
          <w:trHeight w:val="416" w:hRule="exact"/>
        </w:trPr>
        <w:tc>
          <w:tcPr>
            <w:tcW w:w="2961"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33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29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13"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tabs>
                <w:tab w:pos="539" w:val="left" w:leader="none"/>
              </w:tabs>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姓</w:t>
              <w:tab/>
              <w:t>名</w:t>
            </w:r>
          </w:p>
        </w:tc>
        <w:tc>
          <w:tcPr>
            <w:tcW w:w="3308" w:type="dxa"/>
            <w:tcBorders>
              <w:top w:val="single" w:sz="7" w:space="0" w:color="000000"/>
              <w:left w:val="single" w:sz="9" w:space="0" w:color="D2D2D2"/>
              <w:bottom w:val="single" w:sz="6" w:space="0" w:color="000000"/>
              <w:right w:val="single" w:sz="6" w:space="0" w:color="000000"/>
            </w:tcBorders>
          </w:tcPr>
          <w:p>
            <w:pPr>
              <w:pStyle w:val="TableParagraph"/>
              <w:spacing w:line="240" w:lineRule="auto" w:before="54"/>
              <w:ind w:left="6" w:right="0"/>
              <w:jc w:val="center"/>
              <w:rPr>
                <w:rFonts w:ascii="宋体" w:hAnsi="宋体" w:cs="宋体" w:eastAsia="宋体" w:hint="default"/>
                <w:sz w:val="18"/>
                <w:szCs w:val="18"/>
              </w:rPr>
            </w:pPr>
            <w:r>
              <w:rPr>
                <w:rFonts w:ascii="宋体" w:hAnsi="宋体" w:cs="宋体" w:eastAsia="宋体" w:hint="default"/>
                <w:sz w:val="18"/>
                <w:szCs w:val="18"/>
              </w:rPr>
              <w:t>蒋  悦</w:t>
            </w:r>
          </w:p>
        </w:tc>
        <w:tc>
          <w:tcPr>
            <w:tcW w:w="3295" w:type="dxa"/>
            <w:tcBorders>
              <w:top w:val="single" w:sz="7" w:space="0" w:color="000000"/>
              <w:left w:val="single" w:sz="6" w:space="0" w:color="000000"/>
              <w:bottom w:val="single" w:sz="6" w:space="0" w:color="000000"/>
              <w:right w:val="single" w:sz="12" w:space="0" w:color="000000"/>
            </w:tcBorders>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李盛春</w:t>
            </w:r>
          </w:p>
        </w:tc>
      </w:tr>
      <w:tr>
        <w:trPr>
          <w:trHeight w:val="412"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30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南京市江宁区润麒路</w:t>
            </w:r>
            <w:r>
              <w:rPr>
                <w:rFonts w:ascii="宋体" w:hAnsi="宋体" w:cs="宋体" w:eastAsia="宋体" w:hint="default"/>
                <w:spacing w:val="-46"/>
                <w:sz w:val="18"/>
                <w:szCs w:val="18"/>
              </w:rPr>
              <w:t> </w:t>
            </w:r>
            <w:r>
              <w:rPr>
                <w:rFonts w:ascii="宋体" w:hAnsi="宋体" w:cs="宋体" w:eastAsia="宋体" w:hint="default"/>
                <w:sz w:val="18"/>
                <w:szCs w:val="18"/>
              </w:rPr>
              <w:t>86</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3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南京市江宁区润麒路</w:t>
            </w:r>
            <w:r>
              <w:rPr>
                <w:rFonts w:ascii="宋体" w:hAnsi="宋体" w:cs="宋体" w:eastAsia="宋体" w:hint="default"/>
                <w:spacing w:val="-46"/>
                <w:sz w:val="18"/>
                <w:szCs w:val="18"/>
              </w:rPr>
              <w:t> </w:t>
            </w:r>
            <w:r>
              <w:rPr>
                <w:rFonts w:ascii="宋体" w:hAnsi="宋体" w:cs="宋体" w:eastAsia="宋体" w:hint="default"/>
                <w:sz w:val="18"/>
                <w:szCs w:val="18"/>
              </w:rPr>
              <w:t>86</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12"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tabs>
                <w:tab w:pos="539" w:val="left" w:leader="none"/>
              </w:tabs>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电</w:t>
              <w:tab/>
              <w:t>话</w:t>
            </w:r>
          </w:p>
        </w:tc>
        <w:tc>
          <w:tcPr>
            <w:tcW w:w="330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5"/>
              <w:ind w:left="6" w:right="0"/>
              <w:jc w:val="center"/>
              <w:rPr>
                <w:rFonts w:ascii="宋体" w:hAnsi="宋体" w:cs="宋体" w:eastAsia="宋体" w:hint="default"/>
                <w:sz w:val="18"/>
                <w:szCs w:val="18"/>
              </w:rPr>
            </w:pPr>
            <w:r>
              <w:rPr>
                <w:rFonts w:ascii="宋体"/>
                <w:sz w:val="18"/>
              </w:rPr>
              <w:t>025-68531928</w:t>
            </w:r>
          </w:p>
        </w:tc>
        <w:tc>
          <w:tcPr>
            <w:tcW w:w="3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8" w:right="0"/>
              <w:jc w:val="center"/>
              <w:rPr>
                <w:rFonts w:ascii="宋体" w:hAnsi="宋体" w:cs="宋体" w:eastAsia="宋体" w:hint="default"/>
                <w:sz w:val="18"/>
                <w:szCs w:val="18"/>
              </w:rPr>
            </w:pPr>
            <w:r>
              <w:rPr>
                <w:rFonts w:ascii="宋体"/>
                <w:sz w:val="18"/>
              </w:rPr>
              <w:t>025-68531928</w:t>
            </w:r>
          </w:p>
        </w:tc>
      </w:tr>
      <w:tr>
        <w:trPr>
          <w:trHeight w:val="413"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tabs>
                <w:tab w:pos="539" w:val="left" w:leader="none"/>
              </w:tabs>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传</w:t>
              <w:tab/>
              <w:t>真</w:t>
            </w:r>
          </w:p>
        </w:tc>
        <w:tc>
          <w:tcPr>
            <w:tcW w:w="330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5"/>
              <w:ind w:left="6" w:right="0"/>
              <w:jc w:val="center"/>
              <w:rPr>
                <w:rFonts w:ascii="宋体" w:hAnsi="宋体" w:cs="宋体" w:eastAsia="宋体" w:hint="default"/>
                <w:sz w:val="18"/>
                <w:szCs w:val="18"/>
              </w:rPr>
            </w:pPr>
            <w:r>
              <w:rPr>
                <w:rFonts w:ascii="宋体"/>
                <w:sz w:val="18"/>
              </w:rPr>
              <w:t>025-68531868</w:t>
            </w:r>
          </w:p>
        </w:tc>
        <w:tc>
          <w:tcPr>
            <w:tcW w:w="32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8" w:right="0"/>
              <w:jc w:val="center"/>
              <w:rPr>
                <w:rFonts w:ascii="宋体" w:hAnsi="宋体" w:cs="宋体" w:eastAsia="宋体" w:hint="default"/>
                <w:sz w:val="18"/>
                <w:szCs w:val="18"/>
              </w:rPr>
            </w:pPr>
            <w:r>
              <w:rPr>
                <w:rFonts w:ascii="宋体"/>
                <w:sz w:val="18"/>
              </w:rPr>
              <w:t>025-68531868</w:t>
            </w:r>
          </w:p>
        </w:tc>
      </w:tr>
      <w:tr>
        <w:trPr>
          <w:trHeight w:val="419" w:hRule="exact"/>
        </w:trPr>
        <w:tc>
          <w:tcPr>
            <w:tcW w:w="296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308"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3"/>
              <w:ind w:left="4" w:right="0"/>
              <w:jc w:val="center"/>
              <w:rPr>
                <w:rFonts w:ascii="宋体" w:hAnsi="宋体" w:cs="宋体" w:eastAsia="宋体" w:hint="default"/>
                <w:sz w:val="18"/>
                <w:szCs w:val="18"/>
              </w:rPr>
            </w:pPr>
            <w:hyperlink r:id="rId10">
              <w:r>
                <w:rPr>
                  <w:rFonts w:ascii="宋体"/>
                  <w:sz w:val="18"/>
                </w:rPr>
                <w:t>elefirst@elefirst.com</w:t>
              </w:r>
            </w:hyperlink>
          </w:p>
        </w:tc>
        <w:tc>
          <w:tcPr>
            <w:tcW w:w="32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6" w:right="0"/>
              <w:jc w:val="center"/>
              <w:rPr>
                <w:rFonts w:ascii="宋体" w:hAnsi="宋体" w:cs="宋体" w:eastAsia="宋体" w:hint="default"/>
                <w:sz w:val="18"/>
                <w:szCs w:val="18"/>
              </w:rPr>
            </w:pPr>
            <w:hyperlink r:id="rId10">
              <w:r>
                <w:rPr>
                  <w:rFonts w:ascii="宋体"/>
                  <w:sz w:val="18"/>
                </w:rPr>
                <w:t>elefirst@elefirst.com</w:t>
              </w:r>
            </w:hyperlink>
          </w:p>
        </w:tc>
      </w:tr>
    </w:tbl>
    <w:p>
      <w:pPr>
        <w:spacing w:line="240" w:lineRule="auto" w:before="2"/>
        <w:rPr>
          <w:rFonts w:ascii="宋体" w:hAnsi="宋体" w:cs="宋体" w:eastAsia="宋体" w:hint="default"/>
          <w:b/>
          <w:bCs/>
          <w:sz w:val="18"/>
          <w:szCs w:val="18"/>
        </w:rPr>
      </w:pPr>
    </w:p>
    <w:p>
      <w:pPr>
        <w:pStyle w:val="Heading2"/>
        <w:spacing w:line="240" w:lineRule="auto"/>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862"/>
        <w:gridCol w:w="5707"/>
      </w:tblGrid>
      <w:tr>
        <w:trPr>
          <w:trHeight w:val="415" w:hRule="exact"/>
        </w:trPr>
        <w:tc>
          <w:tcPr>
            <w:tcW w:w="386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中国证券报、上海证券报、证券时报</w:t>
            </w:r>
          </w:p>
        </w:tc>
      </w:tr>
      <w:tr>
        <w:trPr>
          <w:trHeight w:val="407" w:hRule="exact"/>
        </w:trPr>
        <w:tc>
          <w:tcPr>
            <w:tcW w:w="386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0" w:right="0"/>
              <w:jc w:val="left"/>
              <w:rPr>
                <w:rFonts w:ascii="宋体" w:hAnsi="宋体" w:cs="宋体" w:eastAsia="宋体" w:hint="default"/>
                <w:sz w:val="18"/>
                <w:szCs w:val="18"/>
              </w:rPr>
            </w:pPr>
            <w:hyperlink r:id="rId11">
              <w:r>
                <w:rPr>
                  <w:rFonts w:ascii="宋体"/>
                  <w:sz w:val="18"/>
                </w:rPr>
                <w:t>http://www.cninfo.com.cn</w:t>
              </w:r>
            </w:hyperlink>
          </w:p>
        </w:tc>
      </w:tr>
      <w:tr>
        <w:trPr>
          <w:trHeight w:val="414" w:hRule="exact"/>
        </w:trPr>
        <w:tc>
          <w:tcPr>
            <w:tcW w:w="386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7" w:footer="1000" w:top="1040" w:bottom="1180" w:left="980" w:right="980"/>
        </w:sectPr>
      </w:pPr>
    </w:p>
    <w:p>
      <w:pPr>
        <w:spacing w:line="240" w:lineRule="auto" w:before="6"/>
        <w:rPr>
          <w:rFonts w:ascii="宋体" w:hAnsi="宋体" w:cs="宋体" w:eastAsia="宋体" w:hint="default"/>
          <w:b/>
          <w:bCs/>
          <w:sz w:val="24"/>
          <w:szCs w:val="24"/>
        </w:rPr>
      </w:pPr>
    </w:p>
    <w:p>
      <w:pPr>
        <w:pStyle w:val="Heading2"/>
        <w:spacing w:line="240" w:lineRule="auto"/>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703"/>
        <w:gridCol w:w="1560"/>
        <w:gridCol w:w="1984"/>
        <w:gridCol w:w="1559"/>
        <w:gridCol w:w="1560"/>
        <w:gridCol w:w="1202"/>
      </w:tblGrid>
      <w:tr>
        <w:trPr>
          <w:trHeight w:val="171" w:hRule="exact"/>
        </w:trPr>
        <w:tc>
          <w:tcPr>
            <w:tcW w:w="1703"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560" w:type="dxa"/>
            <w:tcBorders>
              <w:top w:val="single" w:sz="12" w:space="0" w:color="000000"/>
              <w:left w:val="single" w:sz="6" w:space="0" w:color="000000"/>
              <w:bottom w:val="nil" w:sz="6" w:space="0" w:color="auto"/>
              <w:right w:val="single" w:sz="6" w:space="0" w:color="000000"/>
            </w:tcBorders>
            <w:shd w:val="clear" w:color="auto" w:fill="D2D2D2"/>
          </w:tcPr>
          <w:p>
            <w:pPr/>
          </w:p>
        </w:tc>
        <w:tc>
          <w:tcPr>
            <w:tcW w:w="1984" w:type="dxa"/>
            <w:tcBorders>
              <w:top w:val="single" w:sz="12" w:space="0" w:color="000000"/>
              <w:left w:val="single" w:sz="6" w:space="0" w:color="000000"/>
              <w:bottom w:val="nil" w:sz="6" w:space="0" w:color="auto"/>
              <w:right w:val="single" w:sz="6" w:space="0" w:color="000000"/>
            </w:tcBorders>
            <w:shd w:val="clear" w:color="auto" w:fill="D2D2D2"/>
          </w:tcPr>
          <w:p>
            <w:pPr/>
          </w:p>
        </w:tc>
        <w:tc>
          <w:tcPr>
            <w:tcW w:w="1559"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501" w:right="50"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60" w:type="dxa"/>
            <w:tcBorders>
              <w:top w:val="single" w:sz="12" w:space="0" w:color="000000"/>
              <w:left w:val="single" w:sz="6" w:space="0" w:color="000000"/>
              <w:bottom w:val="nil" w:sz="6" w:space="0" w:color="auto"/>
              <w:right w:val="single" w:sz="6" w:space="0" w:color="000000"/>
            </w:tcBorders>
            <w:shd w:val="clear" w:color="auto" w:fill="D2D2D2"/>
          </w:tcPr>
          <w:p>
            <w:pPr/>
          </w:p>
        </w:tc>
        <w:tc>
          <w:tcPr>
            <w:tcW w:w="1202"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392" w:hRule="exact"/>
        </w:trPr>
        <w:tc>
          <w:tcPr>
            <w:tcW w:w="1703" w:type="dxa"/>
            <w:tcBorders>
              <w:top w:val="nil" w:sz="6" w:space="0" w:color="auto"/>
              <w:left w:val="single" w:sz="12" w:space="0" w:color="000000"/>
              <w:bottom w:val="nil" w:sz="6" w:space="0" w:color="auto"/>
              <w:right w:val="single" w:sz="6" w:space="0" w:color="000000"/>
            </w:tcBorders>
            <w:shd w:val="clear" w:color="auto" w:fill="D2D2D2"/>
          </w:tcPr>
          <w:p>
            <w:pPr/>
          </w:p>
        </w:tc>
        <w:tc>
          <w:tcPr>
            <w:tcW w:w="156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98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59" w:type="dxa"/>
            <w:vMerge/>
            <w:tcBorders>
              <w:left w:val="single" w:sz="6" w:space="0" w:color="000000"/>
              <w:right w:val="single" w:sz="6" w:space="0" w:color="000000"/>
            </w:tcBorders>
            <w:shd w:val="clear" w:color="auto" w:fill="D2D2D2"/>
          </w:tcPr>
          <w:p>
            <w:pPr/>
          </w:p>
        </w:tc>
        <w:tc>
          <w:tcPr>
            <w:tcW w:w="156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202" w:type="dxa"/>
            <w:tcBorders>
              <w:top w:val="nil" w:sz="6" w:space="0" w:color="auto"/>
              <w:left w:val="single" w:sz="6" w:space="0" w:color="000000"/>
              <w:bottom w:val="nil" w:sz="6" w:space="0" w:color="auto"/>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3" w:hRule="exact"/>
        </w:trPr>
        <w:tc>
          <w:tcPr>
            <w:tcW w:w="1703" w:type="dxa"/>
            <w:tcBorders>
              <w:top w:val="nil" w:sz="6" w:space="0" w:color="auto"/>
              <w:left w:val="single" w:sz="12" w:space="0" w:color="000000"/>
              <w:bottom w:val="single" w:sz="6" w:space="0" w:color="000000"/>
              <w:right w:val="single" w:sz="6" w:space="0" w:color="000000"/>
            </w:tcBorders>
            <w:shd w:val="clear" w:color="auto" w:fill="D2D2D2"/>
          </w:tcPr>
          <w:p>
            <w:pPr/>
          </w:p>
        </w:tc>
        <w:tc>
          <w:tcPr>
            <w:tcW w:w="1560" w:type="dxa"/>
            <w:tcBorders>
              <w:top w:val="nil" w:sz="6" w:space="0" w:color="auto"/>
              <w:left w:val="single" w:sz="6" w:space="0" w:color="000000"/>
              <w:bottom w:val="single" w:sz="6" w:space="0" w:color="000000"/>
              <w:right w:val="single" w:sz="6" w:space="0" w:color="000000"/>
            </w:tcBorders>
            <w:shd w:val="clear" w:color="auto" w:fill="D2D2D2"/>
          </w:tcPr>
          <w:p>
            <w:pPr/>
          </w:p>
        </w:tc>
        <w:tc>
          <w:tcPr>
            <w:tcW w:w="1984" w:type="dxa"/>
            <w:tcBorders>
              <w:top w:val="nil" w:sz="6" w:space="0" w:color="auto"/>
              <w:left w:val="single" w:sz="6" w:space="0" w:color="000000"/>
              <w:bottom w:val="single" w:sz="6" w:space="0" w:color="000000"/>
              <w:right w:val="single" w:sz="6" w:space="0" w:color="000000"/>
            </w:tcBorders>
            <w:shd w:val="clear" w:color="auto" w:fill="D2D2D2"/>
          </w:tcPr>
          <w:p>
            <w:pPr/>
          </w:p>
        </w:tc>
        <w:tc>
          <w:tcPr>
            <w:tcW w:w="1559" w:type="dxa"/>
            <w:vMerge/>
            <w:tcBorders>
              <w:left w:val="single" w:sz="6" w:space="0" w:color="000000"/>
              <w:bottom w:val="single" w:sz="6" w:space="0" w:color="000000"/>
              <w:right w:val="single" w:sz="6" w:space="0" w:color="000000"/>
            </w:tcBorders>
            <w:shd w:val="clear" w:color="auto" w:fill="D2D2D2"/>
          </w:tcPr>
          <w:p>
            <w:pPr/>
          </w:p>
        </w:tc>
        <w:tc>
          <w:tcPr>
            <w:tcW w:w="1560"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164" w:hRule="exact"/>
        </w:trPr>
        <w:tc>
          <w:tcPr>
            <w:tcW w:w="1703" w:type="dxa"/>
            <w:tcBorders>
              <w:top w:val="single" w:sz="6" w:space="0" w:color="000000"/>
              <w:left w:val="single" w:sz="12" w:space="0" w:color="000000"/>
              <w:bottom w:val="nil" w:sz="6" w:space="0" w:color="auto"/>
              <w:right w:val="single" w:sz="6" w:space="0" w:color="000000"/>
            </w:tcBorders>
            <w:shd w:val="clear" w:color="auto" w:fill="D2D2D2"/>
          </w:tcPr>
          <w:p>
            <w:pPr/>
          </w:p>
        </w:tc>
        <w:tc>
          <w:tcPr>
            <w:tcW w:w="1560" w:type="dxa"/>
            <w:vMerge w:val="restart"/>
            <w:tcBorders>
              <w:top w:val="single" w:sz="6" w:space="0" w:color="000000"/>
              <w:left w:val="single" w:sz="9" w:space="0" w:color="D2D2D2"/>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4" w:type="dxa"/>
            <w:vMerge w:val="restart"/>
            <w:tcBorders>
              <w:top w:val="single" w:sz="6" w:space="0" w:color="000000"/>
              <w:left w:val="single" w:sz="6" w:space="0" w:color="000000"/>
              <w:right w:val="single" w:sz="6" w:space="0" w:color="000000"/>
            </w:tcBorders>
          </w:tcPr>
          <w:p>
            <w:pPr>
              <w:pStyle w:val="TableParagraph"/>
              <w:spacing w:line="319" w:lineRule="auto" w:before="51"/>
              <w:ind w:left="309" w:right="83" w:hanging="226"/>
              <w:jc w:val="left"/>
              <w:rPr>
                <w:rFonts w:ascii="宋体" w:hAnsi="宋体" w:cs="宋体" w:eastAsia="宋体" w:hint="default"/>
                <w:sz w:val="18"/>
                <w:szCs w:val="18"/>
              </w:rPr>
            </w:pPr>
            <w:r>
              <w:rPr>
                <w:rFonts w:ascii="宋体" w:hAnsi="宋体" w:cs="宋体" w:eastAsia="宋体" w:hint="default"/>
                <w:sz w:val="18"/>
                <w:szCs w:val="18"/>
              </w:rPr>
              <w:t>南京市江宁经济技术开 发区胜太路</w:t>
            </w:r>
            <w:r>
              <w:rPr>
                <w:rFonts w:ascii="宋体" w:hAnsi="宋体" w:cs="宋体" w:eastAsia="宋体" w:hint="default"/>
                <w:spacing w:val="-46"/>
                <w:sz w:val="18"/>
                <w:szCs w:val="18"/>
              </w:rPr>
              <w:t> </w:t>
            </w:r>
            <w:r>
              <w:rPr>
                <w:rFonts w:ascii="宋体" w:hAnsi="宋体" w:cs="宋体" w:eastAsia="宋体" w:hint="default"/>
                <w:sz w:val="18"/>
                <w:szCs w:val="18"/>
              </w:rPr>
              <w:t>88</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86" w:right="0"/>
              <w:jc w:val="left"/>
              <w:rPr>
                <w:rFonts w:ascii="宋体" w:hAnsi="宋体" w:cs="宋体" w:eastAsia="宋体" w:hint="default"/>
                <w:sz w:val="18"/>
                <w:szCs w:val="18"/>
              </w:rPr>
            </w:pPr>
            <w:r>
              <w:rPr>
                <w:rFonts w:ascii="宋体"/>
                <w:sz w:val="18"/>
              </w:rPr>
              <w:t>3201212000874</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7" w:right="0"/>
              <w:jc w:val="left"/>
              <w:rPr>
                <w:rFonts w:ascii="宋体" w:hAnsi="宋体" w:cs="宋体" w:eastAsia="宋体" w:hint="default"/>
                <w:sz w:val="18"/>
                <w:szCs w:val="18"/>
              </w:rPr>
            </w:pPr>
            <w:r>
              <w:rPr>
                <w:rFonts w:ascii="宋体"/>
                <w:sz w:val="18"/>
              </w:rPr>
              <w:t>320121721750426</w:t>
            </w:r>
          </w:p>
        </w:tc>
        <w:tc>
          <w:tcPr>
            <w:tcW w:w="1202" w:type="dxa"/>
            <w:vMerge w:val="restart"/>
            <w:tcBorders>
              <w:top w:val="single" w:sz="6" w:space="0" w:color="000000"/>
              <w:left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sz w:val="18"/>
              </w:rPr>
              <w:t>72175042-6</w:t>
            </w:r>
          </w:p>
        </w:tc>
      </w:tr>
      <w:tr>
        <w:trPr>
          <w:trHeight w:val="392" w:hRule="exact"/>
        </w:trPr>
        <w:tc>
          <w:tcPr>
            <w:tcW w:w="1703"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首次注册</w:t>
            </w:r>
          </w:p>
        </w:tc>
        <w:tc>
          <w:tcPr>
            <w:tcW w:w="1560" w:type="dxa"/>
            <w:vMerge/>
            <w:tcBorders>
              <w:left w:val="single" w:sz="9" w:space="0" w:color="D2D2D2"/>
              <w:right w:val="single" w:sz="6" w:space="0" w:color="000000"/>
            </w:tcBorders>
          </w:tcPr>
          <w:p>
            <w:pPr/>
          </w:p>
        </w:tc>
        <w:tc>
          <w:tcPr>
            <w:tcW w:w="1984"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1560" w:type="dxa"/>
            <w:vMerge/>
            <w:tcBorders>
              <w:left w:val="single" w:sz="6" w:space="0" w:color="000000"/>
              <w:right w:val="single" w:sz="6" w:space="0" w:color="000000"/>
            </w:tcBorders>
          </w:tcPr>
          <w:p>
            <w:pPr/>
          </w:p>
        </w:tc>
        <w:tc>
          <w:tcPr>
            <w:tcW w:w="1202" w:type="dxa"/>
            <w:vMerge/>
            <w:tcBorders>
              <w:left w:val="single" w:sz="6" w:space="0" w:color="000000"/>
              <w:right w:val="single" w:sz="12" w:space="0" w:color="000000"/>
            </w:tcBorders>
          </w:tcPr>
          <w:p>
            <w:pPr/>
          </w:p>
        </w:tc>
      </w:tr>
      <w:tr>
        <w:trPr>
          <w:trHeight w:val="163" w:hRule="exact"/>
        </w:trPr>
        <w:tc>
          <w:tcPr>
            <w:tcW w:w="1703" w:type="dxa"/>
            <w:tcBorders>
              <w:top w:val="nil" w:sz="6" w:space="0" w:color="auto"/>
              <w:left w:val="single" w:sz="12" w:space="0" w:color="000000"/>
              <w:bottom w:val="single" w:sz="6" w:space="0" w:color="000000"/>
              <w:right w:val="single" w:sz="6" w:space="0" w:color="000000"/>
            </w:tcBorders>
            <w:shd w:val="clear" w:color="auto" w:fill="D2D2D2"/>
          </w:tcPr>
          <w:p>
            <w:pPr/>
          </w:p>
        </w:tc>
        <w:tc>
          <w:tcPr>
            <w:tcW w:w="1560" w:type="dxa"/>
            <w:vMerge/>
            <w:tcBorders>
              <w:left w:val="single" w:sz="9" w:space="0" w:color="D2D2D2"/>
              <w:bottom w:val="single" w:sz="6" w:space="0" w:color="000000"/>
              <w:right w:val="single" w:sz="6" w:space="0" w:color="000000"/>
            </w:tcBorders>
          </w:tcPr>
          <w:p>
            <w:pPr/>
          </w:p>
        </w:tc>
        <w:tc>
          <w:tcPr>
            <w:tcW w:w="1984"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12" w:space="0" w:color="000000"/>
            </w:tcBorders>
          </w:tcPr>
          <w:p>
            <w:pPr/>
          </w:p>
        </w:tc>
      </w:tr>
      <w:tr>
        <w:trPr>
          <w:trHeight w:val="758"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360" w:lineRule="auto" w:before="51"/>
              <w:ind w:left="295" w:right="303"/>
              <w:jc w:val="left"/>
              <w:rPr>
                <w:rFonts w:ascii="宋体" w:hAnsi="宋体" w:cs="宋体" w:eastAsia="宋体" w:hint="default"/>
                <w:sz w:val="18"/>
                <w:szCs w:val="18"/>
              </w:rPr>
            </w:pPr>
            <w:r>
              <w:rPr>
                <w:rFonts w:ascii="宋体" w:hAnsi="宋体" w:cs="宋体" w:eastAsia="宋体" w:hint="default"/>
                <w:sz w:val="18"/>
                <w:szCs w:val="18"/>
              </w:rPr>
              <w:t>股份公司成立 变更注册登记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1"/>
              <w:ind w:left="309" w:right="83" w:hanging="226"/>
              <w:jc w:val="left"/>
              <w:rPr>
                <w:rFonts w:ascii="宋体" w:hAnsi="宋体" w:cs="宋体" w:eastAsia="宋体" w:hint="default"/>
                <w:sz w:val="18"/>
                <w:szCs w:val="18"/>
              </w:rPr>
            </w:pPr>
            <w:r>
              <w:rPr>
                <w:rFonts w:ascii="宋体" w:hAnsi="宋体" w:cs="宋体" w:eastAsia="宋体" w:hint="default"/>
                <w:sz w:val="18"/>
                <w:szCs w:val="18"/>
              </w:rPr>
              <w:t>南京市江宁经济技术开 发区胜太路</w:t>
            </w:r>
            <w:r>
              <w:rPr>
                <w:rFonts w:ascii="宋体" w:hAnsi="宋体" w:cs="宋体" w:eastAsia="宋体" w:hint="default"/>
                <w:spacing w:val="-46"/>
                <w:sz w:val="18"/>
                <w:szCs w:val="18"/>
              </w:rPr>
              <w:t> </w:t>
            </w:r>
            <w:r>
              <w:rPr>
                <w:rFonts w:ascii="宋体" w:hAnsi="宋体" w:cs="宋体" w:eastAsia="宋体" w:hint="default"/>
                <w:sz w:val="18"/>
                <w:szCs w:val="18"/>
              </w:rPr>
              <w:t>88</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320121000030643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320121721750426</w:t>
            </w:r>
          </w:p>
        </w:tc>
        <w:tc>
          <w:tcPr>
            <w:tcW w:w="12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sz w:val="18"/>
              </w:rPr>
              <w:t>72175042-6</w:t>
            </w:r>
          </w:p>
        </w:tc>
      </w:tr>
      <w:tr>
        <w:trPr>
          <w:trHeight w:val="760"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360" w:lineRule="auto" w:before="52"/>
              <w:ind w:left="295" w:right="123" w:hanging="180"/>
              <w:jc w:val="left"/>
              <w:rPr>
                <w:rFonts w:ascii="宋体" w:hAnsi="宋体" w:cs="宋体" w:eastAsia="宋体" w:hint="default"/>
                <w:sz w:val="18"/>
                <w:szCs w:val="18"/>
              </w:rPr>
            </w:pPr>
            <w:r>
              <w:rPr>
                <w:rFonts w:ascii="宋体" w:hAnsi="宋体" w:cs="宋体" w:eastAsia="宋体" w:hint="default"/>
                <w:sz w:val="18"/>
                <w:szCs w:val="18"/>
              </w:rPr>
              <w:t>首次公开发行股票 变更注册登记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3"/>
              <w:ind w:left="309" w:right="83" w:hanging="226"/>
              <w:jc w:val="left"/>
              <w:rPr>
                <w:rFonts w:ascii="宋体" w:hAnsi="宋体" w:cs="宋体" w:eastAsia="宋体" w:hint="default"/>
                <w:sz w:val="18"/>
                <w:szCs w:val="18"/>
              </w:rPr>
            </w:pPr>
            <w:r>
              <w:rPr>
                <w:rFonts w:ascii="宋体" w:hAnsi="宋体" w:cs="宋体" w:eastAsia="宋体" w:hint="default"/>
                <w:sz w:val="18"/>
                <w:szCs w:val="18"/>
              </w:rPr>
              <w:t>南京市江宁经济技术开 发区胜太路</w:t>
            </w:r>
            <w:r>
              <w:rPr>
                <w:rFonts w:ascii="宋体" w:hAnsi="宋体" w:cs="宋体" w:eastAsia="宋体" w:hint="default"/>
                <w:spacing w:val="-46"/>
                <w:sz w:val="18"/>
                <w:szCs w:val="18"/>
              </w:rPr>
              <w:t> </w:t>
            </w:r>
            <w:r>
              <w:rPr>
                <w:rFonts w:ascii="宋体" w:hAnsi="宋体" w:cs="宋体" w:eastAsia="宋体" w:hint="default"/>
                <w:sz w:val="18"/>
                <w:szCs w:val="18"/>
              </w:rPr>
              <w:t>88</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320121000030643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320121721750426</w:t>
            </w:r>
          </w:p>
        </w:tc>
        <w:tc>
          <w:tcPr>
            <w:tcW w:w="12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sz w:val="18"/>
              </w:rPr>
              <w:t>72175042-6</w:t>
            </w:r>
          </w:p>
        </w:tc>
      </w:tr>
      <w:tr>
        <w:trPr>
          <w:trHeight w:val="719"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25" w:right="21" w:hanging="1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5"/>
                <w:sz w:val="18"/>
                <w:szCs w:val="18"/>
              </w:rPr>
              <w:t> </w:t>
            </w:r>
            <w:r>
              <w:rPr>
                <w:rFonts w:ascii="宋体" w:hAnsi="宋体" w:cs="宋体" w:eastAsia="宋体" w:hint="default"/>
                <w:sz w:val="18"/>
                <w:szCs w:val="18"/>
              </w:rPr>
              <w:t>年度实施利润分 配方案注册资本变更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309" w:right="83" w:hanging="226"/>
              <w:jc w:val="left"/>
              <w:rPr>
                <w:rFonts w:ascii="宋体" w:hAnsi="宋体" w:cs="宋体" w:eastAsia="宋体" w:hint="default"/>
                <w:sz w:val="18"/>
                <w:szCs w:val="18"/>
              </w:rPr>
            </w:pPr>
            <w:r>
              <w:rPr>
                <w:rFonts w:ascii="宋体" w:hAnsi="宋体" w:cs="宋体" w:eastAsia="宋体" w:hint="default"/>
                <w:sz w:val="18"/>
                <w:szCs w:val="18"/>
              </w:rPr>
              <w:t>南京市江宁经济技术开 发区胜太路</w:t>
            </w:r>
            <w:r>
              <w:rPr>
                <w:rFonts w:ascii="宋体" w:hAnsi="宋体" w:cs="宋体" w:eastAsia="宋体" w:hint="default"/>
                <w:spacing w:val="-46"/>
                <w:sz w:val="18"/>
                <w:szCs w:val="18"/>
              </w:rPr>
              <w:t> </w:t>
            </w:r>
            <w:r>
              <w:rPr>
                <w:rFonts w:ascii="宋体" w:hAnsi="宋体" w:cs="宋体" w:eastAsia="宋体" w:hint="default"/>
                <w:sz w:val="18"/>
                <w:szCs w:val="18"/>
              </w:rPr>
              <w:t>88</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320121000030643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320121721750426</w:t>
            </w:r>
          </w:p>
        </w:tc>
        <w:tc>
          <w:tcPr>
            <w:tcW w:w="12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72175042-6</w:t>
            </w:r>
          </w:p>
        </w:tc>
      </w:tr>
      <w:tr>
        <w:trPr>
          <w:trHeight w:val="719" w:hRule="exact"/>
        </w:trPr>
        <w:tc>
          <w:tcPr>
            <w:tcW w:w="17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经营范围变更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309" w:right="83" w:hanging="226"/>
              <w:jc w:val="left"/>
              <w:rPr>
                <w:rFonts w:ascii="宋体" w:hAnsi="宋体" w:cs="宋体" w:eastAsia="宋体" w:hint="default"/>
                <w:sz w:val="18"/>
                <w:szCs w:val="18"/>
              </w:rPr>
            </w:pPr>
            <w:r>
              <w:rPr>
                <w:rFonts w:ascii="宋体" w:hAnsi="宋体" w:cs="宋体" w:eastAsia="宋体" w:hint="default"/>
                <w:sz w:val="18"/>
                <w:szCs w:val="18"/>
              </w:rPr>
              <w:t>南京市江宁经济技术开 发区胜太路</w:t>
            </w:r>
            <w:r>
              <w:rPr>
                <w:rFonts w:ascii="宋体" w:hAnsi="宋体" w:cs="宋体" w:eastAsia="宋体" w:hint="default"/>
                <w:spacing w:val="-46"/>
                <w:sz w:val="18"/>
                <w:szCs w:val="18"/>
              </w:rPr>
              <w:t> </w:t>
            </w:r>
            <w:r>
              <w:rPr>
                <w:rFonts w:ascii="宋体" w:hAnsi="宋体" w:cs="宋体" w:eastAsia="宋体" w:hint="default"/>
                <w:sz w:val="18"/>
                <w:szCs w:val="18"/>
              </w:rPr>
              <w:t>88</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320121000030643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320121721750426</w:t>
            </w:r>
          </w:p>
        </w:tc>
        <w:tc>
          <w:tcPr>
            <w:tcW w:w="12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72175042-6</w:t>
            </w:r>
          </w:p>
        </w:tc>
      </w:tr>
      <w:tr>
        <w:trPr>
          <w:trHeight w:val="767" w:hRule="exact"/>
        </w:trPr>
        <w:tc>
          <w:tcPr>
            <w:tcW w:w="1703" w:type="dxa"/>
            <w:tcBorders>
              <w:top w:val="single" w:sz="6" w:space="0" w:color="000000"/>
              <w:left w:val="single" w:sz="12" w:space="0" w:color="000000"/>
              <w:bottom w:val="single" w:sz="12" w:space="0" w:color="000000"/>
              <w:right w:val="single" w:sz="6" w:space="0" w:color="000000"/>
            </w:tcBorders>
          </w:tcPr>
          <w:p>
            <w:pPr>
              <w:pStyle w:val="TableParagraph"/>
              <w:spacing w:line="357" w:lineRule="auto" w:before="52"/>
              <w:ind w:left="295" w:right="213" w:hanging="90"/>
              <w:jc w:val="left"/>
              <w:rPr>
                <w:rFonts w:ascii="宋体" w:hAnsi="宋体" w:cs="宋体" w:eastAsia="宋体" w:hint="default"/>
                <w:sz w:val="18"/>
                <w:szCs w:val="18"/>
              </w:rPr>
            </w:pPr>
            <w:r>
              <w:rPr>
                <w:rFonts w:ascii="宋体" w:hAnsi="宋体" w:cs="宋体" w:eastAsia="宋体" w:hint="default"/>
                <w:sz w:val="18"/>
                <w:szCs w:val="18"/>
              </w:rPr>
              <w:t>非公开发行股票 注册资本变更</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71"/>
              <w:ind w:left="309" w:right="83" w:hanging="226"/>
              <w:jc w:val="left"/>
              <w:rPr>
                <w:rFonts w:ascii="宋体" w:hAnsi="宋体" w:cs="宋体" w:eastAsia="宋体" w:hint="default"/>
                <w:sz w:val="18"/>
                <w:szCs w:val="18"/>
              </w:rPr>
            </w:pPr>
            <w:r>
              <w:rPr>
                <w:rFonts w:ascii="宋体" w:hAnsi="宋体" w:cs="宋体" w:eastAsia="宋体" w:hint="default"/>
                <w:sz w:val="18"/>
                <w:szCs w:val="18"/>
              </w:rPr>
              <w:t>南京市江宁经济技术开 发区胜太路</w:t>
            </w:r>
            <w:r>
              <w:rPr>
                <w:rFonts w:ascii="宋体" w:hAnsi="宋体" w:cs="宋体" w:eastAsia="宋体" w:hint="default"/>
                <w:spacing w:val="-46"/>
                <w:sz w:val="18"/>
                <w:szCs w:val="18"/>
              </w:rPr>
              <w:t> </w:t>
            </w:r>
            <w:r>
              <w:rPr>
                <w:rFonts w:ascii="宋体" w:hAnsi="宋体" w:cs="宋体" w:eastAsia="宋体" w:hint="default"/>
                <w:sz w:val="18"/>
                <w:szCs w:val="18"/>
              </w:rPr>
              <w:t>88</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320121000030643</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320121721750426</w:t>
            </w:r>
          </w:p>
        </w:tc>
        <w:tc>
          <w:tcPr>
            <w:tcW w:w="12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sz w:val="18"/>
              </w:rPr>
              <w:t>72175042-6</w:t>
            </w:r>
          </w:p>
        </w:tc>
      </w:tr>
    </w:tbl>
    <w:p>
      <w:pPr>
        <w:spacing w:after="0" w:line="240" w:lineRule="auto"/>
        <w:jc w:val="center"/>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000" w:top="1040" w:bottom="1180" w:left="980" w:right="98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19"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180" w:left="980" w:right="980"/>
          <w:cols w:num="2" w:equalWidth="0">
            <w:col w:w="6275" w:space="2645"/>
            <w:col w:w="1030"/>
          </w:cols>
        </w:sectPr>
      </w:pP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961"/>
        <w:gridCol w:w="1712"/>
        <w:gridCol w:w="1702"/>
        <w:gridCol w:w="1701"/>
        <w:gridCol w:w="1487"/>
      </w:tblGrid>
      <w:tr>
        <w:trPr>
          <w:trHeight w:val="419" w:hRule="exact"/>
        </w:trPr>
        <w:tc>
          <w:tcPr>
            <w:tcW w:w="2961"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71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56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21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8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11"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12" w:type="dxa"/>
            <w:tcBorders>
              <w:top w:val="single" w:sz="7" w:space="0" w:color="000000"/>
              <w:left w:val="single" w:sz="9"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343,346,895.97</w:t>
            </w:r>
          </w:p>
        </w:tc>
        <w:tc>
          <w:tcPr>
            <w:tcW w:w="1702"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323,440,328.38</w:t>
            </w:r>
          </w:p>
        </w:tc>
        <w:tc>
          <w:tcPr>
            <w:tcW w:w="1701"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6.15%</w:t>
            </w:r>
          </w:p>
        </w:tc>
        <w:tc>
          <w:tcPr>
            <w:tcW w:w="1487" w:type="dxa"/>
            <w:tcBorders>
              <w:top w:val="single" w:sz="7"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385,898,898.22</w:t>
            </w:r>
          </w:p>
        </w:tc>
      </w:tr>
      <w:tr>
        <w:trPr>
          <w:trHeight w:val="413"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7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231,842,067.72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213,980,508.87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8.35%</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236,996,904.05</w:t>
            </w:r>
          </w:p>
        </w:tc>
      </w:tr>
      <w:tr>
        <w:trPr>
          <w:trHeight w:val="412"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7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23,582,831.52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47,631,510.36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-50.49%</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77,905,422.60</w:t>
            </w:r>
          </w:p>
        </w:tc>
      </w:tr>
      <w:tr>
        <w:trPr>
          <w:trHeight w:val="412"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7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38,328,269.30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54,104,572.95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-29.16%</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84,317,066.16</w:t>
            </w:r>
          </w:p>
        </w:tc>
      </w:tr>
      <w:tr>
        <w:trPr>
          <w:trHeight w:val="413"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z w:val="18"/>
                <w:szCs w:val="18"/>
              </w:rPr>
              <w:t>归属于上市公司普通股股东的净利润</w:t>
            </w:r>
          </w:p>
        </w:tc>
        <w:tc>
          <w:tcPr>
            <w:tcW w:w="17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35,930,952.54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47,336,805.85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-24.10%</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72,656,085.71</w:t>
            </w:r>
          </w:p>
        </w:tc>
      </w:tr>
      <w:tr>
        <w:trPr>
          <w:trHeight w:val="758"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0" w:lineRule="auto" w:before="51"/>
              <w:ind w:left="296" w:right="299"/>
              <w:jc w:val="left"/>
              <w:rPr>
                <w:rFonts w:ascii="宋体" w:hAnsi="宋体" w:cs="宋体" w:eastAsia="宋体" w:hint="default"/>
                <w:sz w:val="18"/>
                <w:szCs w:val="18"/>
              </w:rPr>
            </w:pPr>
            <w:r>
              <w:rPr>
                <w:rFonts w:ascii="宋体" w:hAnsi="宋体" w:cs="宋体" w:eastAsia="宋体" w:hint="default"/>
                <w:sz w:val="18"/>
                <w:szCs w:val="18"/>
              </w:rPr>
              <w:t>归属于上市公司普通股股东的 扣除非经常性损益后的净利润</w:t>
            </w:r>
          </w:p>
        </w:tc>
        <w:tc>
          <w:tcPr>
            <w:tcW w:w="17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27,471,479.81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45,113,219.32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-39.11%</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73,817,165.47</w:t>
            </w:r>
          </w:p>
        </w:tc>
      </w:tr>
      <w:tr>
        <w:trPr>
          <w:trHeight w:val="413"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-11,967,059.48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20,427,549.77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-158.58%</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72,575,019.04</w:t>
            </w:r>
          </w:p>
        </w:tc>
      </w:tr>
      <w:tr>
        <w:trPr>
          <w:trHeight w:val="719"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每股经营活动产生的现金流量净额</w:t>
            </w:r>
          </w:p>
          <w:p>
            <w:pPr>
              <w:pStyle w:val="TableParagraph"/>
              <w:spacing w:line="240" w:lineRule="auto" w:before="76"/>
              <w:ind w:right="4"/>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7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-0.0742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0.1571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-147.23%</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0.8374</w:t>
            </w:r>
          </w:p>
        </w:tc>
      </w:tr>
      <w:tr>
        <w:trPr>
          <w:trHeight w:val="412"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0.2764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0.36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-23.22%</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0.69</w:t>
            </w:r>
          </w:p>
        </w:tc>
      </w:tr>
      <w:tr>
        <w:trPr>
          <w:trHeight w:val="412"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4"/>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0.2764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0.36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-23.22%</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0.69</w:t>
            </w:r>
          </w:p>
        </w:tc>
      </w:tr>
      <w:tr>
        <w:trPr>
          <w:trHeight w:val="413"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5.21%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7.11%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hAnsi="宋体" w:cs="宋体" w:eastAsia="宋体" w:hint="default"/>
                <w:sz w:val="18"/>
                <w:szCs w:val="18"/>
              </w:rPr>
              <w:t>-1.90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20.43%</w:t>
            </w:r>
          </w:p>
        </w:tc>
      </w:tr>
      <w:tr>
        <w:trPr>
          <w:trHeight w:val="760"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0" w:lineRule="auto" w:before="51"/>
              <w:ind w:left="567" w:right="569"/>
              <w:jc w:val="left"/>
              <w:rPr>
                <w:rFonts w:ascii="宋体" w:hAnsi="宋体" w:cs="宋体" w:eastAsia="宋体" w:hint="default"/>
                <w:sz w:val="18"/>
                <w:szCs w:val="18"/>
              </w:rPr>
            </w:pPr>
            <w:r>
              <w:rPr>
                <w:rFonts w:ascii="宋体" w:hAnsi="宋体" w:cs="宋体" w:eastAsia="宋体" w:hint="default"/>
                <w:sz w:val="18"/>
                <w:szCs w:val="18"/>
              </w:rPr>
              <w:t>扣除非经常性损益后的 加权平均净资产收益率</w:t>
            </w:r>
          </w:p>
        </w:tc>
        <w:tc>
          <w:tcPr>
            <w:tcW w:w="17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3.98%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6.77%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hAnsi="宋体" w:cs="宋体" w:eastAsia="宋体" w:hint="default"/>
                <w:sz w:val="18"/>
                <w:szCs w:val="18"/>
              </w:rPr>
              <w:t>-2.79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20.76%</w:t>
            </w:r>
          </w:p>
        </w:tc>
      </w:tr>
      <w:tr>
        <w:trPr>
          <w:trHeight w:val="410"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47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46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3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87"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12"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期末总股本（股）</w:t>
            </w:r>
          </w:p>
        </w:tc>
        <w:tc>
          <w:tcPr>
            <w:tcW w:w="1712" w:type="dxa"/>
            <w:tcBorders>
              <w:top w:val="single" w:sz="7"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161,221,848.00</w:t>
            </w:r>
          </w:p>
        </w:tc>
        <w:tc>
          <w:tcPr>
            <w:tcW w:w="1702"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130,005,000.00</w:t>
            </w:r>
          </w:p>
        </w:tc>
        <w:tc>
          <w:tcPr>
            <w:tcW w:w="1701"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24.01%</w:t>
            </w:r>
          </w:p>
        </w:tc>
        <w:tc>
          <w:tcPr>
            <w:tcW w:w="1487" w:type="dxa"/>
            <w:tcBorders>
              <w:top w:val="single" w:sz="7"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86,670,000.00</w:t>
            </w:r>
          </w:p>
        </w:tc>
      </w:tr>
      <w:tr>
        <w:trPr>
          <w:trHeight w:val="412"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17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1,987,723,138.56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930,626,946.09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113.59%</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787,143,812.83</w:t>
            </w:r>
          </w:p>
        </w:tc>
      </w:tr>
      <w:tr>
        <w:trPr>
          <w:trHeight w:val="413"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负债总额</w:t>
            </w:r>
          </w:p>
        </w:tc>
        <w:tc>
          <w:tcPr>
            <w:tcW w:w="17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612,483,327.63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242,068,043.28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153.02%</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129,465,436.56</w:t>
            </w:r>
          </w:p>
        </w:tc>
      </w:tr>
      <w:tr>
        <w:trPr>
          <w:trHeight w:val="758"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60" w:lineRule="auto" w:before="51"/>
              <w:ind w:left="1017" w:right="299" w:hanging="721"/>
              <w:jc w:val="left"/>
              <w:rPr>
                <w:rFonts w:ascii="宋体" w:hAnsi="宋体" w:cs="宋体" w:eastAsia="宋体" w:hint="default"/>
                <w:sz w:val="18"/>
                <w:szCs w:val="18"/>
              </w:rPr>
            </w:pPr>
            <w:r>
              <w:rPr>
                <w:rFonts w:ascii="宋体" w:hAnsi="宋体" w:cs="宋体" w:eastAsia="宋体" w:hint="default"/>
                <w:sz w:val="18"/>
                <w:szCs w:val="18"/>
              </w:rPr>
              <w:t>归属于上市公司普通股股东的 所有者权益</w:t>
            </w:r>
          </w:p>
        </w:tc>
        <w:tc>
          <w:tcPr>
            <w:tcW w:w="17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1,296,153,782.51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679,014,182.12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90.89%</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657,678,376.27</w:t>
            </w:r>
          </w:p>
        </w:tc>
      </w:tr>
      <w:tr>
        <w:trPr>
          <w:trHeight w:val="760" w:hRule="exact"/>
        </w:trPr>
        <w:tc>
          <w:tcPr>
            <w:tcW w:w="29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57" w:lineRule="auto" w:before="52"/>
              <w:ind w:left="611" w:right="299" w:hanging="315"/>
              <w:jc w:val="left"/>
              <w:rPr>
                <w:rFonts w:ascii="宋体" w:hAnsi="宋体" w:cs="宋体" w:eastAsia="宋体" w:hint="default"/>
                <w:sz w:val="18"/>
                <w:szCs w:val="18"/>
              </w:rPr>
            </w:pPr>
            <w:r>
              <w:rPr>
                <w:rFonts w:ascii="宋体" w:hAnsi="宋体" w:cs="宋体" w:eastAsia="宋体" w:hint="default"/>
                <w:sz w:val="18"/>
                <w:szCs w:val="18"/>
              </w:rPr>
              <w:t>归属于上市公司普通股股东的 每股净资产（元</w:t>
            </w:r>
            <w:r>
              <w:rPr>
                <w:rFonts w:ascii="宋体" w:hAnsi="宋体" w:cs="宋体" w:eastAsia="宋体" w:hint="default"/>
                <w:sz w:val="18"/>
                <w:szCs w:val="18"/>
              </w:rPr>
              <w:t>/</w:t>
            </w:r>
            <w:r>
              <w:rPr>
                <w:rFonts w:ascii="宋体" w:hAnsi="宋体" w:cs="宋体" w:eastAsia="宋体" w:hint="default"/>
                <w:sz w:val="18"/>
                <w:szCs w:val="18"/>
              </w:rPr>
              <w:t>股）</w:t>
            </w:r>
          </w:p>
        </w:tc>
        <w:tc>
          <w:tcPr>
            <w:tcW w:w="1712"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8.0396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5.2230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53.93%</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7.5883</w:t>
            </w:r>
          </w:p>
        </w:tc>
      </w:tr>
      <w:tr>
        <w:trPr>
          <w:trHeight w:val="419" w:hRule="exact"/>
        </w:trPr>
        <w:tc>
          <w:tcPr>
            <w:tcW w:w="296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1712"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30.81%</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26.01%</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sz w:val="18"/>
                <w:szCs w:val="18"/>
              </w:rPr>
              <w:t>4.80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4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16.45%</w:t>
            </w:r>
          </w:p>
        </w:tc>
      </w:tr>
    </w:tbl>
    <w:p>
      <w:pPr>
        <w:pStyle w:val="BodyText"/>
        <w:spacing w:line="408" w:lineRule="auto" w:before="63"/>
        <w:ind w:left="154" w:right="0"/>
        <w:jc w:val="left"/>
      </w:pPr>
      <w:r>
        <w:rPr>
          <w:spacing w:val="-1"/>
        </w:rPr>
        <w:t>公司报告期末至年度报告披露日股本是否因发行新股、增发、配股、股权激励行权、回购等原因发生变化</w:t>
      </w:r>
      <w:r>
        <w:rPr>
          <w:spacing w:val="-85"/>
        </w:rPr>
        <w:t> </w:t>
      </w:r>
      <w:r>
        <w:rPr>
          <w:spacing w:val="-85"/>
        </w:rPr>
      </w:r>
      <w:r>
        <w:rPr/>
        <w:t>且影响所有者权益金额</w:t>
      </w:r>
    </w:p>
    <w:p>
      <w:pPr>
        <w:spacing w:after="0" w:line="408" w:lineRule="auto"/>
        <w:jc w:val="left"/>
        <w:sectPr>
          <w:type w:val="continuous"/>
          <w:pgSz w:w="11910" w:h="16840"/>
          <w:pgMar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0"/>
        <w:jc w:val="left"/>
      </w:pPr>
      <w:r>
        <w:rPr/>
        <w:t>√ 是 □ 否</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657"/>
        <w:gridCol w:w="4911"/>
      </w:tblGrid>
      <w:tr>
        <w:trPr>
          <w:trHeight w:val="427" w:hRule="exact"/>
        </w:trPr>
        <w:tc>
          <w:tcPr>
            <w:tcW w:w="4657"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911"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0.2229</w:t>
            </w:r>
          </w:p>
        </w:tc>
      </w:tr>
    </w:tbl>
    <w:p>
      <w:pPr>
        <w:spacing w:line="240" w:lineRule="auto" w:before="2"/>
        <w:rPr>
          <w:rFonts w:ascii="宋体" w:hAnsi="宋体" w:cs="宋体" w:eastAsia="宋体" w:hint="default"/>
          <w:sz w:val="18"/>
          <w:szCs w:val="18"/>
        </w:rPr>
      </w:pPr>
    </w:p>
    <w:p>
      <w:pPr>
        <w:pStyle w:val="Heading2"/>
        <w:spacing w:line="240" w:lineRule="auto"/>
        <w:ind w:left="154" w:right="0"/>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同时按照国际会计准则与按照中国会计准则披露的财务报告中净利润和净资产差异情况" w:id="13"/>
      <w:bookmarkEnd w:id="13"/>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0"/>
          <w:szCs w:val="20"/>
        </w:rPr>
      </w:pPr>
    </w:p>
    <w:p>
      <w:pPr>
        <w:spacing w:line="477" w:lineRule="auto" w:before="179"/>
        <w:ind w:left="153" w:right="220"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4"/>
        <w:spacing w:line="240" w:lineRule="auto"/>
        <w:ind w:left="153" w:right="0"/>
        <w:jc w:val="left"/>
        <w:rPr>
          <w:b w:val="0"/>
          <w:bCs w:val="0"/>
        </w:rPr>
      </w:pPr>
      <w:bookmarkStart w:name="2、同时按照境外会计准则与按照中国会计准则披露的财务报告中净利润和净资产差异情况" w:id="14"/>
      <w:bookmarkEnd w:id="14"/>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0"/>
          <w:szCs w:val="20"/>
        </w:rPr>
      </w:pPr>
    </w:p>
    <w:p>
      <w:pPr>
        <w:spacing w:line="477" w:lineRule="auto" w:before="179"/>
        <w:ind w:left="154" w:right="16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7"/>
          <w:szCs w:val="17"/>
        </w:rPr>
      </w:pPr>
    </w:p>
    <w:p>
      <w:pPr>
        <w:pStyle w:val="Heading2"/>
        <w:spacing w:line="240" w:lineRule="auto" w:before="0"/>
        <w:ind w:right="0"/>
        <w:jc w:val="left"/>
        <w:rPr>
          <w:b w:val="0"/>
          <w:bCs w:val="0"/>
        </w:rPr>
      </w:pPr>
      <w:bookmarkStart w:name="三、非经常性损益的项目及金额" w:id="15"/>
      <w:bookmarkEnd w:id="15"/>
      <w:r>
        <w:rPr>
          <w:b w:val="0"/>
          <w:bCs w:val="0"/>
        </w:rPr>
      </w:r>
      <w:r>
        <w:rPr/>
        <w:t>三、非经常性损益的项目及金额</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280"/>
        <w:gridCol w:w="1530"/>
        <w:gridCol w:w="1520"/>
        <w:gridCol w:w="1522"/>
        <w:gridCol w:w="1709"/>
      </w:tblGrid>
      <w:tr>
        <w:trPr>
          <w:trHeight w:val="418" w:hRule="exact"/>
        </w:trPr>
        <w:tc>
          <w:tcPr>
            <w:tcW w:w="328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29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2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28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0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9"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0" w:type="dxa"/>
            <w:tcBorders>
              <w:top w:val="single" w:sz="7" w:space="0" w:color="000000"/>
              <w:left w:val="single" w:sz="14"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-16,469.78</w:t>
            </w:r>
          </w:p>
        </w:tc>
        <w:tc>
          <w:tcPr>
            <w:tcW w:w="1520"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-97,346.57</w:t>
            </w:r>
          </w:p>
        </w:tc>
        <w:tc>
          <w:tcPr>
            <w:tcW w:w="1522"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-28,703.95</w:t>
            </w:r>
          </w:p>
        </w:tc>
        <w:tc>
          <w:tcPr>
            <w:tcW w:w="1709" w:type="dxa"/>
            <w:tcBorders>
              <w:top w:val="single" w:sz="7" w:space="0" w:color="000000"/>
              <w:left w:val="single" w:sz="6" w:space="0" w:color="000000"/>
              <w:bottom w:val="single" w:sz="6" w:space="0" w:color="000000"/>
              <w:right w:val="single" w:sz="12" w:space="0" w:color="000000"/>
            </w:tcBorders>
          </w:tcPr>
          <w:p>
            <w:pPr/>
          </w:p>
        </w:tc>
      </w:tr>
      <w:tr>
        <w:trPr>
          <w:trHeight w:val="1031"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6"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9,949,303.00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2,588,400.00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250,000.00</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left="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25,461.61</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124,930.72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-1,587,272.24</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left="6"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1,493,744.22</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392,397.62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-204,896.43</w:t>
            </w:r>
          </w:p>
        </w:tc>
        <w:tc>
          <w:tcPr>
            <w:tcW w:w="170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28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66"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5,077.88</w:t>
            </w:r>
          </w:p>
        </w:tc>
        <w:tc>
          <w:tcPr>
            <w:tcW w:w="1520"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7" w:space="0" w:color="000000"/>
              <w:right w:val="single" w:sz="12" w:space="0" w:color="000000"/>
            </w:tcBorders>
          </w:tcPr>
          <w:p>
            <w:pPr/>
          </w:p>
        </w:tc>
      </w:tr>
      <w:tr>
        <w:trPr>
          <w:trHeight w:val="419" w:hRule="exact"/>
        </w:trPr>
        <w:tc>
          <w:tcPr>
            <w:tcW w:w="328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8,459,472.73</w:t>
            </w:r>
          </w:p>
        </w:tc>
        <w:tc>
          <w:tcPr>
            <w:tcW w:w="1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2,223,586.53</w:t>
            </w:r>
          </w:p>
        </w:tc>
        <w:tc>
          <w:tcPr>
            <w:tcW w:w="1522" w:type="dxa"/>
            <w:tcBorders>
              <w:top w:val="single" w:sz="6" w:space="0" w:color="000000"/>
              <w:left w:val="single" w:sz="6" w:space="0" w:color="000000"/>
              <w:bottom w:val="single" w:sz="12" w:space="0" w:color="000000"/>
              <w:right w:val="single" w:sz="14" w:space="0" w:color="D2D2D2"/>
            </w:tcBorders>
          </w:tcPr>
          <w:p>
            <w:pPr>
              <w:pStyle w:val="TableParagraph"/>
              <w:spacing w:line="240" w:lineRule="auto" w:before="54"/>
              <w:ind w:right="7"/>
              <w:jc w:val="right"/>
              <w:rPr>
                <w:rFonts w:ascii="宋体" w:hAnsi="宋体" w:cs="宋体" w:eastAsia="宋体" w:hint="default"/>
                <w:sz w:val="18"/>
                <w:szCs w:val="18"/>
              </w:rPr>
            </w:pPr>
            <w:r>
              <w:rPr>
                <w:rFonts w:ascii="宋体"/>
                <w:sz w:val="18"/>
              </w:rPr>
              <w:t>-1,161,079.76</w:t>
            </w:r>
          </w:p>
        </w:tc>
        <w:tc>
          <w:tcPr>
            <w:tcW w:w="1709"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7"/>
          <w:sz w:val="18"/>
          <w:szCs w:val="18"/>
        </w:rPr>
        <w:t>号——非经常性损益》定义界定的非经常性损益项目，以及把《公</w:t>
      </w:r>
    </w:p>
    <w:p>
      <w:pPr>
        <w:spacing w:line="319" w:lineRule="auto" w:before="76"/>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宋体" w:hAnsi="宋体" w:cs="宋体" w:eastAsia="宋体" w:hint="default"/>
          <w:sz w:val="18"/>
          <w:szCs w:val="18"/>
        </w:rPr>
        <w:t>1</w:t>
      </w:r>
      <w:r>
        <w:rPr>
          <w:rFonts w:ascii="宋体" w:hAnsi="宋体" w:cs="宋体" w:eastAsia="宋体" w:hint="default"/>
          <w:spacing w:val="-71"/>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5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19" w:lineRule="auto" w:before="115"/>
        <w:ind w:left="153" w:right="13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19" w:lineRule="auto"/>
        <w:jc w:val="left"/>
        <w:rPr>
          <w:rFonts w:ascii="宋体" w:hAnsi="宋体" w:cs="宋体" w:eastAsia="宋体" w:hint="default"/>
          <w:sz w:val="18"/>
          <w:szCs w:val="18"/>
        </w:rPr>
        <w:sectPr>
          <w:pgSz w:w="11910" w:h="16840"/>
          <w:pgMar w:header="747" w:footer="1000" w:top="1040" w:bottom="1180" w:left="980" w:right="980"/>
        </w:sectPr>
      </w:pPr>
    </w:p>
    <w:p>
      <w:pPr>
        <w:spacing w:line="240" w:lineRule="auto" w:before="5"/>
        <w:rPr>
          <w:rFonts w:ascii="宋体" w:hAnsi="宋体" w:cs="宋体" w:eastAsia="宋体" w:hint="default"/>
          <w:sz w:val="24"/>
          <w:szCs w:val="24"/>
        </w:rPr>
      </w:pPr>
    </w:p>
    <w:p>
      <w:pPr>
        <w:pStyle w:val="Heading2"/>
        <w:spacing w:line="240" w:lineRule="auto"/>
        <w:ind w:right="0"/>
        <w:jc w:val="both"/>
        <w:rPr>
          <w:b w:val="0"/>
          <w:bCs w:val="0"/>
        </w:rPr>
      </w:pPr>
      <w:bookmarkStart w:name="四、重大风险提示" w:id="16"/>
      <w:bookmarkEnd w:id="16"/>
      <w:r>
        <w:rPr>
          <w:b w:val="0"/>
          <w:bCs w:val="0"/>
        </w:rPr>
      </w:r>
      <w:r>
        <w:rPr/>
        <w:t>四、重大风险提示</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8" w:right="102"/>
        <w:jc w:val="left"/>
      </w:pPr>
      <w:r>
        <w:rPr>
          <w:rFonts w:ascii="宋体" w:hAnsi="宋体" w:cs="宋体" w:eastAsia="宋体" w:hint="default"/>
        </w:rPr>
        <w:t>1</w:t>
      </w:r>
      <w:r>
        <w:rPr/>
        <w:t>、资产并购整合带来的业务风险 </w:t>
      </w:r>
      <w:r>
        <w:rPr>
          <w:spacing w:val="-3"/>
        </w:rPr>
        <w:t>报告期内，公司按照“3+4”战略架构及“1+3”的战略布局，结合公司核心竞争优势及未来发展方向，</w:t>
      </w:r>
    </w:p>
    <w:p>
      <w:pPr>
        <w:pStyle w:val="BodyText"/>
        <w:spacing w:line="408" w:lineRule="auto"/>
        <w:ind w:right="211"/>
        <w:jc w:val="both"/>
      </w:pPr>
      <w:r>
        <w:rPr>
          <w:spacing w:val="-1"/>
        </w:rPr>
        <w:t>进行了以市场拓展和行业拓展为目的的资产并购业务。业务完成后将有助于公司增加新的利润增长点，增</w:t>
      </w:r>
      <w:r>
        <w:rPr>
          <w:spacing w:val="-81"/>
        </w:rPr>
        <w:t> </w:t>
      </w:r>
      <w:r>
        <w:rPr>
          <w:spacing w:val="-81"/>
        </w:rPr>
      </w:r>
      <w:r>
        <w:rPr>
          <w:spacing w:val="-1"/>
        </w:rPr>
        <w:t>强抗风险能力，但是对新市场和新行业的开发具有不确定性，因此也可能带来一定的业务风险。公司审慎</w:t>
      </w:r>
      <w:r>
        <w:rPr>
          <w:spacing w:val="-83"/>
        </w:rPr>
        <w:t> </w:t>
      </w:r>
      <w:r>
        <w:rPr>
          <w:spacing w:val="-83"/>
        </w:rPr>
      </w:r>
      <w:r>
        <w:rPr>
          <w:spacing w:val="-1"/>
        </w:rPr>
        <w:t>对待每一次的并购业务，对新市场和新行业进行充分的了解和论证，对公司既有资源与新资源进行有效联</w:t>
      </w:r>
      <w:r>
        <w:rPr>
          <w:spacing w:val="-81"/>
        </w:rPr>
        <w:t> </w:t>
      </w:r>
      <w:r>
        <w:rPr>
          <w:spacing w:val="-81"/>
        </w:rPr>
      </w:r>
      <w:r>
        <w:rPr/>
        <w:t>结，对标的公司引入公司统一管理机制进行管理，努力将资产并购整合带来的业务风险降至最低。</w:t>
      </w:r>
    </w:p>
    <w:p>
      <w:pPr>
        <w:pStyle w:val="BodyText"/>
        <w:spacing w:line="408" w:lineRule="auto"/>
        <w:ind w:left="578" w:right="102"/>
        <w:jc w:val="left"/>
      </w:pPr>
      <w:r>
        <w:rPr>
          <w:rFonts w:ascii="宋体" w:hAnsi="宋体" w:cs="宋体" w:eastAsia="宋体" w:hint="default"/>
        </w:rPr>
        <w:t>2</w:t>
      </w:r>
      <w:r>
        <w:rPr/>
        <w:t>、资产并购整合带来的管理风险 </w:t>
      </w:r>
      <w:r>
        <w:rPr>
          <w:spacing w:val="-1"/>
        </w:rPr>
        <w:t>公司按照战略部署已逐步开展资产并购工作，在并购整合过程中由于各企业不同的历史沿革、发展规</w:t>
      </w:r>
    </w:p>
    <w:p>
      <w:pPr>
        <w:pStyle w:val="BodyText"/>
        <w:spacing w:line="408" w:lineRule="auto"/>
        <w:ind w:right="213"/>
        <w:jc w:val="both"/>
      </w:pPr>
      <w:r>
        <w:rPr>
          <w:spacing w:val="-1"/>
        </w:rPr>
        <w:t>划、企业文化，公司未来可能存在由于资产并购整合带来的管理风险。对此，公司将从统一战略规划、完</w:t>
      </w:r>
      <w:r>
        <w:rPr>
          <w:spacing w:val="-83"/>
        </w:rPr>
        <w:t> </w:t>
      </w:r>
      <w:r>
        <w:rPr>
          <w:spacing w:val="-83"/>
        </w:rPr>
      </w:r>
      <w:r>
        <w:rPr/>
        <w:t>善制度规范、派驻关键岗位等方面着手，加强扁平化管理，逐步消减整合带来的管理风险。</w:t>
      </w:r>
    </w:p>
    <w:p>
      <w:pPr>
        <w:pStyle w:val="BodyText"/>
        <w:spacing w:line="408" w:lineRule="auto"/>
        <w:ind w:left="578" w:right="102"/>
        <w:jc w:val="left"/>
      </w:pPr>
      <w:r>
        <w:rPr>
          <w:rFonts w:ascii="宋体" w:hAnsi="宋体" w:cs="宋体" w:eastAsia="宋体" w:hint="default"/>
        </w:rPr>
        <w:t>3</w:t>
      </w:r>
      <w:r>
        <w:rPr/>
        <w:t>、用电信息采集系统市场覆盖率日渐提高的风险 </w:t>
      </w:r>
      <w:r>
        <w:rPr>
          <w:spacing w:val="-1"/>
        </w:rPr>
        <w:t>公司所从事的智能用电信息采集系统软硬件的研发、生产和销售，主要销售对象是国家电网及下属各</w:t>
      </w:r>
    </w:p>
    <w:p>
      <w:pPr>
        <w:pStyle w:val="BodyText"/>
        <w:spacing w:line="408" w:lineRule="auto"/>
        <w:ind w:right="210"/>
        <w:jc w:val="both"/>
      </w:pPr>
      <w:r>
        <w:rPr>
          <w:spacing w:val="-1"/>
        </w:rPr>
        <w:t>网省公司，业务的发展依赖于电力行业的发展和国家电网公司的需求，预计</w:t>
      </w:r>
      <w:r>
        <w:rPr>
          <w:rFonts w:ascii="宋体" w:hAnsi="宋体" w:cs="宋体" w:eastAsia="宋体" w:hint="default"/>
          <w:spacing w:val="-1"/>
        </w:rPr>
        <w:t>2015</w:t>
      </w:r>
      <w:r>
        <w:rPr>
          <w:spacing w:val="-1"/>
        </w:rPr>
        <w:t>年，在国网覆盖区域内将</w:t>
      </w:r>
      <w:r>
        <w:rPr>
          <w:spacing w:val="-81"/>
        </w:rPr>
        <w:t> </w:t>
      </w:r>
      <w:r>
        <w:rPr>
          <w:spacing w:val="-81"/>
        </w:rPr>
      </w:r>
      <w:r>
        <w:rPr>
          <w:spacing w:val="-1"/>
        </w:rPr>
        <w:t>基本实现用电信息采集的全覆盖全费控全采集。该细分市场产品体量日渐饱和可能会对公司用电信息采集</w:t>
      </w:r>
      <w:r>
        <w:rPr>
          <w:spacing w:val="-81"/>
        </w:rPr>
        <w:t> </w:t>
      </w:r>
      <w:r>
        <w:rPr>
          <w:spacing w:val="-81"/>
        </w:rPr>
      </w:r>
      <w:r>
        <w:rPr/>
        <w:t>系统业务的拓展产生不利的影响。</w:t>
      </w:r>
    </w:p>
    <w:p>
      <w:pPr>
        <w:pStyle w:val="BodyText"/>
        <w:spacing w:line="408" w:lineRule="auto"/>
        <w:ind w:left="154" w:right="168" w:firstLine="424"/>
        <w:jc w:val="left"/>
      </w:pPr>
      <w:r>
        <w:rPr/>
        <w:t>考虑到上述风险发生的可能性，公司在巩固用电信息采集市场的同时，积极开拓电力行业其他市场， 通过并购方式整合产业链，发挥协同效应，增长新的经济增长点，保持公司稳定健康发展。</w:t>
      </w:r>
    </w:p>
    <w:p>
      <w:pPr>
        <w:pStyle w:val="BodyText"/>
        <w:spacing w:line="408" w:lineRule="auto"/>
        <w:ind w:left="578" w:right="102"/>
        <w:jc w:val="left"/>
      </w:pPr>
      <w:r>
        <w:rPr>
          <w:rFonts w:ascii="宋体" w:hAnsi="宋体" w:cs="宋体" w:eastAsia="宋体" w:hint="default"/>
        </w:rPr>
        <w:t>4</w:t>
      </w:r>
      <w:r>
        <w:rPr/>
        <w:t>、新业务市场开发的风险 随着公司</w:t>
      </w:r>
      <w:r>
        <w:rPr>
          <w:rFonts w:ascii="宋体" w:hAnsi="宋体" w:cs="宋体" w:eastAsia="宋体" w:hint="default"/>
        </w:rPr>
        <w:t>1+3</w:t>
      </w:r>
      <w:r>
        <w:rPr/>
        <w:t>产业布局的逐步推进，健康医疗管理、版权云项目等新业务将陆续进入市场，公司对新</w:t>
      </w:r>
    </w:p>
    <w:p>
      <w:pPr>
        <w:pStyle w:val="BodyText"/>
        <w:spacing w:line="408" w:lineRule="auto"/>
        <w:ind w:left="154" w:right="211"/>
        <w:jc w:val="both"/>
      </w:pPr>
      <w:r>
        <w:rPr>
          <w:spacing w:val="-1"/>
        </w:rPr>
        <w:t>业务的市场环境有待深入了解，对业务快速开展的方式有待探索，存在一定市场开拓风险。考虑到上述风</w:t>
      </w:r>
      <w:r>
        <w:rPr>
          <w:spacing w:val="-83"/>
        </w:rPr>
        <w:t> </w:t>
      </w:r>
      <w:r>
        <w:rPr>
          <w:spacing w:val="-83"/>
        </w:rPr>
      </w:r>
      <w:r>
        <w:rPr>
          <w:spacing w:val="-1"/>
        </w:rPr>
        <w:t>险发生的可能性，公司密切跟踪国家产业政策导向，关注行业发展动态，在新业务进入市场前从技术、市</w:t>
      </w:r>
      <w:r>
        <w:rPr>
          <w:spacing w:val="-85"/>
        </w:rPr>
        <w:t> </w:t>
      </w:r>
      <w:r>
        <w:rPr>
          <w:spacing w:val="-85"/>
        </w:rPr>
      </w:r>
      <w:r>
        <w:rPr/>
        <w:t>场、模式、团队等各方面进行充分探讨、沟通、测试、准备，以降低新业务市场开发风险。</w:t>
      </w:r>
    </w:p>
    <w:p>
      <w:pPr>
        <w:pStyle w:val="BodyText"/>
        <w:spacing w:line="408" w:lineRule="auto"/>
        <w:ind w:left="578" w:right="102"/>
        <w:jc w:val="left"/>
      </w:pPr>
      <w:r>
        <w:rPr>
          <w:rFonts w:ascii="宋体" w:hAnsi="宋体" w:cs="宋体" w:eastAsia="宋体" w:hint="default"/>
        </w:rPr>
        <w:t>5</w:t>
      </w:r>
      <w:r>
        <w:rPr/>
        <w:t>、人力资源短缺的风险 </w:t>
      </w:r>
      <w:r>
        <w:rPr>
          <w:spacing w:val="-1"/>
        </w:rPr>
        <w:t>随着公司现有主要产品未来向不同的市场拓展，以及按照公司战略部署进行新技术研发，同时借助资</w:t>
      </w:r>
    </w:p>
    <w:p>
      <w:pPr>
        <w:pStyle w:val="BodyText"/>
        <w:spacing w:line="408" w:lineRule="auto"/>
        <w:ind w:left="154" w:right="190"/>
        <w:jc w:val="both"/>
      </w:pPr>
      <w:r>
        <w:rPr>
          <w:spacing w:val="-1"/>
        </w:rPr>
        <w:t>本市场进行产业并购的需要，公司未来对营销、技术、管理人才的需求进一步凸显，公司存在人力资源短</w:t>
      </w:r>
      <w:r>
        <w:rPr>
          <w:spacing w:val="-86"/>
        </w:rPr>
        <w:t> </w:t>
      </w:r>
      <w:r>
        <w:rPr>
          <w:spacing w:val="-86"/>
        </w:rPr>
      </w:r>
      <w:r>
        <w:rPr/>
        <w:t>缺的风险。公司已加大对内部人员的培训和指导，注重内部人才的培养，同时开拓了多种人才引进渠道， 为公司的人才储备提供保障。</w:t>
      </w:r>
    </w:p>
    <w:p>
      <w:pPr>
        <w:spacing w:after="0" w:line="408" w:lineRule="auto"/>
        <w:jc w:val="both"/>
        <w:sectPr>
          <w:pgSz w:w="11910" w:h="16840"/>
          <w:pgMar w:header="747" w:footer="1000" w:top="104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1"/>
        <w:spacing w:line="240" w:lineRule="auto"/>
        <w:ind w:right="150"/>
        <w:jc w:val="center"/>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both"/>
        <w:rPr>
          <w:b w:val="0"/>
          <w:bCs w:val="0"/>
        </w:rPr>
      </w:pPr>
      <w:bookmarkStart w:name="一、管理层讨论与分析" w:id="19"/>
      <w:bookmarkEnd w:id="19"/>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both"/>
        <w:rPr>
          <w:b w:val="0"/>
          <w:bCs w:val="0"/>
        </w:rPr>
      </w:pPr>
      <w:bookmarkStart w:name="1、报告期内主要业务回顾" w:id="20"/>
      <w:bookmarkEnd w:id="20"/>
      <w:r>
        <w:rPr>
          <w:b w:val="0"/>
          <w:bCs w:val="0"/>
        </w:rPr>
      </w:r>
      <w:r>
        <w:rPr>
          <w:rFonts w:ascii="宋体" w:hAnsi="宋体" w:cs="宋体" w:eastAsia="宋体" w:hint="default"/>
        </w:rPr>
        <w:t>1</w:t>
      </w:r>
      <w:r>
        <w:rPr/>
        <w:t>、报告期内主要业务回顾</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right="146" w:firstLine="420"/>
        <w:jc w:val="both"/>
      </w:pPr>
      <w:r>
        <w:rPr>
          <w:rFonts w:ascii="宋体" w:hAnsi="宋体" w:cs="宋体" w:eastAsia="宋体" w:hint="default"/>
          <w:spacing w:val="-1"/>
        </w:rPr>
        <w:t>2014</w:t>
      </w:r>
      <w:r>
        <w:rPr>
          <w:spacing w:val="-1"/>
        </w:rPr>
        <w:t>年，公司在继续贯彻“创新驱动、资本助力；一体两翼、协调发展”的战略规划的前提下，提出</w:t>
      </w:r>
      <w:r>
        <w:rPr/>
        <w:t> 了“一个中心、一个基础、一个体系、网内与网外、国内与国外，服务与制造，建设与营运”的</w:t>
      </w:r>
      <w:r>
        <w:rPr>
          <w:rFonts w:ascii="宋体" w:hAnsi="宋体" w:cs="宋体" w:eastAsia="宋体" w:hint="default"/>
        </w:rPr>
        <w:t>3+4</w:t>
      </w:r>
      <w:r>
        <w:rPr/>
        <w:t>战略</w:t>
      </w:r>
      <w:r>
        <w:rPr>
          <w:spacing w:val="-23"/>
        </w:rPr>
        <w:t> </w:t>
      </w:r>
      <w:r>
        <w:rPr/>
        <w:t>架构及“以智能电网业务为基石，积极向健康管理、版权云项目、食品溯源三个领域发展”的</w:t>
      </w:r>
      <w:r>
        <w:rPr>
          <w:rFonts w:ascii="宋体" w:hAnsi="宋体" w:cs="宋体" w:eastAsia="宋体" w:hint="default"/>
        </w:rPr>
        <w:t>1+3</w:t>
      </w:r>
      <w:r>
        <w:rPr/>
        <w:t>发展规</w:t>
      </w:r>
      <w:r>
        <w:rPr>
          <w:spacing w:val="-25"/>
        </w:rPr>
        <w:t> </w:t>
      </w:r>
      <w:r>
        <w:rPr>
          <w:spacing w:val="-1"/>
        </w:rPr>
        <w:t>划。报告期内，公司在巩固原有电力业务的基础上，积极向互联网信息服务的纵深领域拓展，加大未来发</w:t>
      </w:r>
      <w:r>
        <w:rPr>
          <w:spacing w:val="-86"/>
        </w:rPr>
        <w:t> </w:t>
      </w:r>
      <w:r>
        <w:rPr>
          <w:spacing w:val="-86"/>
        </w:rPr>
      </w:r>
      <w:r>
        <w:rPr/>
        <w:t>展方向的投入力度，为加快实现新产业的落地开展了多项工作，进一步夯实公司的发展后劲。</w:t>
      </w:r>
    </w:p>
    <w:p>
      <w:pPr>
        <w:pStyle w:val="BodyText"/>
        <w:spacing w:line="408" w:lineRule="auto"/>
        <w:ind w:right="150" w:firstLine="420"/>
        <w:jc w:val="both"/>
      </w:pPr>
      <w:r>
        <w:rPr>
          <w:rFonts w:ascii="宋体" w:hAnsi="宋体" w:cs="宋体" w:eastAsia="宋体" w:hint="default"/>
          <w:spacing w:val="-1"/>
        </w:rPr>
        <w:t>2014</w:t>
      </w:r>
      <w:r>
        <w:rPr>
          <w:spacing w:val="-1"/>
        </w:rPr>
        <w:t>年，公司实现营业收入</w:t>
      </w:r>
      <w:r>
        <w:rPr>
          <w:rFonts w:ascii="宋体" w:hAnsi="宋体" w:cs="宋体" w:eastAsia="宋体" w:hint="default"/>
          <w:spacing w:val="-1"/>
        </w:rPr>
        <w:t>34,334.69</w:t>
      </w:r>
      <w:r>
        <w:rPr>
          <w:spacing w:val="-1"/>
        </w:rPr>
        <w:t>万元、较上年同期增加</w:t>
      </w:r>
      <w:r>
        <w:rPr>
          <w:rFonts w:ascii="宋体" w:hAnsi="宋体" w:cs="宋体" w:eastAsia="宋体" w:hint="default"/>
          <w:spacing w:val="-1"/>
        </w:rPr>
        <w:t>6.15%</w:t>
      </w:r>
      <w:r>
        <w:rPr>
          <w:spacing w:val="-1"/>
        </w:rPr>
        <w:t>；由于报告期对未来发展方向的投</w:t>
      </w:r>
      <w:r>
        <w:rPr/>
        <w:t> </w:t>
      </w:r>
      <w:r>
        <w:rPr>
          <w:spacing w:val="-1"/>
        </w:rPr>
        <w:t>入增加及受原控股子公司南京宇能影响，对公司经营业绩产生一定影响，报告期实现利润总额</w:t>
      </w:r>
      <w:r>
        <w:rPr>
          <w:rFonts w:ascii="宋体" w:hAnsi="宋体" w:cs="宋体" w:eastAsia="宋体" w:hint="default"/>
          <w:spacing w:val="-1"/>
        </w:rPr>
        <w:t>3,832.83</w:t>
      </w:r>
      <w:r>
        <w:rPr>
          <w:spacing w:val="-1"/>
        </w:rPr>
        <w:t>万</w:t>
      </w:r>
      <w:r>
        <w:rPr>
          <w:spacing w:val="-76"/>
        </w:rPr>
        <w:t> </w:t>
      </w:r>
      <w:r>
        <w:rPr/>
        <w:t>元、归属于上市公司普通股股东的净利润</w:t>
      </w:r>
      <w:r>
        <w:rPr>
          <w:rFonts w:ascii="宋体" w:hAnsi="宋体" w:cs="宋体" w:eastAsia="宋体" w:hint="default"/>
        </w:rPr>
        <w:t>3,593.10</w:t>
      </w:r>
      <w:r>
        <w:rPr/>
        <w:t>万元，分别较上年同期减少</w:t>
      </w:r>
      <w:r>
        <w:rPr>
          <w:rFonts w:ascii="宋体" w:hAnsi="宋体" w:cs="宋体" w:eastAsia="宋体" w:hint="default"/>
        </w:rPr>
        <w:t>29.16%</w:t>
      </w:r>
      <w:r>
        <w:rPr/>
        <w:t>、</w:t>
      </w:r>
      <w:r>
        <w:rPr>
          <w:rFonts w:ascii="宋体" w:hAnsi="宋体" w:cs="宋体" w:eastAsia="宋体" w:hint="default"/>
        </w:rPr>
        <w:t>24.10%</w:t>
      </w:r>
      <w:r>
        <w:rPr/>
        <w:t>。</w:t>
      </w:r>
    </w:p>
    <w:p>
      <w:pPr>
        <w:pStyle w:val="BodyText"/>
        <w:spacing w:line="240" w:lineRule="auto"/>
        <w:ind w:left="573" w:right="0"/>
        <w:jc w:val="left"/>
      </w:pPr>
      <w:r>
        <w:rPr/>
        <w:t>报告期内，公司完成的重点工作如下：</w:t>
      </w:r>
    </w:p>
    <w:p>
      <w:pPr>
        <w:spacing w:line="240" w:lineRule="auto" w:before="10"/>
        <w:rPr>
          <w:rFonts w:ascii="宋体" w:hAnsi="宋体" w:cs="宋体" w:eastAsia="宋体" w:hint="default"/>
          <w:sz w:val="14"/>
          <w:szCs w:val="14"/>
        </w:rPr>
      </w:pPr>
    </w:p>
    <w:p>
      <w:pPr>
        <w:pStyle w:val="BodyText"/>
        <w:spacing w:line="408" w:lineRule="auto" w:before="0"/>
        <w:ind w:left="574" w:right="0"/>
        <w:jc w:val="left"/>
      </w:pPr>
      <w:r>
        <w:rPr/>
        <w:t>（</w:t>
      </w:r>
      <w:r>
        <w:rPr>
          <w:rFonts w:ascii="宋体" w:hAnsi="宋体" w:cs="宋体" w:eastAsia="宋体" w:hint="default"/>
        </w:rPr>
        <w:t>1</w:t>
      </w:r>
      <w:r>
        <w:rPr/>
        <w:t>）根据公司战略布局，进一步调整组织架构。 </w:t>
      </w:r>
      <w:r>
        <w:rPr>
          <w:spacing w:val="-1"/>
        </w:rPr>
        <w:t>按照“一个体系”的战略布局，重新调整组织架构，完成了以总部管控、协调多子公司、事业部的集</w:t>
      </w:r>
    </w:p>
    <w:p>
      <w:pPr>
        <w:pStyle w:val="BodyText"/>
        <w:spacing w:line="408" w:lineRule="auto"/>
        <w:ind w:left="154" w:right="151"/>
        <w:jc w:val="both"/>
      </w:pPr>
      <w:r>
        <w:rPr>
          <w:spacing w:val="-1"/>
        </w:rPr>
        <w:t>团化管理体系，明确了公司总部与各子公司、事业部的职责分工及侧重点，形成既有独立发展能力和活力</w:t>
      </w:r>
      <w:r>
        <w:rPr>
          <w:spacing w:val="-83"/>
        </w:rPr>
        <w:t> </w:t>
      </w:r>
      <w:r>
        <w:rPr>
          <w:spacing w:val="-83"/>
        </w:rPr>
      </w:r>
      <w:r>
        <w:rPr/>
        <w:t>又有整体协同效应的公司整体，为公司实现信息采集行业领导者的战略目标奠定了基础。</w:t>
      </w:r>
    </w:p>
    <w:p>
      <w:pPr>
        <w:pStyle w:val="BodyText"/>
        <w:spacing w:line="408" w:lineRule="auto"/>
        <w:ind w:left="573" w:right="113" w:firstLine="4"/>
        <w:jc w:val="left"/>
      </w:pPr>
      <w:r>
        <w:rPr/>
        <w:t>（</w:t>
      </w:r>
      <w:r>
        <w:rPr>
          <w:rFonts w:ascii="宋体" w:hAnsi="宋体" w:cs="宋体" w:eastAsia="宋体" w:hint="default"/>
        </w:rPr>
        <w:t>2</w:t>
      </w:r>
      <w:r>
        <w:rPr/>
        <w:t>）积极参加网省投标，巩固拓展市场覆盖面。 报告期内，公司智能终端事业部积极组织参加国网及网省公司的投标工作，积极推动自主项目成果，</w:t>
      </w:r>
    </w:p>
    <w:p>
      <w:pPr>
        <w:pStyle w:val="BodyText"/>
        <w:spacing w:line="408" w:lineRule="auto"/>
        <w:ind w:right="149"/>
        <w:jc w:val="both"/>
      </w:pPr>
      <w:r>
        <w:rPr>
          <w:spacing w:val="-5"/>
        </w:rPr>
        <w:t>加强市场开发及维护，完善售后服务体系建设，较好的完成了各区域的技术服务工作。在国家电网公司</w:t>
      </w:r>
      <w:r>
        <w:rPr>
          <w:rFonts w:ascii="宋体" w:hAnsi="宋体" w:cs="宋体" w:eastAsia="宋体" w:hint="default"/>
          <w:spacing w:val="-5"/>
        </w:rPr>
        <w:t>2014</w:t>
      </w:r>
      <w:r>
        <w:rPr>
          <w:rFonts w:ascii="宋体" w:hAnsi="宋体" w:cs="宋体" w:eastAsia="宋体" w:hint="default"/>
          <w:spacing w:val="-90"/>
        </w:rPr>
        <w:t> </w:t>
      </w:r>
      <w:r>
        <w:rPr>
          <w:spacing w:val="3"/>
        </w:rPr>
        <w:t>年采集系统建设专项批次采购及</w:t>
      </w:r>
      <w:r>
        <w:rPr>
          <w:rFonts w:ascii="宋体" w:hAnsi="宋体" w:cs="宋体" w:eastAsia="宋体" w:hint="default"/>
          <w:spacing w:val="3"/>
        </w:rPr>
        <w:t>2014</w:t>
      </w:r>
      <w:r>
        <w:rPr>
          <w:spacing w:val="3"/>
        </w:rPr>
        <w:t>年四批电能表及用电信息采集设备招标采购中，公司累计中标</w:t>
      </w:r>
      <w:r>
        <w:rPr>
          <w:rFonts w:ascii="宋体" w:hAnsi="宋体" w:cs="宋体" w:eastAsia="宋体" w:hint="default"/>
          <w:spacing w:val="3"/>
        </w:rPr>
        <w:t>41</w:t>
      </w:r>
      <w:r>
        <w:rPr>
          <w:spacing w:val="3"/>
        </w:rPr>
        <w:t>个</w:t>
      </w:r>
      <w:r>
        <w:rPr>
          <w:spacing w:val="-84"/>
        </w:rPr>
        <w:t> </w:t>
      </w:r>
      <w:r>
        <w:rPr/>
        <w:t>包、中标金额</w:t>
      </w:r>
      <w:r>
        <w:rPr>
          <w:rFonts w:ascii="宋体" w:hAnsi="宋体" w:cs="宋体" w:eastAsia="宋体" w:hint="default"/>
        </w:rPr>
        <w:t>25,028.44</w:t>
      </w:r>
      <w:r>
        <w:rPr/>
        <w:t>万元。</w:t>
      </w:r>
    </w:p>
    <w:p>
      <w:pPr>
        <w:pStyle w:val="BodyText"/>
        <w:spacing w:line="408" w:lineRule="auto"/>
        <w:ind w:left="154" w:right="130" w:firstLine="420"/>
        <w:jc w:val="both"/>
      </w:pPr>
      <w:r>
        <w:rPr/>
        <w:t>报告期内，公司在巩固原有市场的基础上又进一步拓展了河南、河北、新疆、宁夏等新的市场区域， </w:t>
      </w:r>
      <w:r>
        <w:rPr>
          <w:spacing w:val="-1"/>
        </w:rPr>
        <w:t>确保了公司在用电信息采集第一梯队的排名，为未来智能电网建设的第三阶段打下坚实的基础。随着公司</w:t>
      </w:r>
      <w:r>
        <w:rPr>
          <w:spacing w:val="-81"/>
        </w:rPr>
        <w:t> </w:t>
      </w:r>
      <w:r>
        <w:rPr>
          <w:spacing w:val="-81"/>
        </w:rPr>
      </w:r>
      <w:r>
        <w:rPr>
          <w:spacing w:val="-1"/>
        </w:rPr>
        <w:t>市场覆盖面的扩大，相应的履约成本及售后服务成本显著增加；同时由于国网新技术规范的颁布与实施增</w:t>
      </w:r>
      <w:r>
        <w:rPr>
          <w:spacing w:val="-81"/>
        </w:rPr>
        <w:t> </w:t>
      </w:r>
      <w:r>
        <w:rPr>
          <w:spacing w:val="-81"/>
        </w:rPr>
      </w:r>
      <w:r>
        <w:rPr/>
        <w:t>加了公司研发投入，对公司业绩均造成一定影响。</w:t>
      </w:r>
    </w:p>
    <w:p>
      <w:pPr>
        <w:pStyle w:val="BodyText"/>
        <w:spacing w:line="408" w:lineRule="auto"/>
        <w:ind w:left="574" w:right="0"/>
        <w:jc w:val="left"/>
      </w:pPr>
      <w:r>
        <w:rPr/>
        <w:t>（</w:t>
      </w:r>
      <w:r>
        <w:rPr>
          <w:rFonts w:ascii="宋体" w:hAnsi="宋体" w:cs="宋体" w:eastAsia="宋体" w:hint="default"/>
        </w:rPr>
        <w:t>3</w:t>
      </w:r>
      <w:r>
        <w:rPr/>
        <w:t>）充分运用资本市场助力，收购索瑞电气，发挥电力行业协同效应。 </w:t>
      </w:r>
      <w:r>
        <w:rPr>
          <w:spacing w:val="-1"/>
        </w:rPr>
        <w:t>报告期内，经公司第二届董事会第十二次会议及</w:t>
      </w:r>
      <w:r>
        <w:rPr>
          <w:rFonts w:ascii="宋体" w:hAnsi="宋体" w:cs="宋体" w:eastAsia="宋体" w:hint="default"/>
          <w:spacing w:val="-1"/>
        </w:rPr>
        <w:t>2014</w:t>
      </w:r>
      <w:r>
        <w:rPr>
          <w:spacing w:val="-1"/>
        </w:rPr>
        <w:t>年第一次临时股东大会审议通过，公司以发行股</w:t>
      </w:r>
    </w:p>
    <w:p>
      <w:pPr>
        <w:spacing w:after="0" w:line="408"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211"/>
        <w:jc w:val="both"/>
      </w:pPr>
      <w:r>
        <w:rPr/>
        <w:t>份及支付现金购买资产的方式初步完成了对索瑞电气的重大资产重组，本次交易对价</w:t>
      </w:r>
      <w:r>
        <w:rPr>
          <w:rFonts w:ascii="宋体" w:hAnsi="宋体" w:cs="宋体" w:eastAsia="宋体" w:hint="default"/>
        </w:rPr>
        <w:t>70,403.20</w:t>
      </w:r>
      <w:r>
        <w:rPr/>
        <w:t>万元，其</w:t>
      </w:r>
      <w:r>
        <w:rPr>
          <w:spacing w:val="-27"/>
        </w:rPr>
        <w:t> </w:t>
      </w:r>
      <w:r>
        <w:rPr>
          <w:spacing w:val="-27"/>
        </w:rPr>
      </w:r>
      <w:r>
        <w:rPr/>
        <w:t>中支付现金</w:t>
      </w:r>
      <w:r>
        <w:rPr>
          <w:rFonts w:ascii="宋体" w:hAnsi="宋体" w:cs="宋体" w:eastAsia="宋体" w:hint="default"/>
        </w:rPr>
        <w:t>10,560.48</w:t>
      </w:r>
      <w:r>
        <w:rPr/>
        <w:t>万元、定向发行股份</w:t>
      </w:r>
      <w:r>
        <w:rPr>
          <w:rFonts w:ascii="宋体" w:hAnsi="宋体" w:cs="宋体" w:eastAsia="宋体" w:hint="default"/>
        </w:rPr>
        <w:t>31,216,848</w:t>
      </w:r>
      <w:r>
        <w:rPr/>
        <w:t>股。上述事项已经中国证券监督管理委员会证监许</w:t>
      </w:r>
      <w:r>
        <w:rPr>
          <w:spacing w:val="-36"/>
        </w:rPr>
        <w:t> </w:t>
      </w:r>
      <w:r>
        <w:rPr>
          <w:spacing w:val="-36"/>
        </w:rPr>
      </w:r>
      <w:r>
        <w:rPr/>
        <w:t>可</w:t>
      </w:r>
      <w:r>
        <w:rPr>
          <w:rFonts w:ascii="宋体" w:hAnsi="宋体" w:cs="宋体" w:eastAsia="宋体" w:hint="default"/>
        </w:rPr>
        <w:t>[2014]1399</w:t>
      </w:r>
      <w:r>
        <w:rPr/>
        <w:t>号核准，索瑞电气于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26</w:t>
      </w:r>
      <w:r>
        <w:rPr/>
        <w:t>日完成相关工商变更，成为公司控股子公司。</w:t>
      </w:r>
    </w:p>
    <w:p>
      <w:pPr>
        <w:pStyle w:val="BodyText"/>
        <w:spacing w:line="408" w:lineRule="auto"/>
        <w:ind w:right="190" w:firstLine="420"/>
        <w:jc w:val="both"/>
      </w:pPr>
      <w:r>
        <w:rPr>
          <w:spacing w:val="-1"/>
        </w:rPr>
        <w:t>索瑞电气从事的电能计量箱业务及正在发展中的输电线路在线监测业务、变压器在线监测业务属于智</w:t>
      </w:r>
      <w:r>
        <w:rPr/>
        <w:t> 能电网的细分领域，公司收购索瑞电气，符合公司总体发展战略的需要，有助于拓展公司国内市场渠道、 丰富产品线，改善现有业务结构，提高资本实力和盈利能力，为公司向其他物联网领域发展奠定基础。</w:t>
      </w:r>
    </w:p>
    <w:p>
      <w:pPr>
        <w:pStyle w:val="BodyText"/>
        <w:spacing w:line="408" w:lineRule="auto"/>
        <w:ind w:left="573" w:right="102"/>
        <w:jc w:val="left"/>
      </w:pPr>
      <w:r>
        <w:rPr/>
        <w:t>（</w:t>
      </w:r>
      <w:r>
        <w:rPr>
          <w:rFonts w:ascii="宋体" w:hAnsi="宋体" w:cs="宋体" w:eastAsia="宋体" w:hint="default"/>
        </w:rPr>
        <w:t>4</w:t>
      </w:r>
      <w:r>
        <w:rPr/>
        <w:t>）对南京云商天下增资控股，进入健康医疗管理领域。 </w:t>
      </w:r>
      <w:r>
        <w:rPr>
          <w:spacing w:val="-3"/>
        </w:rPr>
        <w:t>报告期内，公司以自有资金</w:t>
      </w:r>
      <w:r>
        <w:rPr>
          <w:rFonts w:ascii="宋体" w:hAnsi="宋体" w:cs="宋体" w:eastAsia="宋体" w:hint="default"/>
          <w:spacing w:val="-3"/>
        </w:rPr>
        <w:t>1,144</w:t>
      </w:r>
      <w:r>
        <w:rPr>
          <w:spacing w:val="-3"/>
        </w:rPr>
        <w:t>万元向南京云商天下增资，增资后公司持有南京云商天下</w:t>
      </w:r>
      <w:r>
        <w:rPr>
          <w:rFonts w:ascii="宋体" w:hAnsi="宋体" w:cs="宋体" w:eastAsia="宋体" w:hint="default"/>
          <w:spacing w:val="-3"/>
        </w:rPr>
        <w:t>51%</w:t>
      </w:r>
      <w:r>
        <w:rPr>
          <w:spacing w:val="-3"/>
        </w:rPr>
        <w:t>的股权，</w:t>
      </w:r>
    </w:p>
    <w:p>
      <w:pPr>
        <w:pStyle w:val="BodyText"/>
        <w:spacing w:line="408" w:lineRule="auto"/>
        <w:ind w:right="104"/>
        <w:jc w:val="left"/>
      </w:pPr>
      <w:r>
        <w:rPr>
          <w:spacing w:val="-3"/>
        </w:rPr>
        <w:t>其成为公司控股子公司。南京云商天下作为公司的健康医疗业务的运行主体，拥有与广电网络合作的技术、</w:t>
      </w:r>
      <w:r>
        <w:rPr>
          <w:spacing w:val="-91"/>
        </w:rPr>
        <w:t> </w:t>
      </w:r>
      <w:r>
        <w:rPr>
          <w:spacing w:val="-91"/>
        </w:rPr>
      </w:r>
      <w:r>
        <w:rPr/>
        <w:t>产品、服务及经验优势，通过增资控股云商天下有利于公司快速进入健康医疗管理领域，在业务模式上更</w:t>
      </w:r>
      <w:r>
        <w:rPr/>
        <w:t> </w:t>
      </w:r>
      <w:r>
        <w:rPr>
          <w:spacing w:val="-3"/>
        </w:rPr>
        <w:t>进一步向纵深扩张，在公司原有业务基础上，有效拓展新市场，为公司增加新的利润增长点奠定良好基础。</w:t>
      </w:r>
    </w:p>
    <w:p>
      <w:pPr>
        <w:pStyle w:val="BodyText"/>
        <w:spacing w:line="408" w:lineRule="auto"/>
        <w:ind w:left="573" w:right="102"/>
        <w:jc w:val="left"/>
      </w:pPr>
      <w:r>
        <w:rPr/>
        <w:t>（</w:t>
      </w:r>
      <w:r>
        <w:rPr>
          <w:rFonts w:ascii="宋体" w:hAnsi="宋体" w:cs="宋体" w:eastAsia="宋体" w:hint="default"/>
        </w:rPr>
        <w:t>5</w:t>
      </w:r>
      <w:r>
        <w:rPr/>
        <w:t>）参与发起设立中云文化大数据，进一步落实版权云项目。 </w:t>
      </w:r>
      <w:r>
        <w:rPr>
          <w:spacing w:val="-1"/>
        </w:rPr>
        <w:t>报告期内，公司抓住贵州省政府将大数据作为贵州省的战略重点之一的发展机遇和三大电信运营商国</w:t>
      </w:r>
    </w:p>
    <w:p>
      <w:pPr>
        <w:pStyle w:val="BodyText"/>
        <w:spacing w:line="408" w:lineRule="auto"/>
        <w:ind w:right="210"/>
        <w:jc w:val="both"/>
      </w:pPr>
      <w:r>
        <w:rPr>
          <w:spacing w:val="-1"/>
        </w:rPr>
        <w:t>家级数据中心落户贵州省贵安新区的战略机遇及我国文化产业升级转型的重要时期，与贵州省相关政府部</w:t>
      </w:r>
      <w:r>
        <w:rPr>
          <w:spacing w:val="-81"/>
        </w:rPr>
        <w:t> </w:t>
      </w:r>
      <w:r>
        <w:rPr>
          <w:spacing w:val="-81"/>
        </w:rPr>
      </w:r>
      <w:r>
        <w:rPr>
          <w:spacing w:val="-1"/>
        </w:rPr>
        <w:t>门及商会共同签署了《贵州省贵安新区建设国家级数字音像出版等系列项目战略合作协议》，公司进入数</w:t>
      </w:r>
      <w:r>
        <w:rPr>
          <w:spacing w:val="-83"/>
        </w:rPr>
        <w:t> </w:t>
      </w:r>
      <w:r>
        <w:rPr>
          <w:spacing w:val="-83"/>
        </w:rPr>
      </w:r>
      <w:r>
        <w:rPr/>
        <w:t>字音像及数字版权领域。为更好的落实</w:t>
      </w:r>
      <w:r>
        <w:rPr>
          <w:rFonts w:ascii="宋体" w:hAnsi="宋体" w:cs="宋体" w:eastAsia="宋体" w:hint="default"/>
        </w:rPr>
        <w:t>CCDI</w:t>
      </w:r>
      <w:r>
        <w:rPr/>
        <w:t>一期即版权云项目，公司以自有资金</w:t>
      </w:r>
      <w:r>
        <w:rPr>
          <w:rFonts w:ascii="宋体" w:hAnsi="宋体" w:cs="宋体" w:eastAsia="宋体" w:hint="default"/>
        </w:rPr>
        <w:t>4,000</w:t>
      </w:r>
      <w:r>
        <w:rPr/>
        <w:t>万元发起设立参股</w:t>
      </w:r>
      <w:r>
        <w:rPr>
          <w:spacing w:val="-30"/>
        </w:rPr>
        <w:t> </w:t>
      </w:r>
      <w:r>
        <w:rPr>
          <w:spacing w:val="-30"/>
        </w:rPr>
      </w:r>
      <w:r>
        <w:rPr>
          <w:spacing w:val="-1"/>
        </w:rPr>
        <w:t>公司中云文化大数据，由其具体负责在贵州省建设国家级版权数据备案库、相关文化素材库及监管、版权</w:t>
      </w:r>
      <w:r>
        <w:rPr>
          <w:spacing w:val="-83"/>
        </w:rPr>
        <w:t> </w:t>
      </w:r>
      <w:r>
        <w:rPr>
          <w:spacing w:val="-83"/>
        </w:rPr>
      </w:r>
      <w:r>
        <w:rPr>
          <w:spacing w:val="-1"/>
        </w:rPr>
        <w:t>交易等数据的存储运营和服务，将公司信息采集技术转化升级，深入物联网更广阔的领域，并积极探索和</w:t>
      </w:r>
      <w:r>
        <w:rPr>
          <w:spacing w:val="-82"/>
        </w:rPr>
        <w:t> </w:t>
      </w:r>
      <w:r>
        <w:rPr>
          <w:spacing w:val="-82"/>
        </w:rPr>
      </w:r>
      <w:r>
        <w:rPr>
          <w:spacing w:val="-1"/>
        </w:rPr>
        <w:t>研究信息系统建设和运营的商业模式，使公司业务模式更进一步向纵深扩张，实现“网内与网外”、“建</w:t>
      </w:r>
      <w:r>
        <w:rPr>
          <w:spacing w:val="-85"/>
        </w:rPr>
        <w:t> </w:t>
      </w:r>
      <w:r>
        <w:rPr>
          <w:spacing w:val="-85"/>
        </w:rPr>
      </w:r>
      <w:r>
        <w:rPr/>
        <w:t>设与营运”的协同发展。</w:t>
      </w:r>
    </w:p>
    <w:p>
      <w:pPr>
        <w:pStyle w:val="BodyText"/>
        <w:spacing w:line="408" w:lineRule="auto"/>
        <w:ind w:left="573" w:right="102" w:firstLine="3"/>
        <w:jc w:val="left"/>
      </w:pPr>
      <w:r>
        <w:rPr/>
        <w:t>（</w:t>
      </w:r>
      <w:r>
        <w:rPr>
          <w:rFonts w:ascii="宋体" w:hAnsi="宋体" w:cs="宋体" w:eastAsia="宋体" w:hint="default"/>
        </w:rPr>
        <w:t>6</w:t>
      </w:r>
      <w:r>
        <w:rPr/>
        <w:t>）高度重视研发工作，继续深化产学研合作。 </w:t>
      </w:r>
      <w:r>
        <w:rPr>
          <w:spacing w:val="-1"/>
        </w:rPr>
        <w:t>报告期内，公司继续坚持自主创新与引进吸收相结合，积极开展新能源分布式发电及微电网技术、智</w:t>
      </w:r>
    </w:p>
    <w:p>
      <w:pPr>
        <w:pStyle w:val="BodyText"/>
        <w:spacing w:line="408" w:lineRule="auto"/>
        <w:ind w:right="211"/>
        <w:jc w:val="both"/>
      </w:pPr>
      <w:r>
        <w:rPr>
          <w:spacing w:val="-1"/>
        </w:rPr>
        <w:t>慧能源管理、建筑节能改造、智慧城市建设等领域的技术研究和应用研究，不断提高研发实力与核心技术</w:t>
      </w:r>
      <w:r>
        <w:rPr>
          <w:spacing w:val="-83"/>
        </w:rPr>
        <w:t> </w:t>
      </w:r>
      <w:r>
        <w:rPr>
          <w:spacing w:val="-83"/>
        </w:rPr>
      </w:r>
      <w:r>
        <w:rPr>
          <w:spacing w:val="-1"/>
        </w:rPr>
        <w:t>能力，目前已研发出能源管理监控平台和设备，并通过中国电科院的产品型式试验，能源管理系统监控平</w:t>
      </w:r>
      <w:r>
        <w:rPr>
          <w:spacing w:val="-83"/>
        </w:rPr>
        <w:t> </w:t>
      </w:r>
      <w:r>
        <w:rPr>
          <w:spacing w:val="-83"/>
        </w:rPr>
      </w:r>
      <w:r>
        <w:rPr>
          <w:spacing w:val="-1"/>
        </w:rPr>
        <w:t>台已获得软件著作权。同时，公司技术研究院与东南大学共同开发的风光储一体化智能微电网系统发明专</w:t>
      </w:r>
      <w:r>
        <w:rPr>
          <w:spacing w:val="-81"/>
        </w:rPr>
        <w:t> </w:t>
      </w:r>
      <w:r>
        <w:rPr>
          <w:spacing w:val="-81"/>
        </w:rPr>
      </w:r>
      <w:r>
        <w:rPr>
          <w:spacing w:val="-1"/>
        </w:rPr>
        <w:t>利已获受理，微电网研究项目相关工作初步完成，公司建设的风光储一体化微电网试验验证系统已经江宁</w:t>
      </w:r>
      <w:r>
        <w:rPr>
          <w:spacing w:val="-81"/>
        </w:rPr>
        <w:t> </w:t>
      </w:r>
      <w:r>
        <w:rPr>
          <w:spacing w:val="-81"/>
        </w:rPr>
      </w:r>
      <w:r>
        <w:rPr/>
        <w:t>区发改委备案。</w:t>
      </w:r>
    </w:p>
    <w:p>
      <w:pPr>
        <w:pStyle w:val="BodyText"/>
        <w:spacing w:line="408" w:lineRule="auto"/>
        <w:ind w:left="578" w:right="212"/>
        <w:jc w:val="left"/>
      </w:pPr>
      <w:r>
        <w:rPr/>
        <w:t>（</w:t>
      </w:r>
      <w:r>
        <w:rPr>
          <w:rFonts w:ascii="宋体" w:hAnsi="宋体" w:cs="宋体" w:eastAsia="宋体" w:hint="default"/>
        </w:rPr>
        <w:t>7</w:t>
      </w:r>
      <w:r>
        <w:rPr/>
        <w:t>）人力资源优化整合，企业文化凝心聚力。 </w:t>
      </w:r>
      <w:r>
        <w:rPr>
          <w:spacing w:val="-1"/>
        </w:rPr>
        <w:t>报告期内，公司对人力资源工作进一步优化整合，紧紧围绕年度指标及考核目标开展工作，建立和完</w:t>
      </w:r>
    </w:p>
    <w:p>
      <w:pPr>
        <w:pStyle w:val="BodyText"/>
        <w:spacing w:line="240" w:lineRule="auto"/>
        <w:ind w:left="154" w:right="0"/>
        <w:jc w:val="both"/>
      </w:pPr>
      <w:r>
        <w:rPr/>
        <w:t>善管理制度体系，加强人力资源开发管理，强化优胜劣汰，建立合理的竞争机制，营造良好的工作氛围。</w:t>
      </w:r>
    </w:p>
    <w:p>
      <w:pPr>
        <w:spacing w:after="0" w:line="240" w:lineRule="auto"/>
        <w:jc w:val="both"/>
        <w:sectPr>
          <w:footerReference w:type="default" r:id="rId12"/>
          <w:pgSz w:w="11910" w:h="16840"/>
          <w:pgMar w:footer="1000" w:header="747" w:top="1040" w:bottom="1180" w:left="980" w:right="920"/>
          <w:pgNumType w:start="11"/>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211"/>
        <w:jc w:val="both"/>
      </w:pPr>
      <w:r>
        <w:rPr>
          <w:spacing w:val="-1"/>
        </w:rPr>
        <w:t>同时，进一步加强培训力度，建立健全培训制度，完善培训渠道，逐步完善内部知识共享机制。公司通过</w:t>
      </w:r>
      <w:r>
        <w:rPr>
          <w:spacing w:val="-83"/>
        </w:rPr>
        <w:t> </w:t>
      </w:r>
      <w:r>
        <w:rPr>
          <w:spacing w:val="-83"/>
        </w:rPr>
      </w:r>
      <w:r>
        <w:rPr>
          <w:spacing w:val="-1"/>
        </w:rPr>
        <w:t>与东南大学合作，建立“引进来”和“送出去”相结合的模式，“引进来”是请东南大学的老师对公司管</w:t>
      </w:r>
      <w:r>
        <w:rPr>
          <w:spacing w:val="-83"/>
        </w:rPr>
        <w:t> </w:t>
      </w:r>
      <w:r>
        <w:rPr>
          <w:spacing w:val="-83"/>
        </w:rPr>
      </w:r>
      <w:r>
        <w:rPr>
          <w:spacing w:val="-1"/>
        </w:rPr>
        <w:t>理层量身定作管理课程培训；“送出去”是输送高管到东南大学学习最新的管理理念和战略思维，提升公</w:t>
      </w:r>
      <w:r>
        <w:rPr>
          <w:spacing w:val="-81"/>
        </w:rPr>
        <w:t> </w:t>
      </w:r>
      <w:r>
        <w:rPr>
          <w:spacing w:val="-81"/>
        </w:rPr>
      </w:r>
      <w:r>
        <w:rPr/>
        <w:t>司管理能力。</w:t>
      </w:r>
    </w:p>
    <w:p>
      <w:pPr>
        <w:pStyle w:val="BodyText"/>
        <w:spacing w:line="408" w:lineRule="auto"/>
        <w:ind w:right="210" w:firstLine="421"/>
        <w:jc w:val="both"/>
      </w:pPr>
      <w:r>
        <w:rPr>
          <w:spacing w:val="-1"/>
        </w:rPr>
        <w:t>在企业文化建设方面，“春训”作为公司的优良传统，已经成为光一文化的重要组成部分，按照</w:t>
      </w:r>
      <w:r>
        <w:rPr>
          <w:rFonts w:ascii="宋体" w:hAnsi="宋体" w:cs="宋体" w:eastAsia="宋体" w:hint="default"/>
          <w:spacing w:val="-1"/>
        </w:rPr>
        <w:t>2014</w:t>
      </w:r>
      <w:r>
        <w:rPr>
          <w:rFonts w:ascii="宋体" w:hAnsi="宋体" w:cs="宋体" w:eastAsia="宋体" w:hint="default"/>
        </w:rPr>
        <w:t> </w:t>
      </w:r>
      <w:r>
        <w:rPr>
          <w:spacing w:val="-1"/>
        </w:rPr>
        <w:t>年春训的目标及要求，公司“攀登者”内刊分别以“凝心聚力、坚定信念”和“思与行”为主题诠释公司</w:t>
      </w:r>
      <w:r>
        <w:rPr>
          <w:spacing w:val="-84"/>
        </w:rPr>
        <w:t> </w:t>
      </w:r>
      <w:r>
        <w:rPr>
          <w:spacing w:val="-84"/>
        </w:rPr>
      </w:r>
      <w:r>
        <w:rPr>
          <w:spacing w:val="-1"/>
        </w:rPr>
        <w:t>战略思路与发展方向，统一思想，凝心聚力。通过组织开展户外摄影、全员阅读、登山比赛、元旦文艺表</w:t>
      </w:r>
      <w:r>
        <w:rPr>
          <w:spacing w:val="-83"/>
        </w:rPr>
        <w:t> </w:t>
      </w:r>
      <w:r>
        <w:rPr>
          <w:spacing w:val="-83"/>
        </w:rPr>
      </w:r>
      <w:r>
        <w:rPr>
          <w:spacing w:val="-1"/>
        </w:rPr>
        <w:t>演、消防演习等系列活动，营造内部良好沟通氛围的同时，加深员工对光一文化的理解，深化员工与公司</w:t>
      </w:r>
      <w:r>
        <w:rPr>
          <w:spacing w:val="-86"/>
        </w:rPr>
        <w:t> </w:t>
      </w:r>
      <w:r>
        <w:rPr>
          <w:spacing w:val="-86"/>
        </w:rPr>
      </w:r>
      <w:r>
        <w:rPr/>
        <w:t>共命运的意识，增强员工归宿感，提高企业凝聚力，努力为员工营造梦想的舞台、打造事业的平台。</w:t>
      </w:r>
    </w:p>
    <w:p>
      <w:pPr>
        <w:spacing w:line="240" w:lineRule="auto" w:before="8"/>
        <w:rPr>
          <w:rFonts w:ascii="宋体" w:hAnsi="宋体" w:cs="宋体" w:eastAsia="宋体" w:hint="default"/>
          <w:sz w:val="20"/>
          <w:szCs w:val="20"/>
        </w:rPr>
      </w:pPr>
    </w:p>
    <w:p>
      <w:pPr>
        <w:pStyle w:val="Heading4"/>
        <w:spacing w:line="240" w:lineRule="auto"/>
        <w:ind w:left="153" w:right="0"/>
        <w:jc w:val="both"/>
        <w:rPr>
          <w:b w:val="0"/>
          <w:bCs w:val="0"/>
        </w:rPr>
      </w:pPr>
      <w:bookmarkStart w:name="2、报告期内主要经营情况" w:id="21"/>
      <w:bookmarkEnd w:id="21"/>
      <w:r>
        <w:rPr>
          <w:b w:val="0"/>
          <w:bCs w:val="0"/>
        </w:rPr>
      </w:r>
      <w:r>
        <w:rPr>
          <w:rFonts w:ascii="宋体" w:hAnsi="宋体" w:cs="宋体" w:eastAsia="宋体" w:hint="default"/>
        </w:rPr>
        <w:t>2</w:t>
      </w:r>
      <w:r>
        <w:rPr/>
        <w:t>、报告期内主要经营情况</w:t>
      </w:r>
      <w:r>
        <w:rPr>
          <w:b w:val="0"/>
          <w:bCs w:val="0"/>
        </w:rPr>
      </w:r>
    </w:p>
    <w:p>
      <w:pPr>
        <w:spacing w:line="610" w:lineRule="atLeast" w:before="3"/>
        <w:ind w:left="154" w:right="8040" w:firstLine="0"/>
        <w:jc w:val="left"/>
        <w:rPr>
          <w:rFonts w:ascii="宋体" w:hAnsi="宋体" w:cs="宋体" w:eastAsia="宋体" w:hint="default"/>
          <w:sz w:val="21"/>
          <w:szCs w:val="21"/>
        </w:rPr>
      </w:pPr>
      <w:bookmarkStart w:name="（1）主营业务分析" w:id="22"/>
      <w:bookmarkEnd w:id="22"/>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）主营业务分析</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）概述</w:t>
      </w:r>
    </w:p>
    <w:p>
      <w:pPr>
        <w:pStyle w:val="BodyText"/>
        <w:spacing w:line="408" w:lineRule="auto" w:before="153"/>
        <w:ind w:left="154" w:right="209" w:firstLine="420"/>
        <w:jc w:val="both"/>
      </w:pPr>
      <w:r>
        <w:rPr/>
        <w:t>报告期内，公司按照既定的战略定位，紧紧围绕“1+3”的产业架构积极开展各项工作。在电力业务 方面，公司积极开拓市场，保持了平稳的销售业绩，</w:t>
      </w:r>
      <w:r>
        <w:rPr>
          <w:rFonts w:ascii="宋体" w:hAnsi="宋体" w:cs="宋体" w:eastAsia="宋体" w:hint="default"/>
        </w:rPr>
        <w:t>2014</w:t>
      </w:r>
      <w:r>
        <w:rPr/>
        <w:t>年度公司实现营业收入</w:t>
      </w:r>
      <w:r>
        <w:rPr>
          <w:rFonts w:ascii="宋体" w:hAnsi="宋体" w:cs="宋体" w:eastAsia="宋体" w:hint="default"/>
        </w:rPr>
        <w:t>34,334.69</w:t>
      </w:r>
      <w:r>
        <w:rPr/>
        <w:t>万元，较上年</w:t>
      </w:r>
      <w:r>
        <w:rPr>
          <w:spacing w:val="-25"/>
        </w:rPr>
        <w:t> </w:t>
      </w:r>
      <w:r>
        <w:rPr>
          <w:spacing w:val="-25"/>
        </w:rPr>
      </w:r>
      <w:r>
        <w:rPr>
          <w:spacing w:val="-3"/>
        </w:rPr>
        <w:t>同期增长</w:t>
      </w:r>
      <w:r>
        <w:rPr>
          <w:rFonts w:ascii="宋体" w:hAnsi="宋体" w:cs="宋体" w:eastAsia="宋体" w:hint="default"/>
          <w:spacing w:val="-3"/>
        </w:rPr>
        <w:t>6.15%</w:t>
      </w:r>
      <w:r>
        <w:rPr>
          <w:spacing w:val="-3"/>
        </w:rPr>
        <w:t>；营业成本</w:t>
      </w:r>
      <w:r>
        <w:rPr>
          <w:rFonts w:ascii="宋体" w:hAnsi="宋体" w:cs="宋体" w:eastAsia="宋体" w:hint="default"/>
          <w:spacing w:val="-3"/>
        </w:rPr>
        <w:t>23,184.21</w:t>
      </w:r>
      <w:r>
        <w:rPr>
          <w:spacing w:val="-3"/>
        </w:rPr>
        <w:t>万元，较上年同期增长</w:t>
      </w:r>
      <w:r>
        <w:rPr>
          <w:rFonts w:ascii="宋体" w:hAnsi="宋体" w:cs="宋体" w:eastAsia="宋体" w:hint="default"/>
          <w:spacing w:val="-3"/>
        </w:rPr>
        <w:t>8.35%</w:t>
      </w:r>
      <w:r>
        <w:rPr>
          <w:spacing w:val="-3"/>
        </w:rPr>
        <w:t>；受原控股子公司南京宇能的影响，</w:t>
      </w:r>
      <w:r>
        <w:rPr>
          <w:rFonts w:ascii="宋体" w:hAnsi="宋体" w:cs="宋体" w:eastAsia="宋体" w:hint="default"/>
          <w:spacing w:val="-3"/>
        </w:rPr>
        <w:t>2014</w:t>
      </w:r>
      <w:r>
        <w:rPr>
          <w:rFonts w:ascii="宋体" w:hAnsi="宋体" w:cs="宋体" w:eastAsia="宋体" w:hint="default"/>
          <w:spacing w:val="-66"/>
        </w:rPr>
        <w:t> </w:t>
      </w:r>
      <w:r>
        <w:rPr>
          <w:rFonts w:ascii="宋体" w:hAnsi="宋体" w:cs="宋体" w:eastAsia="宋体" w:hint="default"/>
          <w:spacing w:val="-66"/>
        </w:rPr>
      </w:r>
      <w:r>
        <w:rPr/>
        <w:t>年度归属于上市股东的净利润</w:t>
      </w:r>
      <w:r>
        <w:rPr>
          <w:rFonts w:ascii="宋体" w:hAnsi="宋体" w:cs="宋体" w:eastAsia="宋体" w:hint="default"/>
        </w:rPr>
        <w:t>3,593.10</w:t>
      </w:r>
      <w:r>
        <w:rPr/>
        <w:t>万元，较上年同期下降</w:t>
      </w:r>
      <w:r>
        <w:rPr>
          <w:rFonts w:ascii="宋体" w:hAnsi="宋体" w:cs="宋体" w:eastAsia="宋体" w:hint="default"/>
        </w:rPr>
        <w:t>24.10%</w:t>
      </w:r>
      <w:r>
        <w:rPr/>
        <w:t>。</w:t>
      </w:r>
    </w:p>
    <w:p>
      <w:pPr>
        <w:pStyle w:val="BodyText"/>
        <w:spacing w:line="408" w:lineRule="auto"/>
        <w:ind w:right="105" w:firstLine="420"/>
        <w:jc w:val="both"/>
      </w:pPr>
      <w:r>
        <w:rPr>
          <w:spacing w:val="-3"/>
        </w:rPr>
        <w:t>报告期内，公司加大市场开拓力度、加强产业延伸及资源整合，相应增加了部分销售费用和管理费用，</w:t>
      </w:r>
      <w:r>
        <w:rPr/>
        <w:t> </w:t>
      </w:r>
      <w:r>
        <w:rPr>
          <w:spacing w:val="-1"/>
        </w:rPr>
        <w:t>同时受合并原控股子公司南京宇能的影响，</w:t>
      </w:r>
      <w:r>
        <w:rPr>
          <w:rFonts w:ascii="宋体" w:hAnsi="宋体" w:cs="宋体" w:eastAsia="宋体" w:hint="default"/>
          <w:spacing w:val="-1"/>
        </w:rPr>
        <w:t>2014</w:t>
      </w:r>
      <w:r>
        <w:rPr>
          <w:spacing w:val="-1"/>
        </w:rPr>
        <w:t>年度公司销售费用</w:t>
      </w:r>
      <w:r>
        <w:rPr>
          <w:rFonts w:ascii="宋体" w:hAnsi="宋体" w:cs="宋体" w:eastAsia="宋体" w:hint="default"/>
          <w:spacing w:val="-1"/>
        </w:rPr>
        <w:t>1,706.58</w:t>
      </w:r>
      <w:r>
        <w:rPr>
          <w:spacing w:val="-1"/>
        </w:rPr>
        <w:t>万元，较上年同期增长</w:t>
      </w:r>
      <w:r>
        <w:rPr>
          <w:rFonts w:ascii="宋体" w:hAnsi="宋体" w:cs="宋体" w:eastAsia="宋体" w:hint="default"/>
          <w:spacing w:val="-1"/>
        </w:rPr>
        <w:t>5.32%</w:t>
      </w:r>
      <w:r>
        <w:rPr>
          <w:spacing w:val="-1"/>
        </w:rPr>
        <w:t>；</w:t>
      </w:r>
      <w:r>
        <w:rPr>
          <w:spacing w:val="-74"/>
        </w:rPr>
        <w:t> </w:t>
      </w:r>
      <w:r>
        <w:rPr/>
        <w:t>管理费用</w:t>
      </w:r>
      <w:r>
        <w:rPr>
          <w:rFonts w:ascii="宋体" w:hAnsi="宋体" w:cs="宋体" w:eastAsia="宋体" w:hint="default"/>
        </w:rPr>
        <w:t>6,218.09</w:t>
      </w:r>
      <w:r>
        <w:rPr/>
        <w:t>万元，较上年同期增长</w:t>
      </w:r>
      <w:r>
        <w:rPr>
          <w:rFonts w:ascii="宋体" w:hAnsi="宋体" w:cs="宋体" w:eastAsia="宋体" w:hint="default"/>
        </w:rPr>
        <w:t>32.24%</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0"/>
        <w:ind w:left="154" w:right="0"/>
        <w:jc w:val="both"/>
      </w:pPr>
      <w:r>
        <w:rPr>
          <w:rFonts w:ascii="宋体" w:hAnsi="宋体" w:cs="宋体" w:eastAsia="宋体" w:hint="default"/>
        </w:rPr>
        <w:t>2</w:t>
      </w:r>
      <w:r>
        <w:rPr/>
        <w:t>）报告期利润构成或利润来源发生重大变动的说明</w:t>
      </w:r>
    </w:p>
    <w:p>
      <w:pPr>
        <w:pStyle w:val="BodyText"/>
        <w:spacing w:line="374" w:lineRule="auto" w:before="156"/>
        <w:ind w:left="154" w:right="8048"/>
        <w:jc w:val="left"/>
      </w:pPr>
      <w:r>
        <w:rPr/>
        <w:pict>
          <v:shape style="position:absolute;margin-left:56.25pt;margin-top:47.603672pt;width:480.4pt;height:4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76"/>
                    <w:gridCol w:w="2403"/>
                    <w:gridCol w:w="2392"/>
                    <w:gridCol w:w="2391"/>
                  </w:tblGrid>
                  <w:tr>
                    <w:trPr>
                      <w:trHeight w:val="413" w:hRule="exact"/>
                    </w:trPr>
                    <w:tc>
                      <w:tcPr>
                        <w:tcW w:w="237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47"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16" w:hRule="exact"/>
                    </w:trPr>
                    <w:tc>
                      <w:tcPr>
                        <w:tcW w:w="237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3"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left="1097" w:right="0"/>
                          <w:jc w:val="left"/>
                          <w:rPr>
                            <w:rFonts w:ascii="宋体" w:hAnsi="宋体" w:cs="宋体" w:eastAsia="宋体" w:hint="default"/>
                            <w:sz w:val="18"/>
                            <w:szCs w:val="18"/>
                          </w:rPr>
                        </w:pPr>
                        <w:r>
                          <w:rPr>
                            <w:rFonts w:ascii="宋体"/>
                            <w:sz w:val="18"/>
                          </w:rPr>
                          <w:t>343,346,895.97</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096" w:right="0"/>
                          <w:jc w:val="left"/>
                          <w:rPr>
                            <w:rFonts w:ascii="宋体" w:hAnsi="宋体" w:cs="宋体" w:eastAsia="宋体" w:hint="default"/>
                            <w:sz w:val="18"/>
                            <w:szCs w:val="18"/>
                          </w:rPr>
                        </w:pPr>
                        <w:r>
                          <w:rPr>
                            <w:rFonts w:ascii="宋体"/>
                            <w:sz w:val="18"/>
                          </w:rPr>
                          <w:t>323,440,328.38</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6.15%</w:t>
                        </w:r>
                      </w:p>
                    </w:tc>
                  </w:tr>
                </w:tbl>
                <w:p>
                  <w:pPr/>
                </w:p>
              </w:txbxContent>
            </v:textbox>
            <w10:wrap type="none"/>
          </v:shape>
        </w:pict>
      </w:r>
      <w:r>
        <w:rPr/>
        <w:t>□ 适用 √</w:t>
      </w:r>
      <w:r>
        <w:rPr>
          <w:spacing w:val="-1"/>
        </w:rPr>
        <w:t> </w:t>
      </w:r>
      <w:r>
        <w:rPr/>
        <w:t>不适用</w:t>
      </w:r>
      <w:r>
        <w:rPr/>
        <w:t> </w:t>
      </w:r>
      <w:r>
        <w:rPr>
          <w:rFonts w:ascii="宋体" w:hAnsi="宋体" w:cs="宋体" w:eastAsia="宋体" w:hint="default"/>
        </w:rPr>
        <w:t>3</w:t>
      </w:r>
      <w:r>
        <w:rPr/>
        <w:t>）收入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408" w:lineRule="auto" w:before="35"/>
        <w:ind w:left="574" w:right="102" w:hanging="420"/>
        <w:jc w:val="left"/>
      </w:pPr>
      <w:r>
        <w:rPr/>
        <w:t>驱动收入变化的因素 </w:t>
      </w:r>
      <w:r>
        <w:rPr>
          <w:spacing w:val="-1"/>
        </w:rPr>
        <w:t>报告期内，公司根据市场变化及时调整产品结构及市场策略，积极组织参加国网统一招标和各网省公</w:t>
      </w:r>
    </w:p>
    <w:p>
      <w:pPr>
        <w:pStyle w:val="BodyText"/>
        <w:spacing w:line="240" w:lineRule="auto"/>
        <w:ind w:left="154" w:right="102"/>
        <w:jc w:val="left"/>
      </w:pPr>
      <w:r>
        <w:rPr/>
        <w:t>司招标，同时进一步优化营销网络和营销服务体系，公司市场占有量稳中有升，营业收入平稳增长。</w:t>
      </w:r>
    </w:p>
    <w:p>
      <w:pPr>
        <w:spacing w:after="0" w:line="240" w:lineRule="auto"/>
        <w:jc w:val="left"/>
        <w:sectPr>
          <w:pgSz w:w="11910" w:h="16840"/>
          <w:pgMar w:header="747" w:footer="1000" w:top="1040" w:bottom="118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0"/>
        <w:jc w:val="left"/>
      </w:pPr>
      <w:r>
        <w:rPr/>
        <w:t>公司实物销售收入是否大于劳务收入</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 是 □ 否</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607"/>
        <w:gridCol w:w="1573"/>
        <w:gridCol w:w="1605"/>
        <w:gridCol w:w="1594"/>
        <w:gridCol w:w="1594"/>
        <w:gridCol w:w="1594"/>
      </w:tblGrid>
      <w:tr>
        <w:trPr>
          <w:trHeight w:val="415" w:hRule="exact"/>
        </w:trPr>
        <w:tc>
          <w:tcPr>
            <w:tcW w:w="160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宋体" w:hAnsi="宋体" w:cs="宋体" w:eastAsia="宋体" w:hint="default"/>
                <w:sz w:val="18"/>
                <w:szCs w:val="18"/>
              </w:rPr>
              <w:t>/</w:t>
            </w:r>
            <w:r>
              <w:rPr>
                <w:rFonts w:ascii="宋体" w:hAnsi="宋体" w:cs="宋体" w:eastAsia="宋体" w:hint="default"/>
                <w:sz w:val="18"/>
                <w:szCs w:val="18"/>
              </w:rPr>
              <w:t>产品</w:t>
            </w:r>
          </w:p>
        </w:tc>
        <w:tc>
          <w:tcPr>
            <w:tcW w:w="157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低压集抄终端</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757,525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1,485,002</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-48.99%</w:t>
            </w:r>
          </w:p>
        </w:tc>
      </w:tr>
      <w:tr>
        <w:trPr>
          <w:trHeight w:val="407"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781,318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1,337,884</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-41.60%</w:t>
            </w:r>
          </w:p>
        </w:tc>
      </w:tr>
      <w:tr>
        <w:trPr>
          <w:trHeight w:val="407" w:hRule="exact"/>
        </w:trPr>
        <w:tc>
          <w:tcPr>
            <w:tcW w:w="1607" w:type="dxa"/>
            <w:vMerge/>
            <w:tcBorders>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39,576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15,783</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150.75%</w:t>
            </w:r>
          </w:p>
        </w:tc>
      </w:tr>
      <w:tr>
        <w:trPr>
          <w:trHeight w:val="407"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专变采集终端</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79,508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49,035</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62.15%</w:t>
            </w:r>
          </w:p>
        </w:tc>
      </w:tr>
      <w:tr>
        <w:trPr>
          <w:trHeight w:val="407"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80,915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48,416</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67.12%</w:t>
            </w:r>
          </w:p>
        </w:tc>
      </w:tr>
      <w:tr>
        <w:trPr>
          <w:trHeight w:val="408" w:hRule="exact"/>
        </w:trPr>
        <w:tc>
          <w:tcPr>
            <w:tcW w:w="1607" w:type="dxa"/>
            <w:vMerge/>
            <w:tcBorders>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2,225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818</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172.00%</w:t>
            </w:r>
          </w:p>
        </w:tc>
      </w:tr>
      <w:tr>
        <w:trPr>
          <w:trHeight w:val="407"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手持抄表终端</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1,411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3,277</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-56.94%</w:t>
            </w:r>
          </w:p>
        </w:tc>
      </w:tr>
      <w:tr>
        <w:trPr>
          <w:trHeight w:val="407"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929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3,025</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-69.29%</w:t>
            </w:r>
          </w:p>
        </w:tc>
      </w:tr>
      <w:tr>
        <w:trPr>
          <w:trHeight w:val="407" w:hRule="exact"/>
        </w:trPr>
        <w:tc>
          <w:tcPr>
            <w:tcW w:w="1607" w:type="dxa"/>
            <w:vMerge/>
            <w:tcBorders>
              <w:left w:val="single" w:sz="12" w:space="0" w:color="000000"/>
              <w:bottom w:val="single" w:sz="6"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1,040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1,522</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-31.67%</w:t>
            </w:r>
          </w:p>
        </w:tc>
      </w:tr>
      <w:tr>
        <w:trPr>
          <w:trHeight w:val="407" w:hRule="exact"/>
        </w:trPr>
        <w:tc>
          <w:tcPr>
            <w:tcW w:w="1607" w:type="dxa"/>
            <w:vMerge w:val="restart"/>
            <w:tcBorders>
              <w:top w:val="single" w:sz="6" w:space="0" w:color="000000"/>
              <w:left w:val="single" w:sz="12" w:space="0" w:color="000000"/>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838,444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1,537,314</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-45.46%</w:t>
            </w:r>
          </w:p>
        </w:tc>
      </w:tr>
      <w:tr>
        <w:trPr>
          <w:trHeight w:val="407" w:hRule="exact"/>
        </w:trPr>
        <w:tc>
          <w:tcPr>
            <w:tcW w:w="1607" w:type="dxa"/>
            <w:vMerge/>
            <w:tcBorders>
              <w:left w:val="single" w:sz="12" w:space="0" w:color="000000"/>
              <w:right w:val="single" w:sz="14" w:space="0" w:color="D2D2D2"/>
            </w:tcBorders>
          </w:tcPr>
          <w:p>
            <w:pPr/>
          </w:p>
        </w:tc>
        <w:tc>
          <w:tcPr>
            <w:tcW w:w="15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863,162</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1,389,325</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-37.87%</w:t>
            </w:r>
          </w:p>
        </w:tc>
      </w:tr>
      <w:tr>
        <w:trPr>
          <w:trHeight w:val="416" w:hRule="exact"/>
        </w:trPr>
        <w:tc>
          <w:tcPr>
            <w:tcW w:w="1607" w:type="dxa"/>
            <w:vMerge/>
            <w:tcBorders>
              <w:left w:val="single" w:sz="12" w:space="0" w:color="000000"/>
              <w:bottom w:val="single" w:sz="12" w:space="0" w:color="000000"/>
              <w:right w:val="single" w:sz="14" w:space="0" w:color="D2D2D2"/>
            </w:tcBorders>
          </w:tcPr>
          <w:p>
            <w:pPr/>
          </w:p>
        </w:tc>
        <w:tc>
          <w:tcPr>
            <w:tcW w:w="157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42,841</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18,123</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136.39%</w:t>
            </w:r>
          </w:p>
        </w:tc>
      </w:tr>
    </w:tbl>
    <w:p>
      <w:pPr>
        <w:pStyle w:val="BodyText"/>
        <w:spacing w:line="240" w:lineRule="auto" w:before="63"/>
        <w:ind w:left="154" w:right="0"/>
        <w:jc w:val="left"/>
      </w:pPr>
      <w:r>
        <w:rPr/>
        <w:t>相关数据同比发生变动</w:t>
      </w:r>
      <w:r>
        <w:rPr>
          <w:spacing w:val="-55"/>
        </w:rPr>
        <w:t> </w:t>
      </w:r>
      <w:r>
        <w:rPr>
          <w:rFonts w:ascii="宋体" w:hAnsi="宋体" w:cs="宋体" w:eastAsia="宋体" w:hint="default"/>
        </w:rPr>
        <w:t>30%</w:t>
      </w:r>
      <w:r>
        <w:rPr/>
        <w:t>以上的原因说明</w:t>
      </w:r>
    </w:p>
    <w:p>
      <w:pPr>
        <w:spacing w:line="240" w:lineRule="auto" w:before="10"/>
        <w:rPr>
          <w:rFonts w:ascii="宋体" w:hAnsi="宋体" w:cs="宋体" w:eastAsia="宋体" w:hint="default"/>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spacing w:val="-1"/>
        </w:rPr>
        <w:t>①低压集抄终端</w:t>
      </w:r>
      <w:r>
        <w:rPr>
          <w:rFonts w:ascii="宋体" w:hAnsi="宋体" w:cs="宋体" w:eastAsia="宋体" w:hint="default"/>
          <w:spacing w:val="-1"/>
        </w:rPr>
        <w:t>2014</w:t>
      </w:r>
      <w:r>
        <w:rPr>
          <w:spacing w:val="-1"/>
        </w:rPr>
        <w:t>年产销同比下降，主要是</w:t>
      </w:r>
      <w:r>
        <w:rPr>
          <w:rFonts w:ascii="宋体" w:hAnsi="宋体" w:cs="宋体" w:eastAsia="宋体" w:hint="default"/>
          <w:spacing w:val="-1"/>
        </w:rPr>
        <w:t>2014</w:t>
      </w:r>
      <w:r>
        <w:rPr>
          <w:spacing w:val="-1"/>
        </w:rPr>
        <w:t>年国网招标产品结构调整，低压集抄终端中采集器</w:t>
      </w:r>
      <w:r>
        <w:rPr/>
        <w:t> 的招标数量大幅减少，公司相应产品的产销量随之减少，同时库存增加。</w:t>
      </w:r>
    </w:p>
    <w:p>
      <w:pPr>
        <w:pStyle w:val="BodyText"/>
        <w:spacing w:line="408" w:lineRule="auto"/>
        <w:ind w:right="0" w:firstLine="420"/>
        <w:jc w:val="left"/>
      </w:pPr>
      <w:r>
        <w:rPr/>
        <w:t>②专变采集终端</w:t>
      </w:r>
      <w:r>
        <w:rPr>
          <w:rFonts w:ascii="宋体" w:hAnsi="宋体" w:cs="宋体" w:eastAsia="宋体" w:hint="default"/>
        </w:rPr>
        <w:t>2014</w:t>
      </w:r>
      <w:r>
        <w:rPr/>
        <w:t>年产销量大幅增长，主要是</w:t>
      </w:r>
      <w:r>
        <w:rPr>
          <w:rFonts w:ascii="宋体" w:hAnsi="宋体" w:cs="宋体" w:eastAsia="宋体" w:hint="default"/>
        </w:rPr>
        <w:t>2014</w:t>
      </w:r>
      <w:r>
        <w:rPr/>
        <w:t>年国网招标产品结构调整，</w:t>
      </w:r>
      <w:r>
        <w:rPr>
          <w:rFonts w:ascii="宋体" w:hAnsi="宋体" w:cs="宋体" w:eastAsia="宋体" w:hint="default"/>
        </w:rPr>
        <w:t>III</w:t>
      </w:r>
      <w:r>
        <w:rPr/>
        <w:t>型专变采集终端 招标数量增加，公司相应产品的产销存随之增长。</w:t>
      </w:r>
    </w:p>
    <w:p>
      <w:pPr>
        <w:pStyle w:val="BodyText"/>
        <w:spacing w:line="408" w:lineRule="auto"/>
        <w:ind w:right="0" w:firstLine="421"/>
        <w:jc w:val="left"/>
      </w:pPr>
      <w:r>
        <w:rPr>
          <w:spacing w:val="-1"/>
        </w:rPr>
        <w:t>③手持抄表终端</w:t>
      </w:r>
      <w:r>
        <w:rPr>
          <w:rFonts w:ascii="宋体" w:hAnsi="宋体" w:cs="宋体" w:eastAsia="宋体" w:hint="default"/>
          <w:spacing w:val="-1"/>
        </w:rPr>
        <w:t>2014</w:t>
      </w:r>
      <w:r>
        <w:rPr>
          <w:spacing w:val="-1"/>
        </w:rPr>
        <w:t>年产销存大幅减少，主要是</w:t>
      </w:r>
      <w:r>
        <w:rPr>
          <w:rFonts w:ascii="宋体" w:hAnsi="宋体" w:cs="宋体" w:eastAsia="宋体" w:hint="default"/>
          <w:spacing w:val="-1"/>
        </w:rPr>
        <w:t>2014</w:t>
      </w:r>
      <w:r>
        <w:rPr>
          <w:spacing w:val="-1"/>
        </w:rPr>
        <w:t>年江苏省手持抄表终端招标数量大幅减少，公司</w:t>
      </w:r>
      <w:r>
        <w:rPr/>
        <w:t> 相应产品的产销存随之减少。</w:t>
      </w:r>
    </w:p>
    <w:p>
      <w:pPr>
        <w:pStyle w:val="BodyText"/>
        <w:spacing w:line="240" w:lineRule="auto"/>
        <w:ind w:right="0"/>
        <w:jc w:val="left"/>
      </w:pPr>
      <w:r>
        <w:rPr/>
        <w:t>公司重大的在手订单情况</w:t>
      </w:r>
    </w:p>
    <w:p>
      <w:pPr>
        <w:spacing w:line="240" w:lineRule="auto" w:before="10"/>
        <w:rPr>
          <w:rFonts w:ascii="宋体" w:hAnsi="宋体" w:cs="宋体" w:eastAsia="宋体" w:hint="default"/>
          <w:sz w:val="14"/>
          <w:szCs w:val="14"/>
        </w:rPr>
      </w:pPr>
    </w:p>
    <w:p>
      <w:pPr>
        <w:pStyle w:val="BodyText"/>
        <w:spacing w:line="408" w:lineRule="auto" w:before="0"/>
        <w:ind w:left="154" w:right="7882"/>
        <w:jc w:val="left"/>
      </w:pPr>
      <w:r>
        <w:rPr/>
        <w:t>□ 适用 √</w:t>
      </w:r>
      <w:r>
        <w:rPr>
          <w:spacing w:val="-1"/>
        </w:rPr>
        <w:t> </w:t>
      </w:r>
      <w:r>
        <w:rPr/>
        <w:t>不适用</w:t>
      </w:r>
      <w:r>
        <w:rPr/>
        <w:t> 数量分散的订单情况</w:t>
      </w:r>
    </w:p>
    <w:p>
      <w:pPr>
        <w:pStyle w:val="BodyText"/>
        <w:spacing w:line="408" w:lineRule="auto"/>
        <w:ind w:left="578" w:right="0" w:hanging="425"/>
        <w:jc w:val="left"/>
      </w:pPr>
      <w:r>
        <w:rPr/>
        <w:t>√ 适用 □</w:t>
      </w:r>
      <w:r>
        <w:rPr>
          <w:spacing w:val="-1"/>
        </w:rPr>
        <w:t> </w:t>
      </w:r>
      <w:r>
        <w:rPr/>
        <w:t>不适用</w:t>
      </w:r>
      <w:r>
        <w:rPr/>
        <w:t> </w:t>
      </w:r>
      <w:r>
        <w:rPr>
          <w:rFonts w:ascii="宋体" w:hAnsi="宋体" w:cs="宋体" w:eastAsia="宋体" w:hint="default"/>
          <w:spacing w:val="5"/>
        </w:rPr>
        <w:t>2014</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26</w:t>
      </w:r>
      <w:r>
        <w:rPr>
          <w:spacing w:val="5"/>
        </w:rPr>
        <w:t>日，在国家电网公司</w:t>
      </w:r>
      <w:r>
        <w:rPr>
          <w:rFonts w:ascii="宋体" w:hAnsi="宋体" w:cs="宋体" w:eastAsia="宋体" w:hint="default"/>
          <w:spacing w:val="5"/>
        </w:rPr>
        <w:t>2014</w:t>
      </w:r>
      <w:r>
        <w:rPr>
          <w:spacing w:val="5"/>
        </w:rPr>
        <w:t>年第一批电能表及用电信息采集设备招标采购（招标编号：</w:t>
      </w:r>
    </w:p>
    <w:p>
      <w:pPr>
        <w:pStyle w:val="BodyText"/>
        <w:spacing w:line="408" w:lineRule="auto"/>
        <w:ind w:right="0"/>
        <w:jc w:val="left"/>
      </w:pPr>
      <w:r>
        <w:rPr>
          <w:rFonts w:ascii="宋体" w:hAnsi="宋体" w:cs="宋体" w:eastAsia="宋体" w:hint="default"/>
        </w:rPr>
        <w:t>0711-14OTL006</w:t>
      </w:r>
      <w:r>
        <w:rPr/>
        <w:t>）中，公司中标金额为</w:t>
      </w:r>
      <w:r>
        <w:rPr>
          <w:rFonts w:ascii="宋体" w:hAnsi="宋体" w:cs="宋体" w:eastAsia="宋体" w:hint="default"/>
        </w:rPr>
        <w:t>9,671.79</w:t>
      </w:r>
      <w:r>
        <w:rPr/>
        <w:t>万元。截至报告期末，中标形成的订单正在执行中，尚未</w:t>
      </w:r>
      <w:r>
        <w:rPr>
          <w:spacing w:val="-34"/>
        </w:rPr>
        <w:t> </w:t>
      </w:r>
      <w:r>
        <w:rPr>
          <w:spacing w:val="-34"/>
        </w:rPr>
      </w:r>
      <w:r>
        <w:rPr/>
        <w:t>执行完毕。</w:t>
      </w:r>
    </w:p>
    <w:p>
      <w:pPr>
        <w:pStyle w:val="BodyText"/>
        <w:spacing w:line="240" w:lineRule="auto"/>
        <w:ind w:left="578" w:right="0"/>
        <w:jc w:val="left"/>
      </w:pPr>
      <w:r>
        <w:rPr>
          <w:rFonts w:ascii="宋体" w:hAnsi="宋体" w:cs="宋体" w:eastAsia="宋体" w:hint="default"/>
          <w:spacing w:val="5"/>
        </w:rPr>
        <w:t>2014</w:t>
      </w:r>
      <w:r>
        <w:rPr>
          <w:spacing w:val="5"/>
        </w:rPr>
        <w:t>年</w:t>
      </w:r>
      <w:r>
        <w:rPr>
          <w:rFonts w:ascii="宋体" w:hAnsi="宋体" w:cs="宋体" w:eastAsia="宋体" w:hint="default"/>
          <w:spacing w:val="5"/>
        </w:rPr>
        <w:t>5</w:t>
      </w:r>
      <w:r>
        <w:rPr>
          <w:spacing w:val="5"/>
        </w:rPr>
        <w:t>月</w:t>
      </w:r>
      <w:r>
        <w:rPr>
          <w:rFonts w:ascii="宋体" w:hAnsi="宋体" w:cs="宋体" w:eastAsia="宋体" w:hint="default"/>
          <w:spacing w:val="5"/>
        </w:rPr>
        <w:t>15</w:t>
      </w:r>
      <w:r>
        <w:rPr>
          <w:spacing w:val="5"/>
        </w:rPr>
        <w:t>日，在国家电网公司</w:t>
      </w:r>
      <w:r>
        <w:rPr>
          <w:rFonts w:ascii="宋体" w:hAnsi="宋体" w:cs="宋体" w:eastAsia="宋体" w:hint="default"/>
          <w:spacing w:val="5"/>
        </w:rPr>
        <w:t>2014</w:t>
      </w:r>
      <w:r>
        <w:rPr>
          <w:spacing w:val="5"/>
        </w:rPr>
        <w:t>年第二批电能表及用电信息采集设备招标采购（招标编号：</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0"/>
        <w:jc w:val="left"/>
      </w:pPr>
      <w:r>
        <w:rPr>
          <w:rFonts w:ascii="宋体" w:hAnsi="宋体" w:cs="宋体" w:eastAsia="宋体" w:hint="default"/>
        </w:rPr>
        <w:t>0711-14OTL007</w:t>
      </w:r>
      <w:r>
        <w:rPr/>
        <w:t>）中，公司中标金额为</w:t>
      </w:r>
      <w:r>
        <w:rPr>
          <w:rFonts w:ascii="宋体" w:hAnsi="宋体" w:cs="宋体" w:eastAsia="宋体" w:hint="default"/>
        </w:rPr>
        <w:t>3,724.77</w:t>
      </w:r>
      <w:r>
        <w:rPr/>
        <w:t>万元。截至报告期末，中标形成的订单正在执行中，尚未</w:t>
      </w:r>
      <w:r>
        <w:rPr>
          <w:spacing w:val="-34"/>
        </w:rPr>
        <w:t> </w:t>
      </w:r>
      <w:r>
        <w:rPr>
          <w:spacing w:val="-34"/>
        </w:rPr>
      </w:r>
      <w:r>
        <w:rPr/>
        <w:t>执行完毕。</w:t>
      </w:r>
    </w:p>
    <w:p>
      <w:pPr>
        <w:pStyle w:val="BodyText"/>
        <w:spacing w:line="240" w:lineRule="auto"/>
        <w:ind w:left="0" w:right="158"/>
        <w:jc w:val="right"/>
      </w:pPr>
      <w:r>
        <w:rPr>
          <w:rFonts w:ascii="宋体" w:hAnsi="宋体" w:cs="宋体" w:eastAsia="宋体" w:hint="default"/>
          <w:spacing w:val="5"/>
        </w:rPr>
        <w:t>2014</w:t>
      </w:r>
      <w:r>
        <w:rPr>
          <w:spacing w:val="5"/>
        </w:rPr>
        <w:t>年</w:t>
      </w:r>
      <w:r>
        <w:rPr>
          <w:rFonts w:ascii="宋体" w:hAnsi="宋体" w:cs="宋体" w:eastAsia="宋体" w:hint="default"/>
          <w:spacing w:val="5"/>
        </w:rPr>
        <w:t>9</w:t>
      </w:r>
      <w:r>
        <w:rPr>
          <w:spacing w:val="5"/>
        </w:rPr>
        <w:t>月</w:t>
      </w:r>
      <w:r>
        <w:rPr>
          <w:rFonts w:ascii="宋体" w:hAnsi="宋体" w:cs="宋体" w:eastAsia="宋体" w:hint="default"/>
          <w:spacing w:val="5"/>
        </w:rPr>
        <w:t>17</w:t>
      </w:r>
      <w:r>
        <w:rPr>
          <w:spacing w:val="5"/>
        </w:rPr>
        <w:t>日，在国家电网公司</w:t>
      </w:r>
      <w:r>
        <w:rPr>
          <w:rFonts w:ascii="宋体" w:hAnsi="宋体" w:cs="宋体" w:eastAsia="宋体" w:hint="default"/>
          <w:spacing w:val="5"/>
        </w:rPr>
        <w:t>2014</w:t>
      </w:r>
      <w:r>
        <w:rPr>
          <w:spacing w:val="5"/>
        </w:rPr>
        <w:t>年第三批电能表及用电信息采集设备招标采购（招标编号：</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rFonts w:ascii="宋体" w:hAnsi="宋体" w:cs="宋体" w:eastAsia="宋体" w:hint="default"/>
        </w:rPr>
        <w:t>0711-14OTL008</w:t>
      </w:r>
      <w:r>
        <w:rPr/>
        <w:t>）中，公司中标金额为</w:t>
      </w:r>
      <w:r>
        <w:rPr>
          <w:rFonts w:ascii="宋体" w:hAnsi="宋体" w:cs="宋体" w:eastAsia="宋体" w:hint="default"/>
        </w:rPr>
        <w:t>3,452.17</w:t>
      </w:r>
      <w:r>
        <w:rPr/>
        <w:t>万元。截至报告期末，中标形成的订单正在执行中，尚未</w:t>
      </w:r>
      <w:r>
        <w:rPr>
          <w:spacing w:val="-34"/>
        </w:rPr>
        <w:t> </w:t>
      </w:r>
      <w:r>
        <w:rPr>
          <w:spacing w:val="-34"/>
        </w:rPr>
      </w:r>
      <w:r>
        <w:rPr/>
        <w:t>执行完毕。</w:t>
      </w:r>
    </w:p>
    <w:p>
      <w:pPr>
        <w:pStyle w:val="BodyText"/>
        <w:spacing w:line="240" w:lineRule="auto"/>
        <w:ind w:left="0" w:right="157"/>
        <w:jc w:val="right"/>
      </w:pPr>
      <w:r>
        <w:rPr>
          <w:rFonts w:ascii="宋体" w:hAnsi="宋体" w:cs="宋体" w:eastAsia="宋体" w:hint="default"/>
          <w:spacing w:val="3"/>
        </w:rPr>
        <w:t>2014</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27</w:t>
      </w:r>
      <w:r>
        <w:rPr>
          <w:spacing w:val="3"/>
        </w:rPr>
        <w:t>日，在国家电网公司</w:t>
      </w:r>
      <w:r>
        <w:rPr>
          <w:rFonts w:ascii="宋体" w:hAnsi="宋体" w:cs="宋体" w:eastAsia="宋体" w:hint="default"/>
          <w:spacing w:val="3"/>
        </w:rPr>
        <w:t>2014</w:t>
      </w:r>
      <w:r>
        <w:rPr>
          <w:spacing w:val="3"/>
        </w:rPr>
        <w:t>年第四批电能表及用电信息采集设备招标采购（招标编号：</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rFonts w:ascii="宋体" w:hAnsi="宋体" w:cs="宋体" w:eastAsia="宋体" w:hint="default"/>
        </w:rPr>
        <w:t>0711-14OTL009</w:t>
      </w:r>
      <w:r>
        <w:rPr/>
        <w:t>）中，公司中标金额约为人民币</w:t>
      </w:r>
      <w:r>
        <w:rPr>
          <w:rFonts w:ascii="宋体" w:hAnsi="宋体" w:cs="宋体" w:eastAsia="宋体" w:hint="default"/>
        </w:rPr>
        <w:t>3,474.97</w:t>
      </w:r>
      <w:r>
        <w:rPr/>
        <w:t>万元。截至报告期末，中标形成的订单正在执行</w:t>
      </w:r>
      <w:r>
        <w:rPr>
          <w:spacing w:val="-32"/>
        </w:rPr>
        <w:t> </w:t>
      </w:r>
      <w:r>
        <w:rPr>
          <w:spacing w:val="-32"/>
        </w:rPr>
      </w:r>
      <w:r>
        <w:rPr/>
        <w:t>中，尚未执行完毕。</w:t>
      </w:r>
    </w:p>
    <w:p>
      <w:pPr>
        <w:pStyle w:val="BodyText"/>
        <w:spacing w:line="240" w:lineRule="auto"/>
        <w:ind w:right="0"/>
        <w:jc w:val="left"/>
      </w:pPr>
      <w:r>
        <w:rPr/>
        <w:t>公司报告期内产品或服务发生重大变化或调整有关情况</w:t>
      </w:r>
    </w:p>
    <w:p>
      <w:pPr>
        <w:spacing w:line="240" w:lineRule="auto" w:before="10"/>
        <w:rPr>
          <w:rFonts w:ascii="宋体" w:hAnsi="宋体" w:cs="宋体" w:eastAsia="宋体" w:hint="default"/>
          <w:sz w:val="14"/>
          <w:szCs w:val="14"/>
        </w:rPr>
      </w:pPr>
    </w:p>
    <w:p>
      <w:pPr>
        <w:pStyle w:val="BodyText"/>
        <w:spacing w:line="408" w:lineRule="auto" w:before="0"/>
        <w:ind w:left="154" w:right="7988"/>
        <w:jc w:val="left"/>
      </w:pPr>
      <w:r>
        <w:rPr/>
        <w:t>□ 适用 √</w:t>
      </w:r>
      <w:r>
        <w:rPr>
          <w:spacing w:val="-1"/>
        </w:rPr>
        <w:t> </w:t>
      </w:r>
      <w:r>
        <w:rPr/>
        <w:t>不适用</w:t>
      </w:r>
      <w:r>
        <w:rPr/>
        <w:t> </w:t>
      </w:r>
      <w:r>
        <w:rPr>
          <w:rFonts w:ascii="宋体" w:hAnsi="宋体" w:cs="宋体" w:eastAsia="宋体" w:hint="default"/>
        </w:rPr>
        <w:t>4</w:t>
      </w:r>
      <w:r>
        <w:rPr/>
        <w:t>）成本</w:t>
      </w:r>
    </w:p>
    <w:p>
      <w:pPr>
        <w:spacing w:before="3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597"/>
        <w:gridCol w:w="1594"/>
        <w:gridCol w:w="1595"/>
        <w:gridCol w:w="1594"/>
        <w:gridCol w:w="1594"/>
        <w:gridCol w:w="1594"/>
      </w:tblGrid>
      <w:tr>
        <w:trPr>
          <w:trHeight w:val="395" w:hRule="exact"/>
        </w:trPr>
        <w:tc>
          <w:tcPr>
            <w:tcW w:w="1597"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8"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14" w:hRule="exact"/>
        </w:trPr>
        <w:tc>
          <w:tcPr>
            <w:tcW w:w="1597" w:type="dxa"/>
            <w:vMerge/>
            <w:tcBorders>
              <w:left w:val="single" w:sz="12" w:space="0" w:color="000000"/>
              <w:bottom w:val="single" w:sz="6" w:space="0" w:color="000000"/>
              <w:right w:val="single" w:sz="6" w:space="0" w:color="000000"/>
            </w:tcBorders>
            <w:shd w:val="clear" w:color="auto" w:fill="D2D2D2"/>
          </w:tcPr>
          <w:p>
            <w:pP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160"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159"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6" w:space="0" w:color="000000"/>
              <w:bottom w:val="single" w:sz="6" w:space="0" w:color="000000"/>
              <w:right w:val="single" w:sz="12" w:space="0" w:color="000000"/>
            </w:tcBorders>
            <w:shd w:val="clear" w:color="auto" w:fill="D2D2D2"/>
          </w:tcPr>
          <w:p>
            <w:pPr/>
          </w:p>
        </w:tc>
      </w:tr>
      <w:tr>
        <w:trPr>
          <w:trHeight w:val="419"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159,193,674.73</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68.66%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158,124,040.38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73.90%</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hAnsi="宋体" w:cs="宋体" w:eastAsia="宋体" w:hint="default"/>
                <w:sz w:val="18"/>
                <w:szCs w:val="18"/>
              </w:rPr>
              <w:t>-5.24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12"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left="1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9,668,031.82</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4.17%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6,282,957.55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2.94%</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hAnsi="宋体" w:cs="宋体" w:eastAsia="宋体" w:hint="default"/>
                <w:sz w:val="18"/>
                <w:szCs w:val="18"/>
              </w:rPr>
              <w:t>1.23</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13" w:hRule="exact"/>
        </w:trPr>
        <w:tc>
          <w:tcPr>
            <w:tcW w:w="159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left="1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19,836,645.98</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8.56%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19,304,224.93</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9.02%</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hAnsi="宋体" w:cs="宋体" w:eastAsia="宋体" w:hint="default"/>
                <w:sz w:val="18"/>
                <w:szCs w:val="18"/>
              </w:rPr>
              <w:t>-0.46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19" w:hRule="exact"/>
        </w:trPr>
        <w:tc>
          <w:tcPr>
            <w:tcW w:w="159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自制商品成本合计</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188,698,352.53</w:t>
            </w: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81.39%</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183,711,222.86</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85.85%</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hAnsi="宋体" w:cs="宋体" w:eastAsia="宋体" w:hint="default"/>
                <w:sz w:val="18"/>
                <w:szCs w:val="18"/>
              </w:rPr>
              <w:t>-4.46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bl>
    <w:p>
      <w:pPr>
        <w:spacing w:line="240" w:lineRule="auto" w:before="3"/>
        <w:rPr>
          <w:rFonts w:ascii="宋体" w:hAnsi="宋体" w:cs="宋体" w:eastAsia="宋体" w:hint="default"/>
          <w:sz w:val="5"/>
          <w:szCs w:val="5"/>
        </w:rPr>
      </w:pPr>
    </w:p>
    <w:p>
      <w:pPr>
        <w:pStyle w:val="BodyText"/>
        <w:spacing w:line="240" w:lineRule="auto" w:before="35"/>
        <w:ind w:left="154" w:right="0"/>
        <w:jc w:val="left"/>
      </w:pPr>
      <w:r>
        <w:rPr>
          <w:rFonts w:ascii="宋体" w:hAnsi="宋体" w:cs="宋体" w:eastAsia="宋体" w:hint="default"/>
        </w:rPr>
        <w:t>5</w:t>
      </w:r>
      <w:r>
        <w:rPr/>
        <w:t>）费用</w:t>
      </w:r>
    </w:p>
    <w:p>
      <w:pPr>
        <w:spacing w:line="240" w:lineRule="auto" w:before="6"/>
        <w:rPr>
          <w:rFonts w:ascii="宋体" w:hAnsi="宋体" w:cs="宋体" w:eastAsia="宋体" w:hint="default"/>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561"/>
        <w:gridCol w:w="1606"/>
        <w:gridCol w:w="1607"/>
        <w:gridCol w:w="1039"/>
        <w:gridCol w:w="3756"/>
      </w:tblGrid>
      <w:tr>
        <w:trPr>
          <w:trHeight w:val="415" w:hRule="exact"/>
        </w:trPr>
        <w:tc>
          <w:tcPr>
            <w:tcW w:w="1561"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60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0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3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75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9" w:hRule="exact"/>
        </w:trPr>
        <w:tc>
          <w:tcPr>
            <w:tcW w:w="1561" w:type="dxa"/>
            <w:tcBorders>
              <w:top w:val="single" w:sz="6" w:space="0" w:color="000000"/>
              <w:left w:val="single" w:sz="12" w:space="0" w:color="000000"/>
              <w:bottom w:val="nil" w:sz="6" w:space="0" w:color="auto"/>
              <w:right w:val="single" w:sz="6" w:space="0" w:color="000000"/>
            </w:tcBorders>
            <w:shd w:val="clear" w:color="auto" w:fill="D2D2D2"/>
          </w:tcPr>
          <w:p>
            <w:pPr/>
          </w:p>
        </w:tc>
        <w:tc>
          <w:tcPr>
            <w:tcW w:w="1606" w:type="dxa"/>
            <w:vMerge w:val="restart"/>
            <w:tcBorders>
              <w:top w:val="single" w:sz="6" w:space="0" w:color="000000"/>
              <w:left w:val="single" w:sz="8"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7" w:right="0"/>
              <w:jc w:val="left"/>
              <w:rPr>
                <w:rFonts w:ascii="宋体" w:hAnsi="宋体" w:cs="宋体" w:eastAsia="宋体" w:hint="default"/>
                <w:sz w:val="18"/>
                <w:szCs w:val="18"/>
              </w:rPr>
            </w:pPr>
            <w:r>
              <w:rPr>
                <w:rFonts w:ascii="宋体"/>
                <w:sz w:val="18"/>
              </w:rPr>
              <w:t>17,065,773.48</w:t>
            </w:r>
          </w:p>
        </w:tc>
        <w:tc>
          <w:tcPr>
            <w:tcW w:w="160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1" w:right="0"/>
              <w:jc w:val="left"/>
              <w:rPr>
                <w:rFonts w:ascii="宋体" w:hAnsi="宋体" w:cs="宋体" w:eastAsia="宋体" w:hint="default"/>
                <w:sz w:val="18"/>
                <w:szCs w:val="18"/>
              </w:rPr>
            </w:pPr>
            <w:r>
              <w:rPr>
                <w:rFonts w:ascii="宋体"/>
                <w:sz w:val="18"/>
              </w:rPr>
              <w:t>16,204,465.68</w:t>
            </w:r>
          </w:p>
        </w:tc>
        <w:tc>
          <w:tcPr>
            <w:tcW w:w="103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54" w:right="0"/>
              <w:jc w:val="left"/>
              <w:rPr>
                <w:rFonts w:ascii="宋体" w:hAnsi="宋体" w:cs="宋体" w:eastAsia="宋体" w:hint="default"/>
                <w:sz w:val="18"/>
                <w:szCs w:val="18"/>
              </w:rPr>
            </w:pPr>
            <w:r>
              <w:rPr>
                <w:rFonts w:ascii="宋体"/>
                <w:sz w:val="18"/>
              </w:rPr>
              <w:t>5.32%</w:t>
            </w:r>
          </w:p>
        </w:tc>
        <w:tc>
          <w:tcPr>
            <w:tcW w:w="3756" w:type="dxa"/>
            <w:vMerge w:val="restart"/>
            <w:tcBorders>
              <w:top w:val="single" w:sz="6" w:space="0" w:color="000000"/>
              <w:left w:val="single" w:sz="6" w:space="0" w:color="000000"/>
              <w:right w:val="single" w:sz="12" w:space="0" w:color="000000"/>
            </w:tcBorders>
          </w:tcPr>
          <w:p>
            <w:pPr>
              <w:pStyle w:val="TableParagraph"/>
              <w:spacing w:line="319" w:lineRule="auto" w:before="51"/>
              <w:ind w:left="21" w:right="10"/>
              <w:jc w:val="left"/>
              <w:rPr>
                <w:rFonts w:ascii="宋体" w:hAnsi="宋体" w:cs="宋体" w:eastAsia="宋体" w:hint="default"/>
                <w:sz w:val="18"/>
                <w:szCs w:val="18"/>
              </w:rPr>
            </w:pPr>
            <w:r>
              <w:rPr>
                <w:rFonts w:ascii="宋体" w:hAnsi="宋体" w:cs="宋体" w:eastAsia="宋体" w:hint="default"/>
                <w:sz w:val="18"/>
                <w:szCs w:val="18"/>
              </w:rPr>
              <w:t>一方面公司加大市场开拓力度的同时增加了部 </w:t>
            </w:r>
            <w:r>
              <w:rPr>
                <w:rFonts w:ascii="宋体" w:hAnsi="宋体" w:cs="宋体" w:eastAsia="宋体" w:hint="default"/>
                <w:spacing w:val="-4"/>
                <w:sz w:val="18"/>
                <w:szCs w:val="18"/>
              </w:rPr>
              <w:t>分销售费用，另一方面报告期内合并了原控股子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公司南京宇能的销售费用。</w:t>
            </w:r>
          </w:p>
        </w:tc>
      </w:tr>
      <w:tr>
        <w:trPr>
          <w:trHeight w:val="392" w:hRule="exact"/>
        </w:trPr>
        <w:tc>
          <w:tcPr>
            <w:tcW w:w="1561"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606" w:type="dxa"/>
            <w:vMerge/>
            <w:tcBorders>
              <w:left w:val="single" w:sz="8" w:space="0" w:color="D2D2D2"/>
              <w:right w:val="single" w:sz="6" w:space="0" w:color="000000"/>
            </w:tcBorders>
          </w:tcPr>
          <w:p>
            <w:pPr/>
          </w:p>
        </w:tc>
        <w:tc>
          <w:tcPr>
            <w:tcW w:w="1607" w:type="dxa"/>
            <w:vMerge/>
            <w:tcBorders>
              <w:left w:val="single" w:sz="6" w:space="0" w:color="000000"/>
              <w:right w:val="single" w:sz="6" w:space="0" w:color="000000"/>
            </w:tcBorders>
          </w:tcPr>
          <w:p>
            <w:pPr/>
          </w:p>
        </w:tc>
        <w:tc>
          <w:tcPr>
            <w:tcW w:w="1039" w:type="dxa"/>
            <w:vMerge/>
            <w:tcBorders>
              <w:left w:val="single" w:sz="6" w:space="0" w:color="000000"/>
              <w:right w:val="single" w:sz="6" w:space="0" w:color="000000"/>
            </w:tcBorders>
          </w:tcPr>
          <w:p>
            <w:pPr/>
          </w:p>
        </w:tc>
        <w:tc>
          <w:tcPr>
            <w:tcW w:w="3756" w:type="dxa"/>
            <w:vMerge/>
            <w:tcBorders>
              <w:left w:val="single" w:sz="6" w:space="0" w:color="000000"/>
              <w:right w:val="single" w:sz="12" w:space="0" w:color="000000"/>
            </w:tcBorders>
          </w:tcPr>
          <w:p>
            <w:pPr/>
          </w:p>
        </w:tc>
      </w:tr>
      <w:tr>
        <w:trPr>
          <w:trHeight w:val="319" w:hRule="exact"/>
        </w:trPr>
        <w:tc>
          <w:tcPr>
            <w:tcW w:w="1561" w:type="dxa"/>
            <w:tcBorders>
              <w:top w:val="nil" w:sz="6" w:space="0" w:color="auto"/>
              <w:left w:val="single" w:sz="12" w:space="0" w:color="000000"/>
              <w:bottom w:val="single" w:sz="6" w:space="0" w:color="000000"/>
              <w:right w:val="single" w:sz="6" w:space="0" w:color="000000"/>
            </w:tcBorders>
            <w:shd w:val="clear" w:color="auto" w:fill="D2D2D2"/>
          </w:tcPr>
          <w:p>
            <w:pPr/>
          </w:p>
        </w:tc>
        <w:tc>
          <w:tcPr>
            <w:tcW w:w="1606" w:type="dxa"/>
            <w:vMerge/>
            <w:tcBorders>
              <w:left w:val="single" w:sz="8" w:space="0" w:color="D2D2D2"/>
              <w:bottom w:val="single" w:sz="6" w:space="0" w:color="000000"/>
              <w:right w:val="single" w:sz="6" w:space="0" w:color="000000"/>
            </w:tcBorders>
          </w:tcPr>
          <w:p>
            <w:pPr/>
          </w:p>
        </w:tc>
        <w:tc>
          <w:tcPr>
            <w:tcW w:w="1607" w:type="dxa"/>
            <w:vMerge/>
            <w:tcBorders>
              <w:left w:val="single" w:sz="6" w:space="0" w:color="000000"/>
              <w:bottom w:val="single" w:sz="6" w:space="0" w:color="000000"/>
              <w:right w:val="single" w:sz="6" w:space="0" w:color="000000"/>
            </w:tcBorders>
          </w:tcPr>
          <w:p>
            <w:pPr/>
          </w:p>
        </w:tc>
        <w:tc>
          <w:tcPr>
            <w:tcW w:w="1039" w:type="dxa"/>
            <w:vMerge/>
            <w:tcBorders>
              <w:left w:val="single" w:sz="6" w:space="0" w:color="000000"/>
              <w:bottom w:val="single" w:sz="6" w:space="0" w:color="000000"/>
              <w:right w:val="single" w:sz="6" w:space="0" w:color="000000"/>
            </w:tcBorders>
          </w:tcPr>
          <w:p>
            <w:pPr/>
          </w:p>
        </w:tc>
        <w:tc>
          <w:tcPr>
            <w:tcW w:w="3756" w:type="dxa"/>
            <w:vMerge/>
            <w:tcBorders>
              <w:left w:val="single" w:sz="6" w:space="0" w:color="000000"/>
              <w:bottom w:val="single" w:sz="6" w:space="0" w:color="000000"/>
              <w:right w:val="single" w:sz="12" w:space="0" w:color="000000"/>
            </w:tcBorders>
          </w:tcPr>
          <w:p>
            <w:pPr/>
          </w:p>
        </w:tc>
      </w:tr>
      <w:tr>
        <w:trPr>
          <w:trHeight w:val="319" w:hRule="exact"/>
        </w:trPr>
        <w:tc>
          <w:tcPr>
            <w:tcW w:w="1561" w:type="dxa"/>
            <w:tcBorders>
              <w:top w:val="single" w:sz="6" w:space="0" w:color="000000"/>
              <w:left w:val="single" w:sz="12" w:space="0" w:color="000000"/>
              <w:bottom w:val="nil" w:sz="6" w:space="0" w:color="auto"/>
              <w:right w:val="single" w:sz="6" w:space="0" w:color="000000"/>
            </w:tcBorders>
            <w:shd w:val="clear" w:color="auto" w:fill="D2D2D2"/>
          </w:tcPr>
          <w:p>
            <w:pPr/>
          </w:p>
        </w:tc>
        <w:tc>
          <w:tcPr>
            <w:tcW w:w="1606" w:type="dxa"/>
            <w:vMerge w:val="restart"/>
            <w:tcBorders>
              <w:top w:val="single" w:sz="6" w:space="0" w:color="000000"/>
              <w:left w:val="single" w:sz="8"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7" w:right="0"/>
              <w:jc w:val="left"/>
              <w:rPr>
                <w:rFonts w:ascii="宋体" w:hAnsi="宋体" w:cs="宋体" w:eastAsia="宋体" w:hint="default"/>
                <w:sz w:val="18"/>
                <w:szCs w:val="18"/>
              </w:rPr>
            </w:pPr>
            <w:r>
              <w:rPr>
                <w:rFonts w:ascii="宋体"/>
                <w:sz w:val="18"/>
              </w:rPr>
              <w:t>62,180,881.17</w:t>
            </w:r>
          </w:p>
        </w:tc>
        <w:tc>
          <w:tcPr>
            <w:tcW w:w="160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1" w:right="0"/>
              <w:jc w:val="left"/>
              <w:rPr>
                <w:rFonts w:ascii="宋体" w:hAnsi="宋体" w:cs="宋体" w:eastAsia="宋体" w:hint="default"/>
                <w:sz w:val="18"/>
                <w:szCs w:val="18"/>
              </w:rPr>
            </w:pPr>
            <w:r>
              <w:rPr>
                <w:rFonts w:ascii="宋体"/>
                <w:sz w:val="18"/>
              </w:rPr>
              <w:t>47,019,934.01</w:t>
            </w:r>
          </w:p>
        </w:tc>
        <w:tc>
          <w:tcPr>
            <w:tcW w:w="103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64" w:right="0"/>
              <w:jc w:val="left"/>
              <w:rPr>
                <w:rFonts w:ascii="宋体" w:hAnsi="宋体" w:cs="宋体" w:eastAsia="宋体" w:hint="default"/>
                <w:sz w:val="18"/>
                <w:szCs w:val="18"/>
              </w:rPr>
            </w:pPr>
            <w:r>
              <w:rPr>
                <w:rFonts w:ascii="宋体"/>
                <w:sz w:val="18"/>
              </w:rPr>
              <w:t>32.24%</w:t>
            </w:r>
          </w:p>
        </w:tc>
        <w:tc>
          <w:tcPr>
            <w:tcW w:w="3756" w:type="dxa"/>
            <w:vMerge w:val="restart"/>
            <w:tcBorders>
              <w:top w:val="single" w:sz="6" w:space="0" w:color="000000"/>
              <w:left w:val="single" w:sz="6" w:space="0" w:color="000000"/>
              <w:right w:val="single" w:sz="12" w:space="0" w:color="000000"/>
            </w:tcBorders>
          </w:tcPr>
          <w:p>
            <w:pPr>
              <w:pStyle w:val="TableParagraph"/>
              <w:spacing w:line="319" w:lineRule="auto" w:before="51"/>
              <w:ind w:left="21" w:right="10"/>
              <w:jc w:val="left"/>
              <w:rPr>
                <w:rFonts w:ascii="宋体" w:hAnsi="宋体" w:cs="宋体" w:eastAsia="宋体" w:hint="default"/>
                <w:sz w:val="18"/>
                <w:szCs w:val="18"/>
              </w:rPr>
            </w:pPr>
            <w:r>
              <w:rPr>
                <w:rFonts w:ascii="宋体" w:hAnsi="宋体" w:cs="宋体" w:eastAsia="宋体" w:hint="default"/>
                <w:sz w:val="18"/>
                <w:szCs w:val="18"/>
              </w:rPr>
              <w:t>一方面公司加大产业延伸及资源整合增加了部 </w:t>
            </w:r>
            <w:r>
              <w:rPr>
                <w:rFonts w:ascii="宋体" w:hAnsi="宋体" w:cs="宋体" w:eastAsia="宋体" w:hint="default"/>
                <w:spacing w:val="-4"/>
                <w:sz w:val="18"/>
                <w:szCs w:val="18"/>
              </w:rPr>
              <w:t>分管理费用，另一方面报告期合并了原控股子公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司南京宇能的管理费用。</w:t>
            </w:r>
          </w:p>
        </w:tc>
      </w:tr>
      <w:tr>
        <w:trPr>
          <w:trHeight w:val="392" w:hRule="exact"/>
        </w:trPr>
        <w:tc>
          <w:tcPr>
            <w:tcW w:w="1561"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606" w:type="dxa"/>
            <w:vMerge/>
            <w:tcBorders>
              <w:left w:val="single" w:sz="8" w:space="0" w:color="D2D2D2"/>
              <w:right w:val="single" w:sz="6" w:space="0" w:color="000000"/>
            </w:tcBorders>
          </w:tcPr>
          <w:p>
            <w:pPr/>
          </w:p>
        </w:tc>
        <w:tc>
          <w:tcPr>
            <w:tcW w:w="1607" w:type="dxa"/>
            <w:vMerge/>
            <w:tcBorders>
              <w:left w:val="single" w:sz="6" w:space="0" w:color="000000"/>
              <w:right w:val="single" w:sz="6" w:space="0" w:color="000000"/>
            </w:tcBorders>
          </w:tcPr>
          <w:p>
            <w:pPr/>
          </w:p>
        </w:tc>
        <w:tc>
          <w:tcPr>
            <w:tcW w:w="1039" w:type="dxa"/>
            <w:vMerge/>
            <w:tcBorders>
              <w:left w:val="single" w:sz="6" w:space="0" w:color="000000"/>
              <w:right w:val="single" w:sz="6" w:space="0" w:color="000000"/>
            </w:tcBorders>
          </w:tcPr>
          <w:p>
            <w:pPr/>
          </w:p>
        </w:tc>
        <w:tc>
          <w:tcPr>
            <w:tcW w:w="3756" w:type="dxa"/>
            <w:vMerge/>
            <w:tcBorders>
              <w:left w:val="single" w:sz="6" w:space="0" w:color="000000"/>
              <w:right w:val="single" w:sz="12" w:space="0" w:color="000000"/>
            </w:tcBorders>
          </w:tcPr>
          <w:p>
            <w:pPr/>
          </w:p>
        </w:tc>
      </w:tr>
      <w:tr>
        <w:trPr>
          <w:trHeight w:val="319" w:hRule="exact"/>
        </w:trPr>
        <w:tc>
          <w:tcPr>
            <w:tcW w:w="1561" w:type="dxa"/>
            <w:tcBorders>
              <w:top w:val="nil" w:sz="6" w:space="0" w:color="auto"/>
              <w:left w:val="single" w:sz="12" w:space="0" w:color="000000"/>
              <w:bottom w:val="single" w:sz="6" w:space="0" w:color="000000"/>
              <w:right w:val="single" w:sz="6" w:space="0" w:color="000000"/>
            </w:tcBorders>
            <w:shd w:val="clear" w:color="auto" w:fill="D2D2D2"/>
          </w:tcPr>
          <w:p>
            <w:pPr/>
          </w:p>
        </w:tc>
        <w:tc>
          <w:tcPr>
            <w:tcW w:w="1606" w:type="dxa"/>
            <w:vMerge/>
            <w:tcBorders>
              <w:left w:val="single" w:sz="8" w:space="0" w:color="D2D2D2"/>
              <w:bottom w:val="single" w:sz="6" w:space="0" w:color="000000"/>
              <w:right w:val="single" w:sz="6" w:space="0" w:color="000000"/>
            </w:tcBorders>
          </w:tcPr>
          <w:p>
            <w:pPr/>
          </w:p>
        </w:tc>
        <w:tc>
          <w:tcPr>
            <w:tcW w:w="1607" w:type="dxa"/>
            <w:vMerge/>
            <w:tcBorders>
              <w:left w:val="single" w:sz="6" w:space="0" w:color="000000"/>
              <w:bottom w:val="single" w:sz="6" w:space="0" w:color="000000"/>
              <w:right w:val="single" w:sz="6" w:space="0" w:color="000000"/>
            </w:tcBorders>
          </w:tcPr>
          <w:p>
            <w:pPr/>
          </w:p>
        </w:tc>
        <w:tc>
          <w:tcPr>
            <w:tcW w:w="1039" w:type="dxa"/>
            <w:vMerge/>
            <w:tcBorders>
              <w:left w:val="single" w:sz="6" w:space="0" w:color="000000"/>
              <w:bottom w:val="single" w:sz="6" w:space="0" w:color="000000"/>
              <w:right w:val="single" w:sz="6" w:space="0" w:color="000000"/>
            </w:tcBorders>
          </w:tcPr>
          <w:p>
            <w:pPr/>
          </w:p>
        </w:tc>
        <w:tc>
          <w:tcPr>
            <w:tcW w:w="3756" w:type="dxa"/>
            <w:vMerge/>
            <w:tcBorders>
              <w:left w:val="single" w:sz="6" w:space="0" w:color="000000"/>
              <w:bottom w:val="single" w:sz="6" w:space="0" w:color="000000"/>
              <w:right w:val="single" w:sz="12" w:space="0" w:color="000000"/>
            </w:tcBorders>
          </w:tcPr>
          <w:p>
            <w:pPr/>
          </w:p>
        </w:tc>
      </w:tr>
      <w:tr>
        <w:trPr>
          <w:trHeight w:val="320" w:hRule="exact"/>
        </w:trPr>
        <w:tc>
          <w:tcPr>
            <w:tcW w:w="1561" w:type="dxa"/>
            <w:tcBorders>
              <w:top w:val="single" w:sz="6" w:space="0" w:color="000000"/>
              <w:left w:val="single" w:sz="12" w:space="0" w:color="000000"/>
              <w:bottom w:val="nil" w:sz="6" w:space="0" w:color="auto"/>
              <w:right w:val="single" w:sz="6" w:space="0" w:color="000000"/>
            </w:tcBorders>
            <w:shd w:val="clear" w:color="auto" w:fill="D2D2D2"/>
          </w:tcPr>
          <w:p>
            <w:pPr/>
          </w:p>
        </w:tc>
        <w:tc>
          <w:tcPr>
            <w:tcW w:w="1606" w:type="dxa"/>
            <w:vMerge w:val="restart"/>
            <w:tcBorders>
              <w:top w:val="single" w:sz="6" w:space="0" w:color="000000"/>
              <w:left w:val="single" w:sz="8"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67" w:right="0"/>
              <w:jc w:val="left"/>
              <w:rPr>
                <w:rFonts w:ascii="宋体" w:hAnsi="宋体" w:cs="宋体" w:eastAsia="宋体" w:hint="default"/>
                <w:sz w:val="18"/>
                <w:szCs w:val="18"/>
              </w:rPr>
            </w:pPr>
            <w:r>
              <w:rPr>
                <w:rFonts w:ascii="宋体"/>
                <w:sz w:val="18"/>
              </w:rPr>
              <w:t>124,485.63</w:t>
            </w:r>
          </w:p>
        </w:tc>
        <w:tc>
          <w:tcPr>
            <w:tcW w:w="160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01" w:right="0"/>
              <w:jc w:val="left"/>
              <w:rPr>
                <w:rFonts w:ascii="宋体" w:hAnsi="宋体" w:cs="宋体" w:eastAsia="宋体" w:hint="default"/>
                <w:sz w:val="18"/>
                <w:szCs w:val="18"/>
              </w:rPr>
            </w:pPr>
            <w:r>
              <w:rPr>
                <w:rFonts w:ascii="宋体"/>
                <w:sz w:val="18"/>
              </w:rPr>
              <w:t>-9,234,088.80</w:t>
            </w:r>
          </w:p>
        </w:tc>
        <w:tc>
          <w:tcPr>
            <w:tcW w:w="103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74" w:right="0"/>
              <w:jc w:val="left"/>
              <w:rPr>
                <w:rFonts w:ascii="宋体" w:hAnsi="宋体" w:cs="宋体" w:eastAsia="宋体" w:hint="default"/>
                <w:sz w:val="18"/>
                <w:szCs w:val="18"/>
              </w:rPr>
            </w:pPr>
            <w:r>
              <w:rPr>
                <w:rFonts w:ascii="宋体"/>
                <w:sz w:val="18"/>
              </w:rPr>
              <w:t>101.35%</w:t>
            </w:r>
          </w:p>
        </w:tc>
        <w:tc>
          <w:tcPr>
            <w:tcW w:w="3756" w:type="dxa"/>
            <w:vMerge w:val="restart"/>
            <w:tcBorders>
              <w:top w:val="single" w:sz="6" w:space="0" w:color="000000"/>
              <w:left w:val="single" w:sz="6" w:space="0" w:color="000000"/>
              <w:right w:val="single" w:sz="12" w:space="0" w:color="000000"/>
            </w:tcBorders>
          </w:tcPr>
          <w:p>
            <w:pPr>
              <w:pStyle w:val="TableParagraph"/>
              <w:spacing w:line="316" w:lineRule="auto" w:before="52"/>
              <w:ind w:left="21" w:right="1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年度存放募集资金的利息收入减少，同时 </w:t>
            </w:r>
            <w:r>
              <w:rPr>
                <w:rFonts w:ascii="宋体" w:hAnsi="宋体" w:cs="宋体" w:eastAsia="宋体" w:hint="default"/>
                <w:spacing w:val="-4"/>
                <w:sz w:val="18"/>
                <w:szCs w:val="18"/>
              </w:rPr>
              <w:t>公司新增贷款利息支出增加，综合导致财务费用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较上年同期增加。</w:t>
            </w:r>
          </w:p>
        </w:tc>
      </w:tr>
      <w:tr>
        <w:trPr>
          <w:trHeight w:val="391" w:hRule="exact"/>
        </w:trPr>
        <w:tc>
          <w:tcPr>
            <w:tcW w:w="1561"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606" w:type="dxa"/>
            <w:vMerge/>
            <w:tcBorders>
              <w:left w:val="single" w:sz="8" w:space="0" w:color="D2D2D2"/>
              <w:right w:val="single" w:sz="6" w:space="0" w:color="000000"/>
            </w:tcBorders>
          </w:tcPr>
          <w:p>
            <w:pPr/>
          </w:p>
        </w:tc>
        <w:tc>
          <w:tcPr>
            <w:tcW w:w="1607" w:type="dxa"/>
            <w:vMerge/>
            <w:tcBorders>
              <w:left w:val="single" w:sz="6" w:space="0" w:color="000000"/>
              <w:right w:val="single" w:sz="6" w:space="0" w:color="000000"/>
            </w:tcBorders>
          </w:tcPr>
          <w:p>
            <w:pPr/>
          </w:p>
        </w:tc>
        <w:tc>
          <w:tcPr>
            <w:tcW w:w="1039" w:type="dxa"/>
            <w:vMerge/>
            <w:tcBorders>
              <w:left w:val="single" w:sz="6" w:space="0" w:color="000000"/>
              <w:right w:val="single" w:sz="6" w:space="0" w:color="000000"/>
            </w:tcBorders>
          </w:tcPr>
          <w:p>
            <w:pPr/>
          </w:p>
        </w:tc>
        <w:tc>
          <w:tcPr>
            <w:tcW w:w="3756" w:type="dxa"/>
            <w:vMerge/>
            <w:tcBorders>
              <w:left w:val="single" w:sz="6" w:space="0" w:color="000000"/>
              <w:right w:val="single" w:sz="12" w:space="0" w:color="000000"/>
            </w:tcBorders>
          </w:tcPr>
          <w:p>
            <w:pPr/>
          </w:p>
        </w:tc>
      </w:tr>
      <w:tr>
        <w:trPr>
          <w:trHeight w:val="319" w:hRule="exact"/>
        </w:trPr>
        <w:tc>
          <w:tcPr>
            <w:tcW w:w="1561" w:type="dxa"/>
            <w:tcBorders>
              <w:top w:val="nil" w:sz="6" w:space="0" w:color="auto"/>
              <w:left w:val="single" w:sz="12" w:space="0" w:color="000000"/>
              <w:bottom w:val="single" w:sz="6" w:space="0" w:color="000000"/>
              <w:right w:val="single" w:sz="6" w:space="0" w:color="000000"/>
            </w:tcBorders>
            <w:shd w:val="clear" w:color="auto" w:fill="D2D2D2"/>
          </w:tcPr>
          <w:p>
            <w:pPr/>
          </w:p>
        </w:tc>
        <w:tc>
          <w:tcPr>
            <w:tcW w:w="1606" w:type="dxa"/>
            <w:vMerge/>
            <w:tcBorders>
              <w:left w:val="single" w:sz="8" w:space="0" w:color="D2D2D2"/>
              <w:bottom w:val="single" w:sz="6" w:space="0" w:color="000000"/>
              <w:right w:val="single" w:sz="6" w:space="0" w:color="000000"/>
            </w:tcBorders>
          </w:tcPr>
          <w:p>
            <w:pPr/>
          </w:p>
        </w:tc>
        <w:tc>
          <w:tcPr>
            <w:tcW w:w="1607" w:type="dxa"/>
            <w:vMerge/>
            <w:tcBorders>
              <w:left w:val="single" w:sz="6" w:space="0" w:color="000000"/>
              <w:bottom w:val="single" w:sz="6" w:space="0" w:color="000000"/>
              <w:right w:val="single" w:sz="6" w:space="0" w:color="000000"/>
            </w:tcBorders>
          </w:tcPr>
          <w:p>
            <w:pPr/>
          </w:p>
        </w:tc>
        <w:tc>
          <w:tcPr>
            <w:tcW w:w="1039" w:type="dxa"/>
            <w:vMerge/>
            <w:tcBorders>
              <w:left w:val="single" w:sz="6" w:space="0" w:color="000000"/>
              <w:bottom w:val="single" w:sz="6" w:space="0" w:color="000000"/>
              <w:right w:val="single" w:sz="6" w:space="0" w:color="000000"/>
            </w:tcBorders>
          </w:tcPr>
          <w:p>
            <w:pPr/>
          </w:p>
        </w:tc>
        <w:tc>
          <w:tcPr>
            <w:tcW w:w="3756" w:type="dxa"/>
            <w:vMerge/>
            <w:tcBorders>
              <w:left w:val="single" w:sz="6" w:space="0" w:color="000000"/>
              <w:bottom w:val="single" w:sz="6" w:space="0" w:color="000000"/>
              <w:right w:val="single" w:sz="12" w:space="0" w:color="000000"/>
            </w:tcBorders>
          </w:tcPr>
          <w:p>
            <w:pPr/>
          </w:p>
        </w:tc>
      </w:tr>
      <w:tr>
        <w:trPr>
          <w:trHeight w:val="321" w:hRule="exact"/>
        </w:trPr>
        <w:tc>
          <w:tcPr>
            <w:tcW w:w="1561" w:type="dxa"/>
            <w:tcBorders>
              <w:top w:val="single" w:sz="6" w:space="0" w:color="000000"/>
              <w:left w:val="single" w:sz="12" w:space="0" w:color="000000"/>
              <w:bottom w:val="nil" w:sz="6" w:space="0" w:color="auto"/>
              <w:right w:val="single" w:sz="6" w:space="0" w:color="000000"/>
            </w:tcBorders>
            <w:shd w:val="clear" w:color="auto" w:fill="D2D2D2"/>
          </w:tcPr>
          <w:p>
            <w:pPr/>
          </w:p>
        </w:tc>
        <w:tc>
          <w:tcPr>
            <w:tcW w:w="1606" w:type="dxa"/>
            <w:vMerge w:val="restart"/>
            <w:tcBorders>
              <w:top w:val="single" w:sz="6" w:space="0" w:color="000000"/>
              <w:left w:val="single" w:sz="8"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87" w:right="0"/>
              <w:jc w:val="left"/>
              <w:rPr>
                <w:rFonts w:ascii="宋体" w:hAnsi="宋体" w:cs="宋体" w:eastAsia="宋体" w:hint="default"/>
                <w:sz w:val="18"/>
                <w:szCs w:val="18"/>
              </w:rPr>
            </w:pPr>
            <w:r>
              <w:rPr>
                <w:rFonts w:ascii="宋体"/>
                <w:sz w:val="18"/>
              </w:rPr>
              <w:t>8,984,733.80</w:t>
            </w:r>
          </w:p>
        </w:tc>
        <w:tc>
          <w:tcPr>
            <w:tcW w:w="160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91" w:right="0"/>
              <w:jc w:val="left"/>
              <w:rPr>
                <w:rFonts w:ascii="宋体" w:hAnsi="宋体" w:cs="宋体" w:eastAsia="宋体" w:hint="default"/>
                <w:sz w:val="18"/>
                <w:szCs w:val="18"/>
              </w:rPr>
            </w:pPr>
            <w:r>
              <w:rPr>
                <w:rFonts w:ascii="宋体"/>
                <w:sz w:val="18"/>
              </w:rPr>
              <w:t>6,767,767.10</w:t>
            </w:r>
          </w:p>
        </w:tc>
        <w:tc>
          <w:tcPr>
            <w:tcW w:w="103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64" w:right="0"/>
              <w:jc w:val="left"/>
              <w:rPr>
                <w:rFonts w:ascii="宋体" w:hAnsi="宋体" w:cs="宋体" w:eastAsia="宋体" w:hint="default"/>
                <w:sz w:val="18"/>
                <w:szCs w:val="18"/>
              </w:rPr>
            </w:pPr>
            <w:r>
              <w:rPr>
                <w:rFonts w:ascii="宋体"/>
                <w:sz w:val="18"/>
              </w:rPr>
              <w:t>32.76%</w:t>
            </w:r>
          </w:p>
        </w:tc>
        <w:tc>
          <w:tcPr>
            <w:tcW w:w="3756" w:type="dxa"/>
            <w:vMerge w:val="restart"/>
            <w:tcBorders>
              <w:top w:val="single" w:sz="6" w:space="0" w:color="000000"/>
              <w:left w:val="single" w:sz="6" w:space="0" w:color="000000"/>
              <w:right w:val="single" w:sz="12" w:space="0" w:color="000000"/>
            </w:tcBorders>
          </w:tcPr>
          <w:p>
            <w:pPr>
              <w:pStyle w:val="TableParagraph"/>
              <w:spacing w:line="316" w:lineRule="auto" w:before="53"/>
              <w:ind w:left="21" w:right="19"/>
              <w:jc w:val="left"/>
              <w:rPr>
                <w:rFonts w:ascii="宋体" w:hAnsi="宋体" w:cs="宋体" w:eastAsia="宋体" w:hint="default"/>
                <w:sz w:val="18"/>
                <w:szCs w:val="18"/>
              </w:rPr>
            </w:pPr>
            <w:r>
              <w:rPr>
                <w:rFonts w:ascii="宋体" w:hAnsi="宋体" w:cs="宋体" w:eastAsia="宋体" w:hint="default"/>
                <w:sz w:val="18"/>
                <w:szCs w:val="18"/>
              </w:rPr>
              <w:t>全资子公司苏源光一</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年度不继续享受高新 技术企业税收优惠政策，按</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计征企业所得 税，影响所得税费用</w:t>
            </w:r>
            <w:r>
              <w:rPr>
                <w:rFonts w:ascii="宋体" w:hAnsi="宋体" w:cs="宋体" w:eastAsia="宋体" w:hint="default"/>
                <w:spacing w:val="-46"/>
                <w:sz w:val="18"/>
                <w:szCs w:val="18"/>
              </w:rPr>
              <w:t> </w:t>
            </w:r>
            <w:r>
              <w:rPr>
                <w:rFonts w:ascii="宋体" w:hAnsi="宋体" w:cs="宋体" w:eastAsia="宋体" w:hint="default"/>
                <w:sz w:val="18"/>
                <w:szCs w:val="18"/>
              </w:rPr>
              <w:t>173.50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391" w:hRule="exact"/>
        </w:trPr>
        <w:tc>
          <w:tcPr>
            <w:tcW w:w="1561"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606" w:type="dxa"/>
            <w:vMerge/>
            <w:tcBorders>
              <w:left w:val="single" w:sz="8" w:space="0" w:color="D2D2D2"/>
              <w:right w:val="single" w:sz="6" w:space="0" w:color="000000"/>
            </w:tcBorders>
          </w:tcPr>
          <w:p>
            <w:pPr/>
          </w:p>
        </w:tc>
        <w:tc>
          <w:tcPr>
            <w:tcW w:w="1607" w:type="dxa"/>
            <w:vMerge/>
            <w:tcBorders>
              <w:left w:val="single" w:sz="6" w:space="0" w:color="000000"/>
              <w:right w:val="single" w:sz="6" w:space="0" w:color="000000"/>
            </w:tcBorders>
          </w:tcPr>
          <w:p>
            <w:pPr/>
          </w:p>
        </w:tc>
        <w:tc>
          <w:tcPr>
            <w:tcW w:w="1039" w:type="dxa"/>
            <w:vMerge/>
            <w:tcBorders>
              <w:left w:val="single" w:sz="6" w:space="0" w:color="000000"/>
              <w:right w:val="single" w:sz="6" w:space="0" w:color="000000"/>
            </w:tcBorders>
          </w:tcPr>
          <w:p>
            <w:pPr/>
          </w:p>
        </w:tc>
        <w:tc>
          <w:tcPr>
            <w:tcW w:w="3756" w:type="dxa"/>
            <w:vMerge/>
            <w:tcBorders>
              <w:left w:val="single" w:sz="6" w:space="0" w:color="000000"/>
              <w:right w:val="single" w:sz="12" w:space="0" w:color="000000"/>
            </w:tcBorders>
          </w:tcPr>
          <w:p>
            <w:pPr/>
          </w:p>
        </w:tc>
      </w:tr>
      <w:tr>
        <w:trPr>
          <w:trHeight w:val="327" w:hRule="exact"/>
        </w:trPr>
        <w:tc>
          <w:tcPr>
            <w:tcW w:w="1561" w:type="dxa"/>
            <w:tcBorders>
              <w:top w:val="nil" w:sz="6" w:space="0" w:color="auto"/>
              <w:left w:val="single" w:sz="12" w:space="0" w:color="000000"/>
              <w:bottom w:val="single" w:sz="12" w:space="0" w:color="000000"/>
              <w:right w:val="single" w:sz="6" w:space="0" w:color="000000"/>
            </w:tcBorders>
            <w:shd w:val="clear" w:color="auto" w:fill="D2D2D2"/>
          </w:tcPr>
          <w:p>
            <w:pPr/>
          </w:p>
        </w:tc>
        <w:tc>
          <w:tcPr>
            <w:tcW w:w="1606" w:type="dxa"/>
            <w:vMerge/>
            <w:tcBorders>
              <w:left w:val="single" w:sz="8" w:space="0" w:color="D2D2D2"/>
              <w:bottom w:val="single" w:sz="12" w:space="0" w:color="000000"/>
              <w:right w:val="single" w:sz="6" w:space="0" w:color="000000"/>
            </w:tcBorders>
          </w:tcPr>
          <w:p>
            <w:pPr/>
          </w:p>
        </w:tc>
        <w:tc>
          <w:tcPr>
            <w:tcW w:w="1607" w:type="dxa"/>
            <w:vMerge/>
            <w:tcBorders>
              <w:left w:val="single" w:sz="6" w:space="0" w:color="000000"/>
              <w:bottom w:val="single" w:sz="12" w:space="0" w:color="000000"/>
              <w:right w:val="single" w:sz="6" w:space="0" w:color="000000"/>
            </w:tcBorders>
          </w:tcPr>
          <w:p>
            <w:pPr/>
          </w:p>
        </w:tc>
        <w:tc>
          <w:tcPr>
            <w:tcW w:w="1039" w:type="dxa"/>
            <w:vMerge/>
            <w:tcBorders>
              <w:left w:val="single" w:sz="6" w:space="0" w:color="000000"/>
              <w:bottom w:val="single" w:sz="12" w:space="0" w:color="000000"/>
              <w:right w:val="single" w:sz="6" w:space="0" w:color="000000"/>
            </w:tcBorders>
          </w:tcPr>
          <w:p>
            <w:pPr/>
          </w:p>
        </w:tc>
        <w:tc>
          <w:tcPr>
            <w:tcW w:w="3756" w:type="dxa"/>
            <w:vMerge/>
            <w:tcBorders>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0"/>
        <w:jc w:val="both"/>
      </w:pPr>
      <w:r>
        <w:rPr>
          <w:rFonts w:ascii="宋体" w:hAnsi="宋体" w:cs="宋体" w:eastAsia="宋体" w:hint="default"/>
        </w:rPr>
        <w:t>6</w:t>
      </w:r>
      <w:r>
        <w:rPr/>
        <w:t>）研发投入</w:t>
      </w:r>
    </w:p>
    <w:p>
      <w:pPr>
        <w:spacing w:line="240" w:lineRule="auto" w:before="10"/>
        <w:rPr>
          <w:rFonts w:ascii="宋体" w:hAnsi="宋体" w:cs="宋体" w:eastAsia="宋体" w:hint="default"/>
          <w:sz w:val="14"/>
          <w:szCs w:val="14"/>
        </w:rPr>
      </w:pPr>
    </w:p>
    <w:p>
      <w:pPr>
        <w:pStyle w:val="BodyText"/>
        <w:spacing w:line="408" w:lineRule="auto" w:before="0"/>
        <w:ind w:left="574" w:right="0" w:hanging="420"/>
        <w:jc w:val="left"/>
      </w:pPr>
      <w:r>
        <w:rPr/>
        <w:t>√ 适用 □</w:t>
      </w:r>
      <w:r>
        <w:rPr>
          <w:spacing w:val="-1"/>
        </w:rPr>
        <w:t> </w:t>
      </w:r>
      <w:r>
        <w:rPr/>
        <w:t>不适用</w:t>
      </w:r>
      <w:r>
        <w:rPr/>
        <w:t> </w:t>
      </w:r>
      <w:r>
        <w:rPr>
          <w:spacing w:val="-1"/>
        </w:rPr>
        <w:t>目前国家大力推动能源生产革命和能源消费革命，加快发展新能源应用、大力推进建筑节能、低碳城</w:t>
      </w:r>
    </w:p>
    <w:p>
      <w:pPr>
        <w:pStyle w:val="BodyText"/>
        <w:spacing w:line="408" w:lineRule="auto"/>
        <w:ind w:left="154" w:right="151"/>
        <w:jc w:val="both"/>
      </w:pPr>
      <w:r>
        <w:rPr>
          <w:spacing w:val="-1"/>
        </w:rPr>
        <w:t>市建设，公司以此为契机，积极开展新能源分布式发电及微电网技术、智慧能源管理、建筑节能改造、智</w:t>
      </w:r>
      <w:r>
        <w:rPr>
          <w:spacing w:val="-83"/>
        </w:rPr>
        <w:t> </w:t>
      </w:r>
      <w:r>
        <w:rPr>
          <w:spacing w:val="-83"/>
        </w:rPr>
      </w:r>
      <w:r>
        <w:rPr>
          <w:spacing w:val="-1"/>
        </w:rPr>
        <w:t>慧城市建设等领域的技术研究和应用研究，不断提高研发实力与核心技术能力，目前已研发出能源管理监</w:t>
      </w:r>
      <w:r>
        <w:rPr>
          <w:spacing w:val="-81"/>
        </w:rPr>
        <w:t> </w:t>
      </w:r>
      <w:r>
        <w:rPr>
          <w:spacing w:val="-81"/>
        </w:rPr>
      </w:r>
      <w:r>
        <w:rPr>
          <w:spacing w:val="-1"/>
        </w:rPr>
        <w:t>控平台和设备，并通过中国电科院的产品型式试验，能源管理系统监控平台已获得软件著作权。同时，公</w:t>
      </w:r>
      <w:r>
        <w:rPr>
          <w:spacing w:val="-85"/>
        </w:rPr>
        <w:t> </w:t>
      </w:r>
      <w:r>
        <w:rPr>
          <w:spacing w:val="-85"/>
        </w:rPr>
      </w:r>
      <w:r>
        <w:rPr>
          <w:spacing w:val="-1"/>
        </w:rPr>
        <w:t>司技术研究院与东南大学共同开发的风光储一体化智能微电网系统发明专利已获受理，微电网研究项目相</w:t>
      </w:r>
      <w:r>
        <w:rPr>
          <w:spacing w:val="-81"/>
        </w:rPr>
        <w:t> </w:t>
      </w:r>
      <w:r>
        <w:rPr>
          <w:spacing w:val="-81"/>
        </w:rPr>
      </w:r>
      <w:r>
        <w:rPr/>
        <w:t>关工作初步完成，公司建设的风光储一体化微电网试验验证系统已经江宁区发改委备案。</w:t>
      </w:r>
    </w:p>
    <w:p>
      <w:pPr>
        <w:pStyle w:val="BodyText"/>
        <w:spacing w:line="240" w:lineRule="auto"/>
        <w:ind w:left="573" w:right="0"/>
        <w:jc w:val="left"/>
      </w:pPr>
      <w:r>
        <w:rPr>
          <w:rFonts w:ascii="宋体" w:hAnsi="宋体" w:cs="宋体" w:eastAsia="宋体" w:hint="default"/>
        </w:rPr>
        <w:t>2014</w:t>
      </w:r>
      <w:r>
        <w:rPr/>
        <w:t>年度公司研发投入</w:t>
      </w:r>
      <w:r>
        <w:rPr>
          <w:rFonts w:ascii="宋体" w:hAnsi="宋体" w:cs="宋体" w:eastAsia="宋体" w:hint="default"/>
        </w:rPr>
        <w:t>2,144.16</w:t>
      </w:r>
      <w:r>
        <w:rPr/>
        <w:t>万元，占营业收入</w:t>
      </w:r>
      <w:r>
        <w:rPr>
          <w:rFonts w:ascii="宋体" w:hAnsi="宋体" w:cs="宋体" w:eastAsia="宋体" w:hint="default"/>
        </w:rPr>
        <w:t>6.24%</w:t>
      </w:r>
      <w:r>
        <w:rPr/>
        <w:t>，基本保持上年同期水平。</w:t>
      </w:r>
    </w:p>
    <w:p>
      <w:pPr>
        <w:spacing w:line="240" w:lineRule="auto" w:before="6"/>
        <w:rPr>
          <w:rFonts w:ascii="宋体" w:hAnsi="宋体" w:cs="宋体" w:eastAsia="宋体" w:hint="default"/>
          <w:sz w:val="10"/>
          <w:szCs w:val="10"/>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03"/>
        <w:gridCol w:w="2160"/>
        <w:gridCol w:w="2151"/>
        <w:gridCol w:w="2149"/>
      </w:tblGrid>
      <w:tr>
        <w:trPr>
          <w:trHeight w:val="418" w:hRule="exact"/>
        </w:trPr>
        <w:tc>
          <w:tcPr>
            <w:tcW w:w="3103"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21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4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12"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研发投入金额</w:t>
            </w:r>
          </w:p>
        </w:tc>
        <w:tc>
          <w:tcPr>
            <w:tcW w:w="2160" w:type="dxa"/>
            <w:tcBorders>
              <w:top w:val="single" w:sz="7"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21,441,628.06</w:t>
            </w:r>
          </w:p>
        </w:tc>
        <w:tc>
          <w:tcPr>
            <w:tcW w:w="2151"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21,525,210.30</w:t>
            </w:r>
          </w:p>
        </w:tc>
        <w:tc>
          <w:tcPr>
            <w:tcW w:w="2149" w:type="dxa"/>
            <w:tcBorders>
              <w:top w:val="single" w:sz="7"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19,554,833.12</w:t>
            </w:r>
          </w:p>
        </w:tc>
      </w:tr>
      <w:tr>
        <w:trPr>
          <w:trHeight w:val="412"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6.24%</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宋体" w:hAnsi="宋体" w:cs="宋体" w:eastAsia="宋体" w:hint="default"/>
                <w:sz w:val="18"/>
                <w:szCs w:val="18"/>
              </w:rPr>
            </w:pPr>
            <w:r>
              <w:rPr>
                <w:rFonts w:ascii="宋体"/>
                <w:sz w:val="18"/>
              </w:rPr>
              <w:t>6.66%</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5.07%</w:t>
            </w:r>
          </w:p>
        </w:tc>
      </w:tr>
      <w:tr>
        <w:trPr>
          <w:trHeight w:val="413"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z w:val="18"/>
                <w:szCs w:val="18"/>
              </w:rPr>
              <w:t>研发支出资本化的金额</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0.00</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9"/>
              <w:jc w:val="right"/>
              <w:rPr>
                <w:rFonts w:ascii="宋体" w:hAnsi="宋体" w:cs="宋体" w:eastAsia="宋体" w:hint="default"/>
                <w:sz w:val="18"/>
                <w:szCs w:val="18"/>
              </w:rPr>
            </w:pPr>
            <w:r>
              <w:rPr>
                <w:rFonts w:ascii="宋体"/>
                <w:sz w:val="18"/>
              </w:rPr>
              <w:t>0.00</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0.00</w:t>
            </w:r>
          </w:p>
        </w:tc>
      </w:tr>
      <w:tr>
        <w:trPr>
          <w:trHeight w:val="412" w:hRule="exact"/>
        </w:trPr>
        <w:tc>
          <w:tcPr>
            <w:tcW w:w="310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0.00%</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0.00%</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0.00%</w:t>
            </w:r>
          </w:p>
        </w:tc>
      </w:tr>
      <w:tr>
        <w:trPr>
          <w:trHeight w:val="419" w:hRule="exact"/>
        </w:trPr>
        <w:tc>
          <w:tcPr>
            <w:tcW w:w="310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5"/>
              <w:ind w:right="3"/>
              <w:jc w:val="center"/>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6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0.00%</w:t>
            </w:r>
          </w:p>
        </w:tc>
        <w:tc>
          <w:tcPr>
            <w:tcW w:w="21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21"/>
              <w:jc w:val="right"/>
              <w:rPr>
                <w:rFonts w:ascii="宋体" w:hAnsi="宋体" w:cs="宋体" w:eastAsia="宋体" w:hint="default"/>
                <w:sz w:val="18"/>
                <w:szCs w:val="18"/>
              </w:rPr>
            </w:pPr>
            <w:r>
              <w:rPr>
                <w:rFonts w:ascii="宋体"/>
                <w:sz w:val="18"/>
              </w:rPr>
              <w:t>0.00%</w:t>
            </w:r>
          </w:p>
        </w:tc>
        <w:tc>
          <w:tcPr>
            <w:tcW w:w="21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0.00%</w:t>
            </w:r>
          </w:p>
        </w:tc>
      </w:tr>
    </w:tbl>
    <w:p>
      <w:pPr>
        <w:pStyle w:val="BodyText"/>
        <w:spacing w:line="240" w:lineRule="auto" w:before="63"/>
        <w:ind w:left="154" w:right="0"/>
        <w:jc w:val="left"/>
      </w:pPr>
      <w:r>
        <w:rPr/>
        <w:t>研发投入资本化率大幅变动的原因及其合理性说明</w:t>
      </w:r>
    </w:p>
    <w:p>
      <w:pPr>
        <w:spacing w:line="240" w:lineRule="auto" w:before="10"/>
        <w:rPr>
          <w:rFonts w:ascii="宋体" w:hAnsi="宋体" w:cs="宋体" w:eastAsia="宋体" w:hint="default"/>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1000" w:top="1040" w:bottom="1180" w:left="980" w:right="980"/>
        </w:sectPr>
      </w:pPr>
    </w:p>
    <w:p>
      <w:pPr>
        <w:pStyle w:val="BodyText"/>
        <w:spacing w:line="240" w:lineRule="auto" w:before="35"/>
        <w:ind w:left="154" w:right="-20"/>
        <w:jc w:val="left"/>
      </w:pPr>
      <w:r>
        <w:rPr>
          <w:rFonts w:ascii="宋体" w:hAnsi="宋体" w:cs="宋体" w:eastAsia="宋体" w:hint="default"/>
        </w:rPr>
        <w:t>7</w:t>
      </w:r>
      <w:r>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pict>
          <v:group style="position:absolute;margin-left:211.789993pt;margin-top:103.031708pt;width:.1pt;height:15.6pt;mso-position-horizontal-relative:page;mso-position-vertical-relative:paragraph;z-index:-914608" coordorigin="4236,2061" coordsize="2,312">
            <v:shape style="position:absolute;left:4236;top:2061;width:2;height:312" coordorigin="4236,2061" coordsize="0,312" path="m4236,2061l4236,2373e" filled="false" stroked="true" strokeweight="1.02pt" strokecolor="#d2d2d2">
              <v:path arrowok="t"/>
            </v:shape>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180" w:left="980" w:right="980"/>
          <w:cols w:num="2" w:equalWidth="0">
            <w:col w:w="1100" w:space="7819"/>
            <w:col w:w="1031"/>
          </w:cols>
        </w:sectPr>
      </w:pPr>
    </w:p>
    <w:p>
      <w:pPr>
        <w:spacing w:line="240" w:lineRule="auto" w:before="8"/>
        <w:rPr>
          <w:rFonts w:ascii="宋体" w:hAnsi="宋体" w:cs="宋体" w:eastAsia="宋体" w:hint="default"/>
          <w:sz w:val="9"/>
          <w:szCs w:val="9"/>
        </w:rPr>
      </w:pPr>
      <w:r>
        <w:rPr/>
        <w:pict>
          <v:group style="position:absolute;margin-left:211.789993pt;margin-top:677.5pt;width:.1pt;height:15.6pt;mso-position-horizontal-relative:page;mso-position-vertical-relative:page;z-index:-914584" coordorigin="4236,13550" coordsize="2,312">
            <v:shape style="position:absolute;left:4236;top:13550;width:2;height:312" coordorigin="4236,13550" coordsize="0,312" path="m4236,13550l4236,13862e" filled="false" stroked="true" strokeweight="1.02pt" strokecolor="#d2d2d2">
              <v:path arrowok="t"/>
            </v:shape>
            <w10:wrap type="none"/>
          </v:group>
        </w:pict>
      </w:r>
      <w:r>
        <w:rPr/>
        <w:pict>
          <v:group style="position:absolute;margin-left:211.789993pt;margin-top:739.320007pt;width:.1pt;height:15.6pt;mso-position-horizontal-relative:page;mso-position-vertical-relative:page;z-index:-914560" coordorigin="4236,14786" coordsize="2,312">
            <v:shape style="position:absolute;left:4236;top:14786;width:2;height:312" coordorigin="4236,14786" coordsize="0,312" path="m4236,14786l4236,15098e" filled="false" stroked="true" strokeweight="1.02pt" strokecolor="#d2d2d2">
              <v:path arrowok="t"/>
            </v:shape>
            <w10:wrap type="none"/>
          </v:group>
        </w:pict>
      </w:r>
    </w:p>
    <w:tbl>
      <w:tblPr>
        <w:tblW w:w="0" w:type="auto"/>
        <w:jc w:val="left"/>
        <w:tblInd w:w="138" w:type="dxa"/>
        <w:tblLayout w:type="fixed"/>
        <w:tblCellMar>
          <w:top w:w="0" w:type="dxa"/>
          <w:left w:w="0" w:type="dxa"/>
          <w:bottom w:w="0" w:type="dxa"/>
          <w:right w:w="0" w:type="dxa"/>
        </w:tblCellMar>
        <w:tblLook w:val="01E0"/>
      </w:tblPr>
      <w:tblGrid>
        <w:gridCol w:w="3120"/>
        <w:gridCol w:w="2150"/>
        <w:gridCol w:w="2151"/>
        <w:gridCol w:w="2149"/>
      </w:tblGrid>
      <w:tr>
        <w:trPr>
          <w:trHeight w:val="370" w:hRule="exact"/>
        </w:trPr>
        <w:tc>
          <w:tcPr>
            <w:tcW w:w="312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1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4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2"/>
              <w:ind w:left="70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41" w:hRule="exact"/>
        </w:trPr>
        <w:tc>
          <w:tcPr>
            <w:tcW w:w="31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50"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435,283,848.51</w:t>
            </w:r>
          </w:p>
        </w:tc>
        <w:tc>
          <w:tcPr>
            <w:tcW w:w="2151" w:type="dxa"/>
            <w:tcBorders>
              <w:top w:val="single" w:sz="17" w:space="0" w:color="D2D2D2"/>
              <w:left w:val="single" w:sz="6" w:space="0" w:color="000000"/>
              <w:bottom w:val="single" w:sz="6" w:space="0" w:color="000000"/>
              <w:right w:val="single" w:sz="6" w:space="0" w:color="000000"/>
            </w:tcBorders>
          </w:tcPr>
          <w:p>
            <w:pPr>
              <w:pStyle w:val="TableParagraph"/>
              <w:spacing w:line="240" w:lineRule="auto" w:before="68"/>
              <w:ind w:right="21"/>
              <w:jc w:val="right"/>
              <w:rPr>
                <w:rFonts w:ascii="宋体" w:hAnsi="宋体" w:cs="宋体" w:eastAsia="宋体" w:hint="default"/>
                <w:sz w:val="18"/>
                <w:szCs w:val="18"/>
              </w:rPr>
            </w:pPr>
            <w:r>
              <w:rPr>
                <w:rFonts w:ascii="宋体"/>
                <w:sz w:val="18"/>
              </w:rPr>
              <w:t>354,494,143.23</w:t>
            </w:r>
          </w:p>
        </w:tc>
        <w:tc>
          <w:tcPr>
            <w:tcW w:w="2149"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22.79%</w:t>
            </w:r>
          </w:p>
        </w:tc>
      </w:tr>
      <w:tr>
        <w:trPr>
          <w:trHeight w:val="412" w:hRule="exact"/>
        </w:trPr>
        <w:tc>
          <w:tcPr>
            <w:tcW w:w="31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5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447,250,907.99</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334,066,593.46</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33.88%</w:t>
            </w:r>
          </w:p>
        </w:tc>
      </w:tr>
      <w:tr>
        <w:trPr>
          <w:trHeight w:val="412" w:hRule="exact"/>
        </w:trPr>
        <w:tc>
          <w:tcPr>
            <w:tcW w:w="31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5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-11,967,059.48</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20,427,549.77</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-158.58%</w:t>
            </w:r>
          </w:p>
        </w:tc>
      </w:tr>
      <w:tr>
        <w:trPr>
          <w:trHeight w:val="413" w:hRule="exact"/>
        </w:trPr>
        <w:tc>
          <w:tcPr>
            <w:tcW w:w="31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125,610,701.02</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90,600.00</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138,543.16%</w:t>
            </w:r>
          </w:p>
        </w:tc>
      </w:tr>
      <w:tr>
        <w:trPr>
          <w:trHeight w:val="412" w:hRule="exact"/>
        </w:trPr>
        <w:tc>
          <w:tcPr>
            <w:tcW w:w="31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5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97,617,507.27</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127,471,053.15</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-23.42%</w:t>
            </w:r>
          </w:p>
        </w:tc>
      </w:tr>
      <w:tr>
        <w:trPr>
          <w:trHeight w:val="412" w:hRule="exact"/>
        </w:trPr>
        <w:tc>
          <w:tcPr>
            <w:tcW w:w="31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5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27,993,193.75</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-127,380,453.15</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121.98%</w:t>
            </w:r>
          </w:p>
        </w:tc>
      </w:tr>
      <w:tr>
        <w:trPr>
          <w:trHeight w:val="413" w:hRule="exact"/>
        </w:trPr>
        <w:tc>
          <w:tcPr>
            <w:tcW w:w="31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118,375,596.00</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56,000,000.00</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111.38%</w:t>
            </w:r>
          </w:p>
        </w:tc>
      </w:tr>
      <w:tr>
        <w:trPr>
          <w:trHeight w:val="412" w:hRule="exact"/>
        </w:trPr>
        <w:tc>
          <w:tcPr>
            <w:tcW w:w="31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5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115,662,273.97</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宋体" w:hAnsi="宋体" w:cs="宋体" w:eastAsia="宋体" w:hint="default"/>
                <w:sz w:val="18"/>
                <w:szCs w:val="18"/>
              </w:rPr>
            </w:pPr>
            <w:r>
              <w:rPr>
                <w:rFonts w:ascii="宋体"/>
                <w:sz w:val="18"/>
              </w:rPr>
              <w:t>68,716,444.64</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68.32%</w:t>
            </w:r>
          </w:p>
        </w:tc>
      </w:tr>
      <w:tr>
        <w:trPr>
          <w:trHeight w:val="412" w:hRule="exact"/>
        </w:trPr>
        <w:tc>
          <w:tcPr>
            <w:tcW w:w="312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5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2,713,322.03</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-12,716,444.64</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121.34%</w:t>
            </w:r>
          </w:p>
        </w:tc>
      </w:tr>
      <w:tr>
        <w:trPr>
          <w:trHeight w:val="421" w:hRule="exact"/>
        </w:trPr>
        <w:tc>
          <w:tcPr>
            <w:tcW w:w="312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18,739,456.30</w:t>
            </w:r>
          </w:p>
        </w:tc>
        <w:tc>
          <w:tcPr>
            <w:tcW w:w="21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-119,669,348.02</w:t>
            </w:r>
          </w:p>
        </w:tc>
        <w:tc>
          <w:tcPr>
            <w:tcW w:w="21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115.66%</w:t>
            </w:r>
          </w:p>
        </w:tc>
      </w:tr>
    </w:tbl>
    <w:p>
      <w:pPr>
        <w:spacing w:after="0" w:line="240" w:lineRule="auto"/>
        <w:jc w:val="right"/>
        <w:rPr>
          <w:rFonts w:ascii="宋体" w:hAnsi="宋体" w:cs="宋体" w:eastAsia="宋体" w:hint="default"/>
          <w:sz w:val="18"/>
          <w:szCs w:val="18"/>
        </w:rPr>
        <w:sectPr>
          <w:type w:val="continuous"/>
          <w:pgSz w:w="11910" w:h="16840"/>
          <w:pgMar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0"/>
        <w:jc w:val="both"/>
      </w:pPr>
      <w:r>
        <w:rPr/>
        <w:t>相关数据同比发生变动</w:t>
      </w:r>
      <w:r>
        <w:rPr>
          <w:spacing w:val="-54"/>
        </w:rPr>
        <w:t> </w:t>
      </w:r>
      <w:r>
        <w:rPr>
          <w:rFonts w:ascii="宋体" w:hAnsi="宋体" w:cs="宋体" w:eastAsia="宋体" w:hint="default"/>
        </w:rPr>
        <w:t>30%</w:t>
      </w:r>
      <w:r>
        <w:rPr/>
        <w:t>以上的原因说明</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408" w:lineRule="auto" w:before="0"/>
        <w:ind w:right="0" w:firstLine="372"/>
        <w:jc w:val="left"/>
      </w:pPr>
      <w:r>
        <w:rPr>
          <w:spacing w:val="-2"/>
        </w:rPr>
        <w:t>①经营活动产生的现金流量净额较上年同期减少</w:t>
      </w:r>
      <w:r>
        <w:rPr>
          <w:rFonts w:ascii="宋体" w:hAnsi="宋体" w:cs="宋体" w:eastAsia="宋体" w:hint="default"/>
          <w:spacing w:val="-2"/>
        </w:rPr>
        <w:t>158.58%</w:t>
      </w:r>
      <w:r>
        <w:rPr>
          <w:spacing w:val="-2"/>
        </w:rPr>
        <w:t>，主要是本期购买商品、接受劳务支付的现金</w:t>
      </w:r>
      <w:r>
        <w:rPr/>
        <w:t> 较上年同期增加所致。</w:t>
      </w:r>
    </w:p>
    <w:p>
      <w:pPr>
        <w:pStyle w:val="BodyText"/>
        <w:spacing w:line="408" w:lineRule="auto"/>
        <w:ind w:right="131" w:firstLine="372"/>
        <w:jc w:val="both"/>
      </w:pPr>
      <w:r>
        <w:rPr>
          <w:spacing w:val="-2"/>
        </w:rPr>
        <w:t>②投资活动产生的现金流量金额较上年同期增加</w:t>
      </w:r>
      <w:r>
        <w:rPr>
          <w:rFonts w:ascii="宋体" w:hAnsi="宋体" w:cs="宋体" w:eastAsia="宋体" w:hint="default"/>
          <w:spacing w:val="-2"/>
        </w:rPr>
        <w:t>121.98%</w:t>
      </w:r>
      <w:r>
        <w:rPr>
          <w:spacing w:val="-2"/>
        </w:rPr>
        <w:t>，主要是一方面公司收到江苏大烨电气有限公</w:t>
      </w:r>
      <w:r>
        <w:rPr/>
        <w:t> </w:t>
      </w:r>
      <w:r>
        <w:rPr>
          <w:spacing w:val="-1"/>
        </w:rPr>
        <w:t>司及南京宇能的股权转让款，增加了本期投资活动现金流入；另一方面公司在报告期末完成对索瑞电气的</w:t>
      </w:r>
      <w:r>
        <w:rPr>
          <w:spacing w:val="-81"/>
        </w:rPr>
        <w:t> </w:t>
      </w:r>
      <w:r>
        <w:rPr>
          <w:spacing w:val="-81"/>
        </w:rPr>
      </w:r>
      <w:r>
        <w:rPr>
          <w:spacing w:val="-1"/>
        </w:rPr>
        <w:t>重大资产重组，因其资产负债表于本报告期末纳入公司合并范围，索瑞电气的账面现金计入“取得子公司</w:t>
      </w:r>
      <w:r>
        <w:rPr>
          <w:spacing w:val="-81"/>
        </w:rPr>
        <w:t> </w:t>
      </w:r>
      <w:r>
        <w:rPr>
          <w:spacing w:val="-81"/>
        </w:rPr>
      </w:r>
      <w:r>
        <w:rPr/>
        <w:t>及其他营业单位支付的现金净额”中，综合致使本期投资活动产生的现金流量净额较上年同期大幅增加。</w:t>
      </w:r>
    </w:p>
    <w:p>
      <w:pPr>
        <w:pStyle w:val="BodyText"/>
        <w:spacing w:line="408" w:lineRule="auto"/>
        <w:ind w:right="0" w:firstLine="372"/>
        <w:jc w:val="left"/>
      </w:pPr>
      <w:r>
        <w:rPr>
          <w:spacing w:val="-2"/>
        </w:rPr>
        <w:t>③筹资活动产生的现金流量净额较上年同期增加</w:t>
      </w:r>
      <w:r>
        <w:rPr>
          <w:rFonts w:ascii="宋体" w:hAnsi="宋体" w:cs="宋体" w:eastAsia="宋体" w:hint="default"/>
          <w:spacing w:val="-2"/>
        </w:rPr>
        <w:t>121.34%</w:t>
      </w:r>
      <w:r>
        <w:rPr>
          <w:spacing w:val="-2"/>
        </w:rPr>
        <w:t>，主要是一方面本期银行贷款增加；另一方面</w:t>
      </w:r>
      <w:r>
        <w:rPr/>
        <w:t> 本期的现金分红支出较上年同期减少。 报告期内公司经营活动的现金流量与本年度净利润存在重大差异的原因说明</w:t>
      </w:r>
    </w:p>
    <w:p>
      <w:pPr>
        <w:pStyle w:val="BodyText"/>
        <w:spacing w:line="408" w:lineRule="auto"/>
        <w:ind w:left="577" w:right="109" w:hanging="424"/>
        <w:jc w:val="left"/>
      </w:pPr>
      <w:r>
        <w:rPr/>
        <w:t>√ 适用 □</w:t>
      </w:r>
      <w:r>
        <w:rPr>
          <w:spacing w:val="-1"/>
        </w:rPr>
        <w:t> </w:t>
      </w:r>
      <w:r>
        <w:rPr/>
        <w:t>不适用</w:t>
      </w:r>
      <w:r>
        <w:rPr/>
        <w:t> 报告期内公司经营活动的现金流量与本年度净利润存在差异，主要是随着国网付款政策变更为</w:t>
      </w:r>
      <w:r>
        <w:rPr>
          <w:rFonts w:ascii="宋体" w:hAnsi="宋体" w:cs="宋体" w:eastAsia="宋体" w:hint="default"/>
        </w:rPr>
        <w:t>1</w:t>
      </w:r>
      <w:r>
        <w:rPr/>
        <w:t>：</w:t>
      </w:r>
      <w:r>
        <w:rPr>
          <w:rFonts w:ascii="宋体" w:hAnsi="宋体" w:cs="宋体" w:eastAsia="宋体" w:hint="default"/>
        </w:rPr>
        <w:t>3</w:t>
      </w:r>
      <w:r>
        <w:rPr/>
        <w:t>：</w:t>
      </w:r>
    </w:p>
    <w:p>
      <w:pPr>
        <w:pStyle w:val="BodyText"/>
        <w:spacing w:line="408" w:lineRule="auto"/>
        <w:ind w:right="151"/>
        <w:jc w:val="both"/>
      </w:pPr>
      <w:r>
        <w:rPr>
          <w:rFonts w:ascii="宋体" w:hAnsi="宋体" w:cs="宋体" w:eastAsia="宋体" w:hint="default"/>
          <w:spacing w:val="-1"/>
        </w:rPr>
        <w:t>3</w:t>
      </w:r>
      <w:r>
        <w:rPr>
          <w:spacing w:val="-1"/>
        </w:rPr>
        <w:t>：</w:t>
      </w:r>
      <w:r>
        <w:rPr>
          <w:rFonts w:ascii="宋体" w:hAnsi="宋体" w:cs="宋体" w:eastAsia="宋体" w:hint="default"/>
          <w:spacing w:val="-1"/>
        </w:rPr>
        <w:t>3</w:t>
      </w:r>
      <w:r>
        <w:rPr>
          <w:spacing w:val="-1"/>
        </w:rPr>
        <w:t>，延长了公司的收款账期，当期销售商品及劳务收到的现金减少；为有效控制原材料采购价格，在执</w:t>
      </w:r>
      <w:r>
        <w:rPr>
          <w:spacing w:val="-83"/>
        </w:rPr>
        <w:t> </w:t>
      </w:r>
      <w:r>
        <w:rPr>
          <w:spacing w:val="-83"/>
        </w:rPr>
      </w:r>
      <w:r>
        <w:rPr>
          <w:spacing w:val="-1"/>
        </w:rPr>
        <w:t>行付款政策时较为宽松，当期购买商品、接受劳务支付的现金比例较高，综合致使公司经营活动的现金流</w:t>
      </w:r>
      <w:r>
        <w:rPr>
          <w:spacing w:val="-83"/>
        </w:rPr>
        <w:t> </w:t>
      </w:r>
      <w:r>
        <w:rPr>
          <w:spacing w:val="-83"/>
        </w:rPr>
      </w:r>
      <w:r>
        <w:rPr/>
        <w:t>量与本年度净利润存在差异。</w:t>
      </w:r>
    </w:p>
    <w:p>
      <w:pPr>
        <w:pStyle w:val="BodyText"/>
        <w:spacing w:line="408" w:lineRule="auto"/>
        <w:ind w:right="6938"/>
        <w:jc w:val="left"/>
      </w:pPr>
      <w:r>
        <w:rPr>
          <w:rFonts w:ascii="宋体" w:hAnsi="宋体" w:cs="宋体" w:eastAsia="宋体" w:hint="default"/>
        </w:rPr>
        <w:t>8</w:t>
      </w:r>
      <w:r>
        <w:rPr/>
        <w:t>）公司主要供应商、客户情况 公司主要销售客户情况</w:t>
      </w:r>
    </w:p>
    <w:tbl>
      <w:tblPr>
        <w:tblW w:w="0" w:type="auto"/>
        <w:jc w:val="left"/>
        <w:tblInd w:w="138" w:type="dxa"/>
        <w:tblLayout w:type="fixed"/>
        <w:tblCellMar>
          <w:top w:w="0" w:type="dxa"/>
          <w:left w:w="0" w:type="dxa"/>
          <w:bottom w:w="0" w:type="dxa"/>
          <w:right w:w="0" w:type="dxa"/>
        </w:tblCellMar>
        <w:tblLook w:val="01E0"/>
      </w:tblPr>
      <w:tblGrid>
        <w:gridCol w:w="4248"/>
        <w:gridCol w:w="5321"/>
      </w:tblGrid>
      <w:tr>
        <w:trPr>
          <w:trHeight w:val="419" w:hRule="exact"/>
        </w:trPr>
        <w:tc>
          <w:tcPr>
            <w:tcW w:w="424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7"/>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1"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37"/>
              <w:ind w:right="11"/>
              <w:jc w:val="right"/>
              <w:rPr>
                <w:rFonts w:ascii="宋体" w:hAnsi="宋体" w:cs="宋体" w:eastAsia="宋体" w:hint="default"/>
                <w:sz w:val="18"/>
                <w:szCs w:val="18"/>
              </w:rPr>
            </w:pPr>
            <w:r>
              <w:rPr>
                <w:rFonts w:ascii="宋体"/>
                <w:sz w:val="18"/>
              </w:rPr>
              <w:t>150,893,798.22</w:t>
            </w:r>
          </w:p>
        </w:tc>
      </w:tr>
      <w:tr>
        <w:trPr>
          <w:trHeight w:val="419" w:hRule="exact"/>
        </w:trPr>
        <w:tc>
          <w:tcPr>
            <w:tcW w:w="424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37"/>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1"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37"/>
              <w:ind w:right="11"/>
              <w:jc w:val="right"/>
              <w:rPr>
                <w:rFonts w:ascii="宋体" w:hAnsi="宋体" w:cs="宋体" w:eastAsia="宋体" w:hint="default"/>
                <w:sz w:val="18"/>
                <w:szCs w:val="18"/>
              </w:rPr>
            </w:pPr>
            <w:r>
              <w:rPr>
                <w:rFonts w:ascii="宋体"/>
                <w:sz w:val="18"/>
              </w:rPr>
              <w:t>43.96%</w:t>
            </w:r>
          </w:p>
        </w:tc>
      </w:tr>
    </w:tbl>
    <w:p>
      <w:pPr>
        <w:pStyle w:val="BodyText"/>
        <w:spacing w:line="240" w:lineRule="auto"/>
        <w:ind w:left="154" w:right="0"/>
        <w:jc w:val="left"/>
      </w:pPr>
      <w:r>
        <w:rPr/>
        <w:t>向单一客户销售比例超过</w:t>
      </w:r>
      <w:r>
        <w:rPr>
          <w:spacing w:val="-54"/>
        </w:rPr>
        <w:t> </w:t>
      </w:r>
      <w:r>
        <w:rPr>
          <w:rFonts w:ascii="宋体" w:hAnsi="宋体" w:cs="宋体" w:eastAsia="宋体" w:hint="default"/>
        </w:rPr>
        <w:t>30%</w:t>
      </w:r>
      <w:r>
        <w:rPr/>
        <w:t>的客户资料</w:t>
      </w:r>
    </w:p>
    <w:p>
      <w:pPr>
        <w:spacing w:line="240" w:lineRule="auto" w:before="10"/>
        <w:rPr>
          <w:rFonts w:ascii="宋体" w:hAnsi="宋体" w:cs="宋体" w:eastAsia="宋体" w:hint="default"/>
          <w:sz w:val="14"/>
          <w:szCs w:val="14"/>
        </w:rPr>
      </w:pPr>
    </w:p>
    <w:p>
      <w:pPr>
        <w:pStyle w:val="BodyText"/>
        <w:spacing w:line="408" w:lineRule="auto" w:before="0"/>
        <w:ind w:left="154" w:right="7882"/>
        <w:jc w:val="left"/>
      </w:pPr>
      <w:r>
        <w:rPr/>
        <w:t>□ 适用 √</w:t>
      </w:r>
      <w:r>
        <w:rPr>
          <w:spacing w:val="-1"/>
        </w:rPr>
        <w:t> </w:t>
      </w:r>
      <w:r>
        <w:rPr/>
        <w:t>不适用</w:t>
      </w:r>
      <w:r>
        <w:rPr/>
        <w:t> 公司主要供应商情况</w:t>
      </w:r>
    </w:p>
    <w:tbl>
      <w:tblPr>
        <w:tblW w:w="0" w:type="auto"/>
        <w:jc w:val="left"/>
        <w:tblInd w:w="138" w:type="dxa"/>
        <w:tblLayout w:type="fixed"/>
        <w:tblCellMar>
          <w:top w:w="0" w:type="dxa"/>
          <w:left w:w="0" w:type="dxa"/>
          <w:bottom w:w="0" w:type="dxa"/>
          <w:right w:w="0" w:type="dxa"/>
        </w:tblCellMar>
        <w:tblLook w:val="01E0"/>
      </w:tblPr>
      <w:tblGrid>
        <w:gridCol w:w="4248"/>
        <w:gridCol w:w="5321"/>
      </w:tblGrid>
      <w:tr>
        <w:trPr>
          <w:trHeight w:val="419" w:hRule="exact"/>
        </w:trPr>
        <w:tc>
          <w:tcPr>
            <w:tcW w:w="424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7"/>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1"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37"/>
              <w:ind w:right="11"/>
              <w:jc w:val="right"/>
              <w:rPr>
                <w:rFonts w:ascii="宋体" w:hAnsi="宋体" w:cs="宋体" w:eastAsia="宋体" w:hint="default"/>
                <w:sz w:val="18"/>
                <w:szCs w:val="18"/>
              </w:rPr>
            </w:pPr>
            <w:r>
              <w:rPr>
                <w:rFonts w:ascii="宋体"/>
                <w:sz w:val="18"/>
              </w:rPr>
              <w:t>42,344,320.53</w:t>
            </w:r>
          </w:p>
        </w:tc>
      </w:tr>
      <w:tr>
        <w:trPr>
          <w:trHeight w:val="419" w:hRule="exact"/>
        </w:trPr>
        <w:tc>
          <w:tcPr>
            <w:tcW w:w="424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37"/>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1"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37"/>
              <w:ind w:right="11"/>
              <w:jc w:val="right"/>
              <w:rPr>
                <w:rFonts w:ascii="宋体" w:hAnsi="宋体" w:cs="宋体" w:eastAsia="宋体" w:hint="default"/>
                <w:sz w:val="18"/>
                <w:szCs w:val="18"/>
              </w:rPr>
            </w:pPr>
            <w:r>
              <w:rPr>
                <w:rFonts w:ascii="宋体"/>
                <w:sz w:val="18"/>
              </w:rPr>
              <w:t>24.35%</w:t>
            </w:r>
          </w:p>
        </w:tc>
      </w:tr>
    </w:tbl>
    <w:p>
      <w:pPr>
        <w:pStyle w:val="BodyText"/>
        <w:spacing w:line="240" w:lineRule="auto"/>
        <w:ind w:left="154" w:right="0"/>
        <w:jc w:val="left"/>
      </w:pPr>
      <w:r>
        <w:rPr/>
        <w:t>向单一供应商采购比例超过</w:t>
      </w:r>
      <w:r>
        <w:rPr>
          <w:spacing w:val="-54"/>
        </w:rPr>
        <w:t> </w:t>
      </w:r>
      <w:r>
        <w:rPr>
          <w:rFonts w:ascii="宋体" w:hAnsi="宋体" w:cs="宋体" w:eastAsia="宋体" w:hint="default"/>
        </w:rPr>
        <w:t>30%</w:t>
      </w:r>
      <w:r>
        <w:rPr/>
        <w:t>的客户资料</w:t>
      </w:r>
    </w:p>
    <w:p>
      <w:pPr>
        <w:spacing w:line="240" w:lineRule="auto" w:before="10"/>
        <w:rPr>
          <w:rFonts w:ascii="宋体" w:hAnsi="宋体" w:cs="宋体" w:eastAsia="宋体" w:hint="default"/>
          <w:sz w:val="14"/>
          <w:szCs w:val="14"/>
        </w:rPr>
      </w:pPr>
    </w:p>
    <w:p>
      <w:pPr>
        <w:pStyle w:val="BodyText"/>
        <w:spacing w:line="408" w:lineRule="auto" w:before="0"/>
        <w:ind w:left="154" w:right="5677"/>
        <w:jc w:val="left"/>
      </w:pPr>
      <w:r>
        <w:rPr/>
        <w:t>□ 适用 √</w:t>
      </w:r>
      <w:r>
        <w:rPr>
          <w:spacing w:val="-1"/>
        </w:rPr>
        <w:t> </w:t>
      </w:r>
      <w:r>
        <w:rPr/>
        <w:t>不适用</w:t>
      </w:r>
      <w:r>
        <w:rPr/>
        <w:t> </w:t>
      </w:r>
      <w:r>
        <w:rPr>
          <w:rFonts w:ascii="宋体" w:hAnsi="宋体" w:cs="宋体" w:eastAsia="宋体" w:hint="default"/>
        </w:rPr>
        <w:t>9</w:t>
      </w:r>
      <w:r>
        <w:rPr/>
        <w:t>）公司未来发展与规划延续至报告期的说明</w:t>
      </w:r>
    </w:p>
    <w:p>
      <w:pPr>
        <w:pStyle w:val="BodyText"/>
        <w:spacing w:line="240" w:lineRule="auto"/>
        <w:ind w:right="0"/>
        <w:jc w:val="left"/>
      </w:pPr>
      <w:r>
        <w:rPr/>
        <w:t>首次公开发行招股说明书中披露的未来发展与规划在本报告期的实施情况</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 适用 □</w:t>
      </w:r>
      <w:r>
        <w:rPr>
          <w:spacing w:val="-1"/>
        </w:rPr>
        <w:t> </w:t>
      </w:r>
      <w:r>
        <w:rPr/>
        <w:t>不适用</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91" w:firstLine="420"/>
        <w:jc w:val="left"/>
      </w:pPr>
      <w:r>
        <w:rPr>
          <w:spacing w:val="-3"/>
        </w:rPr>
        <w:t>公司以</w:t>
      </w:r>
      <w:r>
        <w:rPr>
          <w:rFonts w:ascii="宋体" w:hAnsi="宋体" w:cs="宋体" w:eastAsia="宋体" w:hint="default"/>
          <w:spacing w:val="-3"/>
        </w:rPr>
        <w:t>2012</w:t>
      </w:r>
      <w:r>
        <w:rPr>
          <w:spacing w:val="-3"/>
        </w:rPr>
        <w:t>年首次公开发行股票并上市为契机，在智能电网全面建设期间，通过募集资金项目的实施，</w:t>
      </w:r>
      <w:r>
        <w:rPr/>
        <w:t> 在全面扩大产能的同时，采取积极的营销策略，拓展营销网络，不断提高市场占有率，进一步扩大公司产 品在行业领域中的品牌影响力；建设新的研发中心，扩大现有研发中心的规模并进行技术升级，进一步增 强公司的自主研发能力，全面提升公司在自主创新、产品、技术等方面的核心竞争力，确保公司持续、快 速、健康发展，提升公司品牌价值，实现投资者利益最大化。发行当年和未来三年，公司将以低压集抄系 统、专变采集终端为主、以配变计量终端、手持抄表终端产品为辅，扩大公司产品的产能和提高公司产品 的品质；国内市场全面拓展营销网络和完善营销服务体系的建设，增强公司的销售能力，加大市场推广力 度，提升公司产品的市场影响力；同时积极开拓国际市场，争取“光一”品牌实现“走出去”。另外紧跟 国家智能电网发展动态，围绕电力客户需求，持续推进技术研发和产品改进，并在时机成熟时将研究成果 产品化，不断形成公司新的利润增长点，通过公司技术创新能力的提升，巩固和加强市场盈利能力，使公 司在行业占据领先的市场份额，并形成强大的“光一”品牌，</w:t>
      </w:r>
      <w:r>
        <w:rPr>
          <w:spacing w:val="-23"/>
        </w:rPr>
        <w:t> </w:t>
      </w:r>
      <w:r>
        <w:rPr/>
        <w:t>实现成为智能用电信息采集的重要供应商、</w:t>
      </w:r>
      <w:r>
        <w:rPr/>
        <w:t> 服务商和技术领先者的战略目标。</w:t>
      </w:r>
    </w:p>
    <w:p>
      <w:pPr>
        <w:pStyle w:val="BodyText"/>
        <w:spacing w:line="408" w:lineRule="auto"/>
        <w:ind w:left="573" w:right="102" w:hanging="420"/>
        <w:jc w:val="left"/>
      </w:pPr>
      <w:r>
        <w:rPr/>
        <w:t>前期披露的发展战略和经营计划在报告期内的进展情况 </w:t>
      </w:r>
      <w:r>
        <w:rPr>
          <w:rFonts w:ascii="宋体" w:hAnsi="宋体" w:cs="宋体" w:eastAsia="宋体" w:hint="default"/>
          <w:spacing w:val="-1"/>
        </w:rPr>
        <w:t>2014</w:t>
      </w:r>
      <w:r>
        <w:rPr>
          <w:spacing w:val="-1"/>
        </w:rPr>
        <w:t>年，公司在用电信息采集领域仍处于第一梯队，通过积极的营销策略，市场覆盖率较上年有所扩</w:t>
      </w:r>
    </w:p>
    <w:p>
      <w:pPr>
        <w:pStyle w:val="BodyText"/>
        <w:spacing w:line="408" w:lineRule="auto"/>
        <w:ind w:right="102"/>
        <w:jc w:val="left"/>
      </w:pPr>
      <w:r>
        <w:rPr/>
        <w:t>大，产品现已进入全国</w:t>
      </w:r>
      <w:r>
        <w:rPr>
          <w:rFonts w:ascii="宋体" w:hAnsi="宋体" w:cs="宋体" w:eastAsia="宋体" w:hint="default"/>
        </w:rPr>
        <w:t>22</w:t>
      </w:r>
      <w:r>
        <w:rPr/>
        <w:t>个省份。在巩固传统用电信息采集业务的同时，公司借助资本市场平台，向电力 行业其他领域拓展，于</w:t>
      </w:r>
      <w:r>
        <w:rPr>
          <w:rFonts w:ascii="宋体" w:hAnsi="宋体" w:cs="宋体" w:eastAsia="宋体" w:hint="default"/>
        </w:rPr>
        <w:t>2014</w:t>
      </w:r>
      <w:r>
        <w:rPr/>
        <w:t>年以发行股份及支付现金的方式收购索瑞电气，该公司是国内领先的电能计量 </w:t>
      </w:r>
      <w:r>
        <w:rPr>
          <w:spacing w:val="-3"/>
        </w:rPr>
        <w:t>箱生产企业，以其稳定的产品质量、较高的品牌美誉度获得了市场的认可。索瑞电气的产品在全国</w:t>
      </w:r>
      <w:r>
        <w:rPr>
          <w:rFonts w:ascii="宋体" w:hAnsi="宋体" w:cs="宋体" w:eastAsia="宋体" w:hint="default"/>
          <w:spacing w:val="-3"/>
        </w:rPr>
        <w:t>21</w:t>
      </w:r>
      <w:r>
        <w:rPr>
          <w:spacing w:val="-3"/>
        </w:rPr>
        <w:t>个省、</w:t>
      </w:r>
      <w:r>
        <w:rPr>
          <w:spacing w:val="-87"/>
        </w:rPr>
        <w:t> </w:t>
      </w:r>
      <w:r>
        <w:rPr/>
        <w:t>自治区、直辖市均有销售，是国内市场销售范围最广的电能计量箱生产企业之一。收购完成后公司与索瑞</w:t>
      </w:r>
      <w:r>
        <w:rPr/>
        <w:t> 电气能够整合现有的客户资源，实现客户资源共享，共同拓展市场渠道。</w:t>
      </w:r>
    </w:p>
    <w:p>
      <w:pPr>
        <w:pStyle w:val="BodyText"/>
        <w:spacing w:line="408" w:lineRule="auto"/>
        <w:ind w:left="154" w:right="172" w:firstLine="420"/>
        <w:jc w:val="left"/>
      </w:pPr>
      <w:r>
        <w:rPr>
          <w:spacing w:val="-1"/>
        </w:rPr>
        <w:t>在技术研发方面，公司积极开展新能源分布式发电及微电网技术、智慧能源管理、建筑节能改造、智</w:t>
      </w:r>
      <w:r>
        <w:rPr/>
        <w:t> </w:t>
      </w:r>
      <w:r>
        <w:rPr>
          <w:spacing w:val="3"/>
        </w:rPr>
        <w:t>慧城市建设等领域的技术研究和应用研究，与东南大学合作开发风光储一体化智能微电网的关键技术研</w:t>
      </w:r>
      <w:r>
        <w:rPr>
          <w:spacing w:val="-82"/>
        </w:rPr>
        <w:t> </w:t>
      </w:r>
      <w:r>
        <w:rPr>
          <w:spacing w:val="-82"/>
        </w:rPr>
      </w:r>
      <w:r>
        <w:rPr/>
        <w:t>究，并与东南大学紧密合作，完成微电网研究项目立项报告、可行性研究报告、设计报告等的编写工作； </w:t>
      </w:r>
      <w:r>
        <w:rPr>
          <w:spacing w:val="-1"/>
        </w:rPr>
        <w:t>同时基于当前政府对能源战略发展和节能减排工作的重视和提倡，公司大力开展能源管理项目研究，重点</w:t>
      </w:r>
      <w:r>
        <w:rPr>
          <w:spacing w:val="-81"/>
        </w:rPr>
        <w:t> </w:t>
      </w:r>
      <w:r>
        <w:rPr>
          <w:spacing w:val="-81"/>
        </w:rPr>
      </w:r>
      <w:r>
        <w:rPr>
          <w:spacing w:val="-1"/>
        </w:rPr>
        <w:t>开展建筑节能和电力能效方面的研究，已研发出能源管理监控平台和能源管理监控设备，并在中国电科院</w:t>
      </w:r>
      <w:r>
        <w:rPr>
          <w:spacing w:val="-81"/>
        </w:rPr>
        <w:t> </w:t>
      </w:r>
      <w:r>
        <w:rPr>
          <w:spacing w:val="-81"/>
        </w:rPr>
      </w:r>
      <w:r>
        <w:rPr/>
        <w:t>进行产品型式试验获得通过，能源管理系统监控平台获得软件著作权。 公司实际经营业绩较曾公开披露过的本年度盈利预测低于或高于</w:t>
      </w:r>
      <w:r>
        <w:rPr>
          <w:spacing w:val="-54"/>
        </w:rPr>
        <w:t> </w:t>
      </w:r>
      <w:r>
        <w:rPr>
          <w:rFonts w:ascii="宋体" w:hAnsi="宋体" w:cs="宋体" w:eastAsia="宋体" w:hint="default"/>
        </w:rPr>
        <w:t>20%</w:t>
      </w:r>
      <w:r>
        <w:rPr/>
        <w:t>以上的差异原因</w:t>
      </w:r>
    </w:p>
    <w:p>
      <w:pPr>
        <w:pStyle w:val="BodyText"/>
        <w:spacing w:line="240" w:lineRule="auto"/>
        <w:ind w:right="102"/>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535" w:lineRule="auto" w:before="155"/>
        <w:ind w:left="154" w:right="5527" w:firstLine="0"/>
        <w:jc w:val="left"/>
        <w:rPr>
          <w:rFonts w:ascii="宋体" w:hAnsi="宋体" w:cs="宋体" w:eastAsia="宋体" w:hint="default"/>
          <w:sz w:val="21"/>
          <w:szCs w:val="21"/>
        </w:rPr>
      </w:pPr>
      <w:bookmarkStart w:name="（2）主营业务分部报告" w:id="23"/>
      <w:bookmarkEnd w:id="23"/>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）主营业务分部报告</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）报告期主营业务收入及主营业务利润的构成</w:t>
      </w:r>
    </w:p>
    <w:p>
      <w:pPr>
        <w:spacing w:after="0" w:line="535" w:lineRule="auto"/>
        <w:jc w:val="left"/>
        <w:rPr>
          <w:rFonts w:ascii="宋体" w:hAnsi="宋体" w:cs="宋体" w:eastAsia="宋体" w:hint="default"/>
          <w:sz w:val="21"/>
          <w:szCs w:val="21"/>
        </w:rPr>
        <w:sectPr>
          <w:pgSz w:w="11910" w:h="16840"/>
          <w:pgMar w:header="747" w:footer="1000" w:top="1040" w:bottom="1180" w:left="980" w:right="920"/>
        </w:sectPr>
      </w:pPr>
    </w:p>
    <w:p>
      <w:pPr>
        <w:spacing w:line="240" w:lineRule="auto" w:before="10"/>
        <w:rPr>
          <w:rFonts w:ascii="宋体" w:hAnsi="宋体" w:cs="宋体" w:eastAsia="宋体" w:hint="default"/>
          <w:sz w:val="26"/>
          <w:szCs w:val="26"/>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91"/>
        <w:gridCol w:w="3191"/>
        <w:gridCol w:w="3188"/>
      </w:tblGrid>
      <w:tr>
        <w:trPr>
          <w:trHeight w:val="429"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31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04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1" w:hRule="exact"/>
        </w:trPr>
        <w:tc>
          <w:tcPr>
            <w:tcW w:w="9570" w:type="dxa"/>
            <w:gridSpan w:val="3"/>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5"/>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14" w:hRule="exact"/>
        </w:trPr>
        <w:tc>
          <w:tcPr>
            <w:tcW w:w="3191" w:type="dxa"/>
            <w:tcBorders>
              <w:top w:val="single" w:sz="7" w:space="0" w:color="000000"/>
              <w:left w:val="single" w:sz="12" w:space="0" w:color="000000"/>
              <w:bottom w:val="single" w:sz="6" w:space="0" w:color="000000"/>
              <w:right w:val="single" w:sz="6" w:space="0" w:color="000000"/>
            </w:tcBorders>
          </w:tcPr>
          <w:p>
            <w:pPr>
              <w:pStyle w:val="TableParagraph"/>
              <w:spacing w:line="240" w:lineRule="auto" w:before="54"/>
              <w:ind w:right="7"/>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3191"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341,319,675.80</w:t>
            </w:r>
          </w:p>
        </w:tc>
        <w:tc>
          <w:tcPr>
            <w:tcW w:w="3188" w:type="dxa"/>
            <w:tcBorders>
              <w:top w:val="single" w:sz="7" w:space="0" w:color="000000"/>
              <w:left w:val="single" w:sz="6" w:space="0" w:color="000000"/>
              <w:bottom w:val="single" w:sz="6"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110,590,977.14</w:t>
            </w:r>
          </w:p>
        </w:tc>
      </w:tr>
      <w:tr>
        <w:trPr>
          <w:trHeight w:val="421"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481,509.42</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481,509.42</w:t>
            </w:r>
          </w:p>
        </w:tc>
      </w:tr>
      <w:tr>
        <w:trPr>
          <w:trHeight w:val="401" w:hRule="exact"/>
        </w:trPr>
        <w:tc>
          <w:tcPr>
            <w:tcW w:w="9570" w:type="dxa"/>
            <w:gridSpan w:val="3"/>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5"/>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13" w:hRule="exact"/>
        </w:trPr>
        <w:tc>
          <w:tcPr>
            <w:tcW w:w="3191" w:type="dxa"/>
            <w:tcBorders>
              <w:top w:val="single" w:sz="7"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低压集抄系统</w:t>
            </w:r>
          </w:p>
        </w:tc>
        <w:tc>
          <w:tcPr>
            <w:tcW w:w="3191" w:type="dxa"/>
            <w:tcBorders>
              <w:top w:val="single" w:sz="7"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214,429,864.13</w:t>
            </w:r>
          </w:p>
        </w:tc>
        <w:tc>
          <w:tcPr>
            <w:tcW w:w="3188" w:type="dxa"/>
            <w:tcBorders>
              <w:top w:val="single" w:sz="7"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68,233,760.78</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手持抄表终端</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2,129,715.29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899,423.04</w:t>
            </w:r>
          </w:p>
        </w:tc>
      </w:tr>
      <w:tr>
        <w:trPr>
          <w:trHeight w:val="413"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专变采集终端</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103,541,872.16</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34,580,776.84</w:t>
            </w:r>
          </w:p>
        </w:tc>
      </w:tr>
      <w:tr>
        <w:trPr>
          <w:trHeight w:val="420" w:hRule="exact"/>
        </w:trPr>
        <w:tc>
          <w:tcPr>
            <w:tcW w:w="3191" w:type="dxa"/>
            <w:tcBorders>
              <w:top w:val="single" w:sz="6" w:space="0" w:color="000000"/>
              <w:left w:val="single" w:sz="12" w:space="0" w:color="000000"/>
              <w:bottom w:val="single" w:sz="7"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其他收入</w:t>
            </w:r>
          </w:p>
        </w:tc>
        <w:tc>
          <w:tcPr>
            <w:tcW w:w="3191" w:type="dxa"/>
            <w:tcBorders>
              <w:top w:val="single" w:sz="6" w:space="0" w:color="000000"/>
              <w:left w:val="single" w:sz="6" w:space="0" w:color="000000"/>
              <w:bottom w:val="single" w:sz="7"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21,699,733.64</w:t>
            </w:r>
          </w:p>
        </w:tc>
        <w:tc>
          <w:tcPr>
            <w:tcW w:w="3188" w:type="dxa"/>
            <w:tcBorders>
              <w:top w:val="single" w:sz="6" w:space="0" w:color="000000"/>
              <w:left w:val="single" w:sz="6" w:space="0" w:color="000000"/>
              <w:bottom w:val="single" w:sz="7"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7,358,525.90</w:t>
            </w:r>
          </w:p>
        </w:tc>
      </w:tr>
      <w:tr>
        <w:trPr>
          <w:trHeight w:val="402" w:hRule="exact"/>
        </w:trPr>
        <w:tc>
          <w:tcPr>
            <w:tcW w:w="9570" w:type="dxa"/>
            <w:gridSpan w:val="3"/>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5"/>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14"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right="7"/>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8"/>
              <w:jc w:val="right"/>
              <w:rPr>
                <w:rFonts w:ascii="宋体" w:hAnsi="宋体" w:cs="宋体" w:eastAsia="宋体" w:hint="default"/>
                <w:sz w:val="18"/>
                <w:szCs w:val="18"/>
              </w:rPr>
            </w:pPr>
            <w:r>
              <w:rPr>
                <w:rFonts w:ascii="宋体"/>
                <w:sz w:val="18"/>
              </w:rPr>
              <w:t>253,633,428.73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sz w:val="18"/>
              </w:rPr>
              <w:t>92,922,560.69</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23,457,164.91</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5,405,727.03</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17,456,811.59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2,166,530.04</w:t>
            </w:r>
          </w:p>
        </w:tc>
      </w:tr>
      <w:tr>
        <w:trPr>
          <w:trHeight w:val="413"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4,948,317.95</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493,087.14</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西南地区</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35,865,388.99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9,081,385.92</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1,864,672.52</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367,727.07</w:t>
            </w:r>
          </w:p>
        </w:tc>
      </w:tr>
      <w:tr>
        <w:trPr>
          <w:trHeight w:val="413"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西北地区</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4,418,777.45</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619,948.02</w:t>
            </w:r>
          </w:p>
        </w:tc>
      </w:tr>
      <w:tr>
        <w:trPr>
          <w:trHeight w:val="419" w:hRule="exact"/>
        </w:trPr>
        <w:tc>
          <w:tcPr>
            <w:tcW w:w="31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境外</w:t>
            </w:r>
          </w:p>
        </w:tc>
        <w:tc>
          <w:tcPr>
            <w:tcW w:w="31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156,623.08</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15,520.63</w:t>
            </w:r>
          </w:p>
        </w:tc>
      </w:tr>
    </w:tbl>
    <w:p>
      <w:pPr>
        <w:pStyle w:val="BodyText"/>
        <w:spacing w:line="240" w:lineRule="auto" w:before="63"/>
        <w:ind w:left="154" w:right="0"/>
        <w:jc w:val="left"/>
      </w:pPr>
      <w:r>
        <w:rPr>
          <w:rFonts w:ascii="宋体" w:hAnsi="宋体" w:cs="宋体" w:eastAsia="宋体" w:hint="default"/>
        </w:rPr>
        <w:t>2</w:t>
      </w:r>
      <w:r>
        <w:rPr/>
        <w:t>）占比</w:t>
      </w:r>
      <w:r>
        <w:rPr>
          <w:spacing w:val="-53"/>
        </w:rPr>
        <w:t> </w:t>
      </w:r>
      <w:r>
        <w:rPr>
          <w:rFonts w:ascii="宋体" w:hAnsi="宋体" w:cs="宋体" w:eastAsia="宋体" w:hint="default"/>
        </w:rPr>
        <w:t>10%</w:t>
      </w:r>
      <w:r>
        <w:rPr/>
        <w:t>以上的产品、行业或地区情况</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68"/>
        <w:gridCol w:w="1367"/>
        <w:gridCol w:w="1366"/>
        <w:gridCol w:w="1367"/>
        <w:gridCol w:w="1367"/>
        <w:gridCol w:w="1367"/>
        <w:gridCol w:w="1371"/>
      </w:tblGrid>
      <w:tr>
        <w:trPr>
          <w:trHeight w:val="646" w:hRule="exact"/>
        </w:trPr>
        <w:tc>
          <w:tcPr>
            <w:tcW w:w="1368"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135" w:right="134" w:firstLine="90"/>
              <w:jc w:val="left"/>
              <w:rPr>
                <w:rFonts w:ascii="宋体" w:hAnsi="宋体" w:cs="宋体" w:eastAsia="宋体" w:hint="default"/>
                <w:sz w:val="18"/>
                <w:szCs w:val="18"/>
              </w:rPr>
            </w:pPr>
            <w:r>
              <w:rPr>
                <w:rFonts w:ascii="宋体" w:hAnsi="宋体" w:cs="宋体" w:eastAsia="宋体" w:hint="default"/>
                <w:sz w:val="18"/>
                <w:szCs w:val="18"/>
              </w:rPr>
              <w:t>营业收入比 上年同期增减</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136" w:right="135" w:firstLine="90"/>
              <w:jc w:val="left"/>
              <w:rPr>
                <w:rFonts w:ascii="宋体" w:hAnsi="宋体" w:cs="宋体" w:eastAsia="宋体" w:hint="default"/>
                <w:sz w:val="18"/>
                <w:szCs w:val="18"/>
              </w:rPr>
            </w:pPr>
            <w:r>
              <w:rPr>
                <w:rFonts w:ascii="宋体" w:hAnsi="宋体" w:cs="宋体" w:eastAsia="宋体" w:hint="default"/>
                <w:sz w:val="18"/>
                <w:szCs w:val="18"/>
              </w:rPr>
              <w:t>营业成本比 上年同期增减</w:t>
            </w:r>
          </w:p>
        </w:tc>
        <w:tc>
          <w:tcPr>
            <w:tcW w:w="137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10"/>
              <w:ind w:left="139" w:right="127" w:firstLine="180"/>
              <w:jc w:val="left"/>
              <w:rPr>
                <w:rFonts w:ascii="宋体" w:hAnsi="宋体" w:cs="宋体" w:eastAsia="宋体" w:hint="default"/>
                <w:sz w:val="18"/>
                <w:szCs w:val="18"/>
              </w:rPr>
            </w:pPr>
            <w:r>
              <w:rPr>
                <w:rFonts w:ascii="宋体" w:hAnsi="宋体" w:cs="宋体" w:eastAsia="宋体" w:hint="default"/>
                <w:sz w:val="18"/>
                <w:szCs w:val="18"/>
              </w:rPr>
              <w:t>毛利率比 上年同期增减</w:t>
            </w:r>
          </w:p>
        </w:tc>
      </w:tr>
      <w:tr>
        <w:trPr>
          <w:trHeight w:val="412" w:hRule="exact"/>
        </w:trPr>
        <w:tc>
          <w:tcPr>
            <w:tcW w:w="9572"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12"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1" w:right="0"/>
              <w:jc w:val="center"/>
              <w:rPr>
                <w:rFonts w:ascii="宋体" w:hAnsi="宋体" w:cs="宋体" w:eastAsia="宋体" w:hint="default"/>
                <w:sz w:val="18"/>
                <w:szCs w:val="18"/>
              </w:rPr>
            </w:pPr>
            <w:r>
              <w:rPr>
                <w:rFonts w:ascii="宋体"/>
                <w:sz w:val="18"/>
              </w:rPr>
              <w:t>341,319,675.80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230,728,698.66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32.40%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5.62%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7.96%</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10" w:right="0"/>
              <w:jc w:val="center"/>
              <w:rPr>
                <w:rFonts w:ascii="宋体" w:hAnsi="宋体" w:cs="宋体" w:eastAsia="宋体" w:hint="default"/>
                <w:sz w:val="18"/>
                <w:szCs w:val="18"/>
              </w:rPr>
            </w:pPr>
            <w:r>
              <w:rPr>
                <w:rFonts w:ascii="宋体" w:hAnsi="宋体" w:cs="宋体" w:eastAsia="宋体" w:hint="default"/>
                <w:sz w:val="18"/>
                <w:szCs w:val="18"/>
              </w:rPr>
              <w:t>-4.34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12" w:hRule="exact"/>
        </w:trPr>
        <w:tc>
          <w:tcPr>
            <w:tcW w:w="9572"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12"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低压集抄系统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214,429,864.13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146,196,103.35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31.82%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-5.72%</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110" w:right="0"/>
              <w:jc w:val="center"/>
              <w:rPr>
                <w:rFonts w:ascii="宋体" w:hAnsi="宋体" w:cs="宋体" w:eastAsia="宋体" w:hint="default"/>
                <w:sz w:val="18"/>
                <w:szCs w:val="18"/>
              </w:rPr>
            </w:pPr>
            <w:r>
              <w:rPr>
                <w:rFonts w:ascii="宋体" w:hAnsi="宋体" w:cs="宋体" w:eastAsia="宋体" w:hint="default"/>
                <w:sz w:val="18"/>
                <w:szCs w:val="18"/>
              </w:rPr>
              <w:t>10.10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12"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专变采集终端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1" w:right="0"/>
              <w:jc w:val="center"/>
              <w:rPr>
                <w:rFonts w:ascii="宋体" w:hAnsi="宋体" w:cs="宋体" w:eastAsia="宋体" w:hint="default"/>
                <w:sz w:val="18"/>
                <w:szCs w:val="18"/>
              </w:rPr>
            </w:pPr>
            <w:r>
              <w:rPr>
                <w:rFonts w:ascii="宋体"/>
                <w:sz w:val="18"/>
              </w:rPr>
              <w:t>103,541,872.16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68,961,095.32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33.40%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35.77%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42.63%</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10" w:right="0"/>
              <w:jc w:val="center"/>
              <w:rPr>
                <w:rFonts w:ascii="宋体" w:hAnsi="宋体" w:cs="宋体" w:eastAsia="宋体" w:hint="default"/>
                <w:sz w:val="18"/>
                <w:szCs w:val="18"/>
              </w:rPr>
            </w:pPr>
            <w:r>
              <w:rPr>
                <w:rFonts w:ascii="宋体" w:hAnsi="宋体" w:cs="宋体" w:eastAsia="宋体" w:hint="default"/>
                <w:sz w:val="18"/>
                <w:szCs w:val="18"/>
              </w:rPr>
              <w:t>-8.74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12" w:hRule="exact"/>
        </w:trPr>
        <w:tc>
          <w:tcPr>
            <w:tcW w:w="9572"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20" w:hRule="exact"/>
        </w:trPr>
        <w:tc>
          <w:tcPr>
            <w:tcW w:w="13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253,633,428.73</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160,710,868.03</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36.64%</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-9.72%</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-12.37%</w:t>
            </w:r>
          </w:p>
        </w:tc>
        <w:tc>
          <w:tcPr>
            <w:tcW w:w="13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0" w:right="0"/>
              <w:jc w:val="center"/>
              <w:rPr>
                <w:rFonts w:ascii="宋体" w:hAnsi="宋体" w:cs="宋体" w:eastAsia="宋体" w:hint="default"/>
                <w:sz w:val="18"/>
                <w:szCs w:val="18"/>
              </w:rPr>
            </w:pPr>
            <w:r>
              <w:rPr>
                <w:rFonts w:ascii="宋体" w:hAnsi="宋体" w:cs="宋体" w:eastAsia="宋体" w:hint="default"/>
                <w:sz w:val="18"/>
                <w:szCs w:val="18"/>
              </w:rPr>
              <w:t>5.50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bl>
    <w:p>
      <w:pPr>
        <w:pStyle w:val="BodyText"/>
        <w:spacing w:line="408" w:lineRule="auto" w:before="63"/>
        <w:ind w:left="154" w:right="220"/>
        <w:jc w:val="left"/>
      </w:pPr>
      <w:r>
        <w:rPr>
          <w:rFonts w:ascii="宋体" w:hAnsi="宋体" w:cs="宋体" w:eastAsia="宋体" w:hint="default"/>
        </w:rPr>
        <w:t>3</w:t>
      </w:r>
      <w:r>
        <w:rPr/>
        <w:t>）公司主营业务数据统计口径在报告期发生调整的情况下，公司最近</w:t>
      </w:r>
      <w:r>
        <w:rPr>
          <w:spacing w:val="-54"/>
        </w:rPr>
        <w:t> </w:t>
      </w:r>
      <w:r>
        <w:rPr>
          <w:rFonts w:ascii="宋体" w:hAnsi="宋体" w:cs="宋体" w:eastAsia="宋体" w:hint="default"/>
        </w:rPr>
        <w:t>3</w:t>
      </w:r>
      <w:r>
        <w:rPr>
          <w:rFonts w:ascii="宋体" w:hAnsi="宋体" w:cs="宋体" w:eastAsia="宋体" w:hint="default"/>
          <w:spacing w:val="-54"/>
        </w:rPr>
        <w:t> </w:t>
      </w:r>
      <w:r>
        <w:rPr/>
        <w:t>年按报告期末口径调整后的主营 业务数据</w:t>
      </w:r>
    </w:p>
    <w:p>
      <w:pPr>
        <w:spacing w:after="0" w:line="408"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3）资产、负债状况分析" w:id="24"/>
      <w:bookmarkEnd w:id="24"/>
      <w:r>
        <w:rPr>
          <w:b w:val="0"/>
          <w:bCs w:val="0"/>
        </w:rPr>
      </w:r>
      <w:r>
        <w:rPr/>
        <w:t>（</w:t>
      </w:r>
      <w:r>
        <w:rPr>
          <w:rFonts w:ascii="宋体" w:hAnsi="宋体" w:cs="宋体" w:eastAsia="宋体" w:hint="default"/>
        </w:rPr>
        <w:t>3</w:t>
      </w:r>
      <w:r>
        <w:rPr/>
        <w:t>）资产、负债状况分析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000" w:top="1040" w:bottom="1180" w:left="980" w:right="980"/>
        </w:sectPr>
      </w:pPr>
    </w:p>
    <w:p>
      <w:pPr>
        <w:pStyle w:val="BodyText"/>
        <w:spacing w:line="240" w:lineRule="auto" w:before="35"/>
        <w:ind w:left="154" w:right="-9"/>
        <w:jc w:val="left"/>
      </w:pPr>
      <w:r>
        <w:rPr>
          <w:rFonts w:ascii="宋体" w:hAnsi="宋体" w:cs="宋体" w:eastAsia="宋体" w:hint="default"/>
          <w:spacing w:val="-1"/>
        </w:rPr>
        <w:t>1</w:t>
      </w:r>
      <w:r>
        <w:rPr>
          <w:spacing w:val="-1"/>
        </w:rPr>
        <w:t>）资产项目重大变动情况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180" w:left="980" w:right="980"/>
          <w:cols w:num="2" w:equalWidth="0">
            <w:col w:w="2569" w:space="6351"/>
            <w:col w:w="1030"/>
          </w:cols>
        </w:sectPr>
      </w:pP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270"/>
        <w:gridCol w:w="1418"/>
        <w:gridCol w:w="708"/>
        <w:gridCol w:w="1389"/>
        <w:gridCol w:w="739"/>
        <w:gridCol w:w="1559"/>
        <w:gridCol w:w="2480"/>
      </w:tblGrid>
      <w:tr>
        <w:trPr>
          <w:trHeight w:val="398" w:hRule="exact"/>
        </w:trPr>
        <w:tc>
          <w:tcPr>
            <w:tcW w:w="1270" w:type="dxa"/>
            <w:tcBorders>
              <w:top w:val="single" w:sz="12" w:space="0" w:color="000000"/>
              <w:left w:val="single" w:sz="12" w:space="0" w:color="000000"/>
              <w:bottom w:val="nil" w:sz="6" w:space="0" w:color="auto"/>
              <w:right w:val="single" w:sz="6" w:space="0" w:color="000000"/>
            </w:tcBorders>
            <w:shd w:val="clear" w:color="auto" w:fill="D2D2D2"/>
          </w:tcPr>
          <w:p>
            <w:pPr/>
          </w:p>
        </w:tc>
        <w:tc>
          <w:tcPr>
            <w:tcW w:w="2126"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128"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559" w:type="dxa"/>
            <w:tcBorders>
              <w:top w:val="single" w:sz="12" w:space="0" w:color="000000"/>
              <w:left w:val="single" w:sz="6" w:space="0" w:color="000000"/>
              <w:bottom w:val="nil" w:sz="6" w:space="0" w:color="auto"/>
              <w:right w:val="single" w:sz="6" w:space="0" w:color="000000"/>
            </w:tcBorders>
            <w:shd w:val="clear" w:color="auto" w:fill="D2D2D2"/>
          </w:tcPr>
          <w:p>
            <w:pPr/>
          </w:p>
        </w:tc>
        <w:tc>
          <w:tcPr>
            <w:tcW w:w="2480"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80" w:hRule="exact"/>
        </w:trPr>
        <w:tc>
          <w:tcPr>
            <w:tcW w:w="1270" w:type="dxa"/>
            <w:vMerge w:val="restart"/>
            <w:tcBorders>
              <w:top w:val="nil" w:sz="6" w:space="0" w:color="auto"/>
              <w:left w:val="single" w:sz="12" w:space="0" w:color="000000"/>
              <w:right w:val="single" w:sz="6" w:space="0" w:color="000000"/>
            </w:tcBorders>
            <w:shd w:val="clear" w:color="auto" w:fill="D2D2D2"/>
          </w:tcPr>
          <w:p>
            <w:pPr/>
          </w:p>
        </w:tc>
        <w:tc>
          <w:tcPr>
            <w:tcW w:w="1418" w:type="dxa"/>
            <w:tcBorders>
              <w:top w:val="single" w:sz="6" w:space="0" w:color="000000"/>
              <w:left w:val="single" w:sz="6" w:space="0" w:color="000000"/>
              <w:bottom w:val="nil" w:sz="6" w:space="0" w:color="auto"/>
              <w:right w:val="single" w:sz="6" w:space="0" w:color="000000"/>
            </w:tcBorders>
            <w:shd w:val="clear" w:color="auto" w:fill="D2D2D2"/>
          </w:tcPr>
          <w:p>
            <w:pPr/>
          </w:p>
        </w:tc>
        <w:tc>
          <w:tcPr>
            <w:tcW w:w="708"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68"/>
              <w:ind w:left="75" w:right="77"/>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89" w:type="dxa"/>
            <w:tcBorders>
              <w:top w:val="single" w:sz="6" w:space="0" w:color="000000"/>
              <w:left w:val="single" w:sz="6" w:space="0" w:color="000000"/>
              <w:bottom w:val="nil" w:sz="6" w:space="0" w:color="auto"/>
              <w:right w:val="single" w:sz="6" w:space="0" w:color="000000"/>
            </w:tcBorders>
            <w:shd w:val="clear" w:color="auto" w:fill="D2D2D2"/>
          </w:tcPr>
          <w:p>
            <w:pPr/>
          </w:p>
        </w:tc>
        <w:tc>
          <w:tcPr>
            <w:tcW w:w="739"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68"/>
              <w:ind w:left="91" w:right="91"/>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55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7"/>
              <w:ind w:left="41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480"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27"/>
              <w:ind w:left="69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8" w:hRule="exact"/>
        </w:trPr>
        <w:tc>
          <w:tcPr>
            <w:tcW w:w="1270" w:type="dxa"/>
            <w:vMerge/>
            <w:tcBorders>
              <w:left w:val="single" w:sz="12" w:space="0" w:color="000000"/>
              <w:bottom w:val="nil" w:sz="6" w:space="0" w:color="auto"/>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6" w:space="0" w:color="000000"/>
              <w:right w:val="single" w:sz="6" w:space="0" w:color="000000"/>
            </w:tcBorders>
            <w:shd w:val="clear" w:color="auto" w:fill="D2D2D2"/>
          </w:tcPr>
          <w:p>
            <w:pPr/>
          </w:p>
        </w:tc>
        <w:tc>
          <w:tcPr>
            <w:tcW w:w="138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6" w:space="0" w:color="000000"/>
              <w:right w:val="single" w:sz="6" w:space="0" w:color="000000"/>
            </w:tcBorders>
            <w:shd w:val="clear" w:color="auto" w:fill="D2D2D2"/>
          </w:tcPr>
          <w:p>
            <w:pPr/>
          </w:p>
        </w:tc>
        <w:tc>
          <w:tcPr>
            <w:tcW w:w="1559" w:type="dxa"/>
            <w:vMerge/>
            <w:tcBorders>
              <w:left w:val="single" w:sz="6" w:space="0" w:color="000000"/>
              <w:bottom w:val="nil" w:sz="6" w:space="0" w:color="auto"/>
              <w:right w:val="single" w:sz="6" w:space="0" w:color="000000"/>
            </w:tcBorders>
            <w:shd w:val="clear" w:color="auto" w:fill="D2D2D2"/>
          </w:tcPr>
          <w:p>
            <w:pPr/>
          </w:p>
        </w:tc>
        <w:tc>
          <w:tcPr>
            <w:tcW w:w="2480" w:type="dxa"/>
            <w:vMerge/>
            <w:tcBorders>
              <w:left w:val="single" w:sz="6" w:space="0" w:color="000000"/>
              <w:bottom w:val="nil" w:sz="6" w:space="0" w:color="auto"/>
              <w:right w:val="single" w:sz="12" w:space="0" w:color="000000"/>
            </w:tcBorders>
            <w:shd w:val="clear" w:color="auto" w:fill="D2D2D2"/>
          </w:tcPr>
          <w:p>
            <w:pPr/>
          </w:p>
        </w:tc>
      </w:tr>
      <w:tr>
        <w:trPr>
          <w:trHeight w:val="204" w:hRule="exact"/>
        </w:trPr>
        <w:tc>
          <w:tcPr>
            <w:tcW w:w="1270" w:type="dxa"/>
            <w:vMerge w:val="restart"/>
            <w:tcBorders>
              <w:top w:val="nil" w:sz="6" w:space="0" w:color="auto"/>
              <w:left w:val="single" w:sz="12"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708" w:type="dxa"/>
            <w:vMerge/>
            <w:tcBorders>
              <w:left w:val="single" w:sz="6" w:space="0" w:color="000000"/>
              <w:right w:val="single" w:sz="6" w:space="0" w:color="000000"/>
            </w:tcBorders>
            <w:shd w:val="clear" w:color="auto" w:fill="D2D2D2"/>
          </w:tcPr>
          <w:p>
            <w:pPr/>
          </w:p>
        </w:tc>
        <w:tc>
          <w:tcPr>
            <w:tcW w:w="1389" w:type="dxa"/>
            <w:vMerge/>
            <w:tcBorders>
              <w:left w:val="single" w:sz="6" w:space="0" w:color="000000"/>
              <w:bottom w:val="nil" w:sz="6" w:space="0" w:color="auto"/>
              <w:right w:val="single" w:sz="6" w:space="0" w:color="000000"/>
            </w:tcBorders>
            <w:shd w:val="clear" w:color="auto" w:fill="D2D2D2"/>
          </w:tcPr>
          <w:p>
            <w:pPr/>
          </w:p>
        </w:tc>
        <w:tc>
          <w:tcPr>
            <w:tcW w:w="739" w:type="dxa"/>
            <w:vMerge/>
            <w:tcBorders>
              <w:left w:val="single" w:sz="6" w:space="0" w:color="000000"/>
              <w:right w:val="single" w:sz="6" w:space="0" w:color="000000"/>
            </w:tcBorders>
            <w:shd w:val="clear" w:color="auto" w:fill="D2D2D2"/>
          </w:tcPr>
          <w:p>
            <w:pPr/>
          </w:p>
        </w:tc>
        <w:tc>
          <w:tcPr>
            <w:tcW w:w="1559" w:type="dxa"/>
            <w:vMerge w:val="restart"/>
            <w:tcBorders>
              <w:top w:val="nil" w:sz="6" w:space="0" w:color="auto"/>
              <w:left w:val="single" w:sz="6" w:space="0" w:color="000000"/>
              <w:right w:val="single" w:sz="6" w:space="0" w:color="000000"/>
            </w:tcBorders>
            <w:shd w:val="clear" w:color="auto" w:fill="D2D2D2"/>
          </w:tcPr>
          <w:p>
            <w:pPr/>
          </w:p>
        </w:tc>
        <w:tc>
          <w:tcPr>
            <w:tcW w:w="2480" w:type="dxa"/>
            <w:vMerge w:val="restart"/>
            <w:tcBorders>
              <w:top w:val="nil" w:sz="6" w:space="0" w:color="auto"/>
              <w:left w:val="single" w:sz="6" w:space="0" w:color="000000"/>
              <w:right w:val="single" w:sz="12" w:space="0" w:color="000000"/>
            </w:tcBorders>
            <w:shd w:val="clear" w:color="auto" w:fill="D2D2D2"/>
          </w:tcPr>
          <w:p>
            <w:pPr/>
          </w:p>
        </w:tc>
      </w:tr>
      <w:tr>
        <w:trPr>
          <w:trHeight w:val="163" w:hRule="exact"/>
        </w:trPr>
        <w:tc>
          <w:tcPr>
            <w:tcW w:w="1270" w:type="dxa"/>
            <w:vMerge/>
            <w:tcBorders>
              <w:left w:val="single" w:sz="12" w:space="0" w:color="000000"/>
              <w:bottom w:val="single" w:sz="6" w:space="0" w:color="000000"/>
              <w:right w:val="single" w:sz="6" w:space="0" w:color="000000"/>
            </w:tcBorders>
            <w:shd w:val="clear" w:color="auto" w:fill="D2D2D2"/>
          </w:tcPr>
          <w:p>
            <w:pPr/>
          </w:p>
        </w:tc>
        <w:tc>
          <w:tcPr>
            <w:tcW w:w="1418" w:type="dxa"/>
            <w:tcBorders>
              <w:top w:val="nil" w:sz="6" w:space="0" w:color="auto"/>
              <w:left w:val="single" w:sz="6" w:space="0" w:color="000000"/>
              <w:bottom w:val="single" w:sz="6" w:space="0" w:color="000000"/>
              <w:right w:val="single" w:sz="6" w:space="0" w:color="000000"/>
            </w:tcBorders>
            <w:shd w:val="clear" w:color="auto" w:fill="D2D2D2"/>
          </w:tcPr>
          <w:p>
            <w:pPr/>
          </w:p>
        </w:tc>
        <w:tc>
          <w:tcPr>
            <w:tcW w:w="708" w:type="dxa"/>
            <w:vMerge/>
            <w:tcBorders>
              <w:left w:val="single" w:sz="6" w:space="0" w:color="000000"/>
              <w:bottom w:val="single" w:sz="6" w:space="0" w:color="000000"/>
              <w:right w:val="single" w:sz="6" w:space="0" w:color="000000"/>
            </w:tcBorders>
            <w:shd w:val="clear" w:color="auto" w:fill="D2D2D2"/>
          </w:tcPr>
          <w:p>
            <w:pPr/>
          </w:p>
        </w:tc>
        <w:tc>
          <w:tcPr>
            <w:tcW w:w="1389" w:type="dxa"/>
            <w:tcBorders>
              <w:top w:val="nil" w:sz="6" w:space="0" w:color="auto"/>
              <w:left w:val="single" w:sz="6" w:space="0" w:color="000000"/>
              <w:bottom w:val="single" w:sz="6" w:space="0" w:color="000000"/>
              <w:right w:val="single" w:sz="6" w:space="0" w:color="000000"/>
            </w:tcBorders>
            <w:shd w:val="clear" w:color="auto" w:fill="D2D2D2"/>
          </w:tcPr>
          <w:p>
            <w:pPr/>
          </w:p>
        </w:tc>
        <w:tc>
          <w:tcPr>
            <w:tcW w:w="739" w:type="dxa"/>
            <w:vMerge/>
            <w:tcBorders>
              <w:left w:val="single" w:sz="6" w:space="0" w:color="000000"/>
              <w:bottom w:val="single" w:sz="6" w:space="0" w:color="000000"/>
              <w:right w:val="single" w:sz="6" w:space="0" w:color="000000"/>
            </w:tcBorders>
            <w:shd w:val="clear" w:color="auto" w:fill="D2D2D2"/>
          </w:tcPr>
          <w:p>
            <w:pPr/>
          </w:p>
        </w:tc>
        <w:tc>
          <w:tcPr>
            <w:tcW w:w="1559" w:type="dxa"/>
            <w:vMerge/>
            <w:tcBorders>
              <w:left w:val="single" w:sz="6" w:space="0" w:color="000000"/>
              <w:bottom w:val="single" w:sz="6" w:space="0" w:color="000000"/>
              <w:right w:val="single" w:sz="6" w:space="0" w:color="000000"/>
            </w:tcBorders>
            <w:shd w:val="clear" w:color="auto" w:fill="D2D2D2"/>
          </w:tcPr>
          <w:p>
            <w:pPr/>
          </w:p>
        </w:tc>
        <w:tc>
          <w:tcPr>
            <w:tcW w:w="2480" w:type="dxa"/>
            <w:vMerge/>
            <w:tcBorders>
              <w:left w:val="single" w:sz="6" w:space="0" w:color="000000"/>
              <w:bottom w:val="single" w:sz="6" w:space="0" w:color="000000"/>
              <w:right w:val="single" w:sz="12" w:space="0" w:color="000000"/>
            </w:tcBorders>
            <w:shd w:val="clear" w:color="auto" w:fill="D2D2D2"/>
          </w:tcPr>
          <w:p>
            <w:pPr/>
          </w:p>
        </w:tc>
      </w:tr>
      <w:tr>
        <w:trPr>
          <w:trHeight w:val="631" w:hRule="exact"/>
        </w:trPr>
        <w:tc>
          <w:tcPr>
            <w:tcW w:w="1270" w:type="dxa"/>
            <w:tcBorders>
              <w:top w:val="single" w:sz="6" w:space="0" w:color="000000"/>
              <w:left w:val="single" w:sz="12" w:space="0" w:color="000000"/>
              <w:bottom w:val="nil" w:sz="6" w:space="0" w:color="auto"/>
              <w:right w:val="single" w:sz="6" w:space="0" w:color="000000"/>
            </w:tcBorders>
            <w:shd w:val="clear" w:color="auto" w:fill="D2D2D2"/>
          </w:tcPr>
          <w:p>
            <w:pPr/>
          </w:p>
        </w:tc>
        <w:tc>
          <w:tcPr>
            <w:tcW w:w="1418" w:type="dxa"/>
            <w:vMerge w:val="restart"/>
            <w:tcBorders>
              <w:top w:val="single" w:sz="6" w:space="0" w:color="000000"/>
              <w:left w:val="single" w:sz="8"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sz w:val="18"/>
              </w:rPr>
              <w:t>376,665,386.10</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sz w:val="18"/>
              </w:rPr>
              <w:t>18.95%</w:t>
            </w:r>
          </w:p>
        </w:tc>
        <w:tc>
          <w:tcPr>
            <w:tcW w:w="138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sz w:val="18"/>
              </w:rPr>
              <w:t>361,377,372.29</w:t>
            </w:r>
          </w:p>
        </w:tc>
        <w:tc>
          <w:tcPr>
            <w:tcW w:w="73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38.83%</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-19.88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2480" w:type="dxa"/>
            <w:vMerge w:val="restart"/>
            <w:tcBorders>
              <w:top w:val="single" w:sz="6" w:space="0" w:color="000000"/>
              <w:left w:val="single" w:sz="6" w:space="0" w:color="000000"/>
              <w:right w:val="single" w:sz="12" w:space="0" w:color="000000"/>
            </w:tcBorders>
          </w:tcPr>
          <w:p>
            <w:pPr>
              <w:pStyle w:val="TableParagraph"/>
              <w:spacing w:line="316" w:lineRule="auto" w:before="51"/>
              <w:ind w:left="20" w:right="95"/>
              <w:jc w:val="both"/>
              <w:rPr>
                <w:rFonts w:ascii="宋体" w:hAnsi="宋体" w:cs="宋体" w:eastAsia="宋体" w:hint="default"/>
                <w:sz w:val="18"/>
                <w:szCs w:val="18"/>
              </w:rPr>
            </w:pPr>
            <w:r>
              <w:rPr>
                <w:rFonts w:ascii="宋体" w:hAnsi="宋体" w:cs="宋体" w:eastAsia="宋体" w:hint="default"/>
                <w:sz w:val="18"/>
                <w:szCs w:val="18"/>
              </w:rPr>
              <w:t>主要是本期新增合并控股子公 司索瑞电气，虽然货币资金期 末余额略有增长，但作为比较 基数的资产总额大幅增加，致 使占比下降。</w:t>
            </w:r>
          </w:p>
        </w:tc>
      </w:tr>
      <w:tr>
        <w:trPr>
          <w:trHeight w:val="392" w:hRule="exact"/>
        </w:trPr>
        <w:tc>
          <w:tcPr>
            <w:tcW w:w="1270"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13"/>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vMerge/>
            <w:tcBorders>
              <w:left w:val="single" w:sz="8" w:space="0" w:color="D2D2D2"/>
              <w:right w:val="single" w:sz="6" w:space="0" w:color="000000"/>
            </w:tcBorders>
          </w:tcPr>
          <w:p>
            <w:pPr/>
          </w:p>
        </w:tc>
        <w:tc>
          <w:tcPr>
            <w:tcW w:w="708" w:type="dxa"/>
            <w:vMerge/>
            <w:tcBorders>
              <w:left w:val="single" w:sz="6" w:space="0" w:color="000000"/>
              <w:right w:val="single" w:sz="6" w:space="0" w:color="000000"/>
            </w:tcBorders>
          </w:tcPr>
          <w:p>
            <w:pPr/>
          </w:p>
        </w:tc>
        <w:tc>
          <w:tcPr>
            <w:tcW w:w="1389" w:type="dxa"/>
            <w:vMerge/>
            <w:tcBorders>
              <w:left w:val="single" w:sz="6" w:space="0" w:color="000000"/>
              <w:right w:val="single" w:sz="6" w:space="0" w:color="000000"/>
            </w:tcBorders>
          </w:tcPr>
          <w:p>
            <w:pPr/>
          </w:p>
        </w:tc>
        <w:tc>
          <w:tcPr>
            <w:tcW w:w="739"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2480" w:type="dxa"/>
            <w:vMerge/>
            <w:tcBorders>
              <w:left w:val="single" w:sz="6" w:space="0" w:color="000000"/>
              <w:right w:val="single" w:sz="12" w:space="0" w:color="000000"/>
            </w:tcBorders>
          </w:tcPr>
          <w:p>
            <w:pPr/>
          </w:p>
        </w:tc>
      </w:tr>
      <w:tr>
        <w:trPr>
          <w:trHeight w:val="631" w:hRule="exact"/>
        </w:trPr>
        <w:tc>
          <w:tcPr>
            <w:tcW w:w="1270"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18" w:type="dxa"/>
            <w:vMerge/>
            <w:tcBorders>
              <w:left w:val="single" w:sz="8" w:space="0" w:color="D2D2D2"/>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389" w:type="dxa"/>
            <w:vMerge/>
            <w:tcBorders>
              <w:left w:val="single" w:sz="6" w:space="0" w:color="000000"/>
              <w:bottom w:val="single" w:sz="6" w:space="0" w:color="000000"/>
              <w:right w:val="single" w:sz="6" w:space="0" w:color="000000"/>
            </w:tcBorders>
          </w:tcPr>
          <w:p>
            <w:pPr/>
          </w:p>
        </w:tc>
        <w:tc>
          <w:tcPr>
            <w:tcW w:w="739"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2480" w:type="dxa"/>
            <w:vMerge/>
            <w:tcBorders>
              <w:left w:val="single" w:sz="6" w:space="0" w:color="000000"/>
              <w:bottom w:val="single" w:sz="6" w:space="0" w:color="000000"/>
              <w:right w:val="single" w:sz="12" w:space="0" w:color="000000"/>
            </w:tcBorders>
          </w:tcPr>
          <w:p>
            <w:pPr/>
          </w:p>
        </w:tc>
      </w:tr>
      <w:tr>
        <w:trPr>
          <w:trHeight w:val="163" w:hRule="exact"/>
        </w:trPr>
        <w:tc>
          <w:tcPr>
            <w:tcW w:w="1270" w:type="dxa"/>
            <w:tcBorders>
              <w:top w:val="single" w:sz="6" w:space="0" w:color="000000"/>
              <w:left w:val="single" w:sz="12" w:space="0" w:color="000000"/>
              <w:bottom w:val="nil" w:sz="6" w:space="0" w:color="auto"/>
              <w:right w:val="single" w:sz="6" w:space="0" w:color="000000"/>
            </w:tcBorders>
            <w:shd w:val="clear" w:color="auto" w:fill="D2D2D2"/>
          </w:tcPr>
          <w:p>
            <w:pPr/>
          </w:p>
        </w:tc>
        <w:tc>
          <w:tcPr>
            <w:tcW w:w="1418" w:type="dxa"/>
            <w:vMerge w:val="restart"/>
            <w:tcBorders>
              <w:top w:val="single" w:sz="6" w:space="0" w:color="000000"/>
              <w:left w:val="single" w:sz="8" w:space="0" w:color="D2D2D2"/>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sz w:val="18"/>
              </w:rPr>
              <w:t>603,335,604.49</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sz w:val="18"/>
              </w:rPr>
              <w:t>30.35%</w:t>
            </w:r>
          </w:p>
        </w:tc>
        <w:tc>
          <w:tcPr>
            <w:tcW w:w="1389"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sz w:val="18"/>
              </w:rPr>
              <w:t>206,552,047.30</w:t>
            </w:r>
          </w:p>
        </w:tc>
        <w:tc>
          <w:tcPr>
            <w:tcW w:w="739"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22.19%</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8.16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2480" w:type="dxa"/>
            <w:vMerge w:val="restart"/>
            <w:tcBorders>
              <w:top w:val="single" w:sz="6" w:space="0" w:color="000000"/>
              <w:left w:val="single" w:sz="6" w:space="0" w:color="000000"/>
              <w:right w:val="single" w:sz="12" w:space="0" w:color="000000"/>
            </w:tcBorders>
          </w:tcPr>
          <w:p>
            <w:pPr>
              <w:pStyle w:val="TableParagraph"/>
              <w:spacing w:line="319" w:lineRule="auto" w:before="51"/>
              <w:ind w:left="20" w:right="95"/>
              <w:jc w:val="left"/>
              <w:rPr>
                <w:rFonts w:ascii="宋体" w:hAnsi="宋体" w:cs="宋体" w:eastAsia="宋体" w:hint="default"/>
                <w:sz w:val="18"/>
                <w:szCs w:val="18"/>
              </w:rPr>
            </w:pPr>
            <w:r>
              <w:rPr>
                <w:rFonts w:ascii="宋体" w:hAnsi="宋体" w:cs="宋体" w:eastAsia="宋体" w:hint="default"/>
                <w:sz w:val="18"/>
                <w:szCs w:val="18"/>
              </w:rPr>
              <w:t>主要是本期新增合并控股子公 司索瑞电气的应收账款所致。</w:t>
            </w:r>
          </w:p>
        </w:tc>
      </w:tr>
      <w:tr>
        <w:trPr>
          <w:trHeight w:val="392" w:hRule="exact"/>
        </w:trPr>
        <w:tc>
          <w:tcPr>
            <w:tcW w:w="1270"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13"/>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vMerge/>
            <w:tcBorders>
              <w:left w:val="single" w:sz="8" w:space="0" w:color="D2D2D2"/>
              <w:right w:val="single" w:sz="6" w:space="0" w:color="000000"/>
            </w:tcBorders>
          </w:tcPr>
          <w:p>
            <w:pPr/>
          </w:p>
        </w:tc>
        <w:tc>
          <w:tcPr>
            <w:tcW w:w="708" w:type="dxa"/>
            <w:vMerge/>
            <w:tcBorders>
              <w:left w:val="single" w:sz="6" w:space="0" w:color="000000"/>
              <w:right w:val="single" w:sz="6" w:space="0" w:color="000000"/>
            </w:tcBorders>
          </w:tcPr>
          <w:p>
            <w:pPr/>
          </w:p>
        </w:tc>
        <w:tc>
          <w:tcPr>
            <w:tcW w:w="1389" w:type="dxa"/>
            <w:vMerge/>
            <w:tcBorders>
              <w:left w:val="single" w:sz="6" w:space="0" w:color="000000"/>
              <w:right w:val="single" w:sz="6" w:space="0" w:color="000000"/>
            </w:tcBorders>
          </w:tcPr>
          <w:p>
            <w:pPr/>
          </w:p>
        </w:tc>
        <w:tc>
          <w:tcPr>
            <w:tcW w:w="739"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2480" w:type="dxa"/>
            <w:vMerge/>
            <w:tcBorders>
              <w:left w:val="single" w:sz="6" w:space="0" w:color="000000"/>
              <w:right w:val="single" w:sz="12" w:space="0" w:color="000000"/>
            </w:tcBorders>
          </w:tcPr>
          <w:p>
            <w:pPr/>
          </w:p>
        </w:tc>
      </w:tr>
      <w:tr>
        <w:trPr>
          <w:trHeight w:val="163" w:hRule="exact"/>
        </w:trPr>
        <w:tc>
          <w:tcPr>
            <w:tcW w:w="1270"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18" w:type="dxa"/>
            <w:vMerge/>
            <w:tcBorders>
              <w:left w:val="single" w:sz="8" w:space="0" w:color="D2D2D2"/>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389" w:type="dxa"/>
            <w:vMerge/>
            <w:tcBorders>
              <w:left w:val="single" w:sz="6" w:space="0" w:color="000000"/>
              <w:bottom w:val="single" w:sz="6" w:space="0" w:color="000000"/>
              <w:right w:val="single" w:sz="6" w:space="0" w:color="000000"/>
            </w:tcBorders>
          </w:tcPr>
          <w:p>
            <w:pPr/>
          </w:p>
        </w:tc>
        <w:tc>
          <w:tcPr>
            <w:tcW w:w="739"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2480" w:type="dxa"/>
            <w:vMerge/>
            <w:tcBorders>
              <w:left w:val="single" w:sz="6" w:space="0" w:color="000000"/>
              <w:bottom w:val="single" w:sz="6" w:space="0" w:color="000000"/>
              <w:right w:val="single" w:sz="12" w:space="0" w:color="000000"/>
            </w:tcBorders>
          </w:tcPr>
          <w:p>
            <w:pPr/>
          </w:p>
        </w:tc>
      </w:tr>
      <w:tr>
        <w:trPr>
          <w:trHeight w:val="475" w:hRule="exact"/>
        </w:trPr>
        <w:tc>
          <w:tcPr>
            <w:tcW w:w="1270" w:type="dxa"/>
            <w:tcBorders>
              <w:top w:val="single" w:sz="6" w:space="0" w:color="000000"/>
              <w:left w:val="single" w:sz="12" w:space="0" w:color="000000"/>
              <w:bottom w:val="nil" w:sz="6" w:space="0" w:color="auto"/>
              <w:right w:val="single" w:sz="6" w:space="0" w:color="000000"/>
            </w:tcBorders>
            <w:shd w:val="clear" w:color="auto" w:fill="D2D2D2"/>
          </w:tcPr>
          <w:p>
            <w:pPr/>
          </w:p>
        </w:tc>
        <w:tc>
          <w:tcPr>
            <w:tcW w:w="1418" w:type="dxa"/>
            <w:vMerge w:val="restart"/>
            <w:tcBorders>
              <w:top w:val="single" w:sz="6" w:space="0" w:color="000000"/>
              <w:left w:val="single" w:sz="8"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0" w:right="0"/>
              <w:jc w:val="left"/>
              <w:rPr>
                <w:rFonts w:ascii="宋体" w:hAnsi="宋体" w:cs="宋体" w:eastAsia="宋体" w:hint="default"/>
                <w:sz w:val="18"/>
                <w:szCs w:val="18"/>
              </w:rPr>
            </w:pPr>
            <w:r>
              <w:rPr>
                <w:rFonts w:ascii="宋体"/>
                <w:sz w:val="18"/>
              </w:rPr>
              <w:t>84,813,968.80</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1" w:right="0"/>
              <w:jc w:val="left"/>
              <w:rPr>
                <w:rFonts w:ascii="宋体" w:hAnsi="宋体" w:cs="宋体" w:eastAsia="宋体" w:hint="default"/>
                <w:sz w:val="18"/>
                <w:szCs w:val="18"/>
              </w:rPr>
            </w:pPr>
            <w:r>
              <w:rPr>
                <w:rFonts w:ascii="宋体"/>
                <w:sz w:val="18"/>
              </w:rPr>
              <w:t>4.27%</w:t>
            </w:r>
          </w:p>
        </w:tc>
        <w:tc>
          <w:tcPr>
            <w:tcW w:w="138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sz w:val="18"/>
              </w:rPr>
              <w:t>66,691,475.21</w:t>
            </w:r>
          </w:p>
        </w:tc>
        <w:tc>
          <w:tcPr>
            <w:tcW w:w="73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3" w:right="0"/>
              <w:jc w:val="left"/>
              <w:rPr>
                <w:rFonts w:ascii="宋体" w:hAnsi="宋体" w:cs="宋体" w:eastAsia="宋体" w:hint="default"/>
                <w:sz w:val="18"/>
                <w:szCs w:val="18"/>
              </w:rPr>
            </w:pPr>
            <w:r>
              <w:rPr>
                <w:rFonts w:ascii="宋体"/>
                <w:sz w:val="18"/>
              </w:rPr>
              <w:t>7.17%</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-2.90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2480" w:type="dxa"/>
            <w:vMerge w:val="restart"/>
            <w:tcBorders>
              <w:top w:val="single" w:sz="6" w:space="0" w:color="000000"/>
              <w:left w:val="single" w:sz="6" w:space="0" w:color="000000"/>
              <w:right w:val="single" w:sz="12" w:space="0" w:color="000000"/>
            </w:tcBorders>
          </w:tcPr>
          <w:p>
            <w:pPr>
              <w:pStyle w:val="TableParagraph"/>
              <w:spacing w:line="319" w:lineRule="auto" w:before="51"/>
              <w:ind w:left="20" w:right="95"/>
              <w:jc w:val="both"/>
              <w:rPr>
                <w:rFonts w:ascii="宋体" w:hAnsi="宋体" w:cs="宋体" w:eastAsia="宋体" w:hint="default"/>
                <w:sz w:val="18"/>
                <w:szCs w:val="18"/>
              </w:rPr>
            </w:pPr>
            <w:r>
              <w:rPr>
                <w:rFonts w:ascii="宋体" w:hAnsi="宋体" w:cs="宋体" w:eastAsia="宋体" w:hint="default"/>
                <w:sz w:val="18"/>
                <w:szCs w:val="18"/>
              </w:rPr>
              <w:t>主要是本期新增合并控股子公 司索瑞电气的存货，且作为比 较基数的资产总额大幅增加， 致使占比下降。</w:t>
            </w:r>
          </w:p>
        </w:tc>
      </w:tr>
      <w:tr>
        <w:trPr>
          <w:trHeight w:val="392" w:hRule="exact"/>
        </w:trPr>
        <w:tc>
          <w:tcPr>
            <w:tcW w:w="1270"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13"/>
              <w:jc w:val="center"/>
              <w:rPr>
                <w:rFonts w:ascii="宋体" w:hAnsi="宋体" w:cs="宋体" w:eastAsia="宋体" w:hint="default"/>
                <w:sz w:val="18"/>
                <w:szCs w:val="18"/>
              </w:rPr>
            </w:pPr>
            <w:r>
              <w:rPr>
                <w:rFonts w:ascii="宋体" w:hAnsi="宋体" w:cs="宋体" w:eastAsia="宋体" w:hint="default"/>
                <w:sz w:val="18"/>
                <w:szCs w:val="18"/>
              </w:rPr>
              <w:t>存货</w:t>
            </w:r>
          </w:p>
        </w:tc>
        <w:tc>
          <w:tcPr>
            <w:tcW w:w="1418" w:type="dxa"/>
            <w:vMerge/>
            <w:tcBorders>
              <w:left w:val="single" w:sz="8" w:space="0" w:color="D2D2D2"/>
              <w:right w:val="single" w:sz="6" w:space="0" w:color="000000"/>
            </w:tcBorders>
          </w:tcPr>
          <w:p>
            <w:pPr/>
          </w:p>
        </w:tc>
        <w:tc>
          <w:tcPr>
            <w:tcW w:w="708" w:type="dxa"/>
            <w:vMerge/>
            <w:tcBorders>
              <w:left w:val="single" w:sz="6" w:space="0" w:color="000000"/>
              <w:right w:val="single" w:sz="6" w:space="0" w:color="000000"/>
            </w:tcBorders>
          </w:tcPr>
          <w:p>
            <w:pPr/>
          </w:p>
        </w:tc>
        <w:tc>
          <w:tcPr>
            <w:tcW w:w="1389" w:type="dxa"/>
            <w:vMerge/>
            <w:tcBorders>
              <w:left w:val="single" w:sz="6" w:space="0" w:color="000000"/>
              <w:right w:val="single" w:sz="6" w:space="0" w:color="000000"/>
            </w:tcBorders>
          </w:tcPr>
          <w:p>
            <w:pPr/>
          </w:p>
        </w:tc>
        <w:tc>
          <w:tcPr>
            <w:tcW w:w="739"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2480" w:type="dxa"/>
            <w:vMerge/>
            <w:tcBorders>
              <w:left w:val="single" w:sz="6" w:space="0" w:color="000000"/>
              <w:right w:val="single" w:sz="12" w:space="0" w:color="000000"/>
            </w:tcBorders>
          </w:tcPr>
          <w:p>
            <w:pPr/>
          </w:p>
        </w:tc>
      </w:tr>
      <w:tr>
        <w:trPr>
          <w:trHeight w:val="475" w:hRule="exact"/>
        </w:trPr>
        <w:tc>
          <w:tcPr>
            <w:tcW w:w="1270"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18" w:type="dxa"/>
            <w:vMerge/>
            <w:tcBorders>
              <w:left w:val="single" w:sz="8" w:space="0" w:color="D2D2D2"/>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389" w:type="dxa"/>
            <w:vMerge/>
            <w:tcBorders>
              <w:left w:val="single" w:sz="6" w:space="0" w:color="000000"/>
              <w:bottom w:val="single" w:sz="6" w:space="0" w:color="000000"/>
              <w:right w:val="single" w:sz="6" w:space="0" w:color="000000"/>
            </w:tcBorders>
          </w:tcPr>
          <w:p>
            <w:pPr/>
          </w:p>
        </w:tc>
        <w:tc>
          <w:tcPr>
            <w:tcW w:w="739"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2480" w:type="dxa"/>
            <w:vMerge/>
            <w:tcBorders>
              <w:left w:val="single" w:sz="6" w:space="0" w:color="000000"/>
              <w:bottom w:val="single" w:sz="6" w:space="0" w:color="000000"/>
              <w:right w:val="single" w:sz="12" w:space="0" w:color="000000"/>
            </w:tcBorders>
          </w:tcPr>
          <w:p>
            <w:pPr/>
          </w:p>
        </w:tc>
      </w:tr>
      <w:tr>
        <w:trPr>
          <w:trHeight w:val="477" w:hRule="exact"/>
        </w:trPr>
        <w:tc>
          <w:tcPr>
            <w:tcW w:w="1270" w:type="dxa"/>
            <w:tcBorders>
              <w:top w:val="single" w:sz="6" w:space="0" w:color="000000"/>
              <w:left w:val="single" w:sz="12" w:space="0" w:color="000000"/>
              <w:bottom w:val="nil" w:sz="6" w:space="0" w:color="auto"/>
              <w:right w:val="single" w:sz="6" w:space="0" w:color="000000"/>
            </w:tcBorders>
            <w:shd w:val="clear" w:color="auto" w:fill="D2D2D2"/>
          </w:tcPr>
          <w:p>
            <w:pPr/>
          </w:p>
        </w:tc>
        <w:tc>
          <w:tcPr>
            <w:tcW w:w="1418" w:type="dxa"/>
            <w:vMerge w:val="restart"/>
            <w:tcBorders>
              <w:top w:val="single" w:sz="6" w:space="0" w:color="000000"/>
              <w:left w:val="single" w:sz="8"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10" w:right="0"/>
              <w:jc w:val="left"/>
              <w:rPr>
                <w:rFonts w:ascii="宋体" w:hAnsi="宋体" w:cs="宋体" w:eastAsia="宋体" w:hint="default"/>
                <w:sz w:val="18"/>
                <w:szCs w:val="18"/>
              </w:rPr>
            </w:pPr>
            <w:r>
              <w:rPr>
                <w:rFonts w:ascii="宋体"/>
                <w:sz w:val="18"/>
              </w:rPr>
              <w:t>11,069,385.27</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1" w:right="0"/>
              <w:jc w:val="left"/>
              <w:rPr>
                <w:rFonts w:ascii="宋体" w:hAnsi="宋体" w:cs="宋体" w:eastAsia="宋体" w:hint="default"/>
                <w:sz w:val="18"/>
                <w:szCs w:val="18"/>
              </w:rPr>
            </w:pPr>
            <w:r>
              <w:rPr>
                <w:rFonts w:ascii="宋体"/>
                <w:sz w:val="18"/>
              </w:rPr>
              <w:t>0.56%</w:t>
            </w:r>
          </w:p>
        </w:tc>
        <w:tc>
          <w:tcPr>
            <w:tcW w:w="138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2" w:right="0"/>
              <w:jc w:val="left"/>
              <w:rPr>
                <w:rFonts w:ascii="宋体" w:hAnsi="宋体" w:cs="宋体" w:eastAsia="宋体" w:hint="default"/>
                <w:sz w:val="18"/>
                <w:szCs w:val="18"/>
              </w:rPr>
            </w:pPr>
            <w:r>
              <w:rPr>
                <w:rFonts w:ascii="宋体"/>
                <w:sz w:val="18"/>
              </w:rPr>
              <w:t>9,762,489.22</w:t>
            </w:r>
          </w:p>
        </w:tc>
        <w:tc>
          <w:tcPr>
            <w:tcW w:w="73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53" w:right="0"/>
              <w:jc w:val="left"/>
              <w:rPr>
                <w:rFonts w:ascii="宋体" w:hAnsi="宋体" w:cs="宋体" w:eastAsia="宋体" w:hint="default"/>
                <w:sz w:val="18"/>
                <w:szCs w:val="18"/>
              </w:rPr>
            </w:pPr>
            <w:r>
              <w:rPr>
                <w:rFonts w:ascii="宋体"/>
                <w:sz w:val="18"/>
              </w:rPr>
              <w:t>1.05%</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-0.49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2480" w:type="dxa"/>
            <w:vMerge w:val="restart"/>
            <w:tcBorders>
              <w:top w:val="single" w:sz="6" w:space="0" w:color="000000"/>
              <w:left w:val="single" w:sz="6" w:space="0" w:color="000000"/>
              <w:right w:val="single" w:sz="12" w:space="0" w:color="000000"/>
            </w:tcBorders>
          </w:tcPr>
          <w:p>
            <w:pPr>
              <w:pStyle w:val="TableParagraph"/>
              <w:spacing w:line="316" w:lineRule="auto" w:before="53"/>
              <w:ind w:left="20" w:right="95"/>
              <w:jc w:val="both"/>
              <w:rPr>
                <w:rFonts w:ascii="宋体" w:hAnsi="宋体" w:cs="宋体" w:eastAsia="宋体" w:hint="default"/>
                <w:sz w:val="18"/>
                <w:szCs w:val="18"/>
              </w:rPr>
            </w:pPr>
            <w:r>
              <w:rPr>
                <w:rFonts w:ascii="宋体" w:hAnsi="宋体" w:cs="宋体" w:eastAsia="宋体" w:hint="default"/>
                <w:sz w:val="18"/>
                <w:szCs w:val="18"/>
              </w:rPr>
              <w:t>主要是本期新增合并控股子公 司索瑞电气的投资性房地产， 且作为比较基数的资产总额大 幅增加，致使占比下降。</w:t>
            </w:r>
          </w:p>
        </w:tc>
      </w:tr>
      <w:tr>
        <w:trPr>
          <w:trHeight w:val="391" w:hRule="exact"/>
        </w:trPr>
        <w:tc>
          <w:tcPr>
            <w:tcW w:w="1270"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13"/>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418" w:type="dxa"/>
            <w:vMerge/>
            <w:tcBorders>
              <w:left w:val="single" w:sz="8" w:space="0" w:color="D2D2D2"/>
              <w:right w:val="single" w:sz="6" w:space="0" w:color="000000"/>
            </w:tcBorders>
          </w:tcPr>
          <w:p>
            <w:pPr/>
          </w:p>
        </w:tc>
        <w:tc>
          <w:tcPr>
            <w:tcW w:w="708" w:type="dxa"/>
            <w:vMerge/>
            <w:tcBorders>
              <w:left w:val="single" w:sz="6" w:space="0" w:color="000000"/>
              <w:right w:val="single" w:sz="6" w:space="0" w:color="000000"/>
            </w:tcBorders>
          </w:tcPr>
          <w:p>
            <w:pPr/>
          </w:p>
        </w:tc>
        <w:tc>
          <w:tcPr>
            <w:tcW w:w="1389" w:type="dxa"/>
            <w:vMerge/>
            <w:tcBorders>
              <w:left w:val="single" w:sz="6" w:space="0" w:color="000000"/>
              <w:right w:val="single" w:sz="6" w:space="0" w:color="000000"/>
            </w:tcBorders>
          </w:tcPr>
          <w:p>
            <w:pPr/>
          </w:p>
        </w:tc>
        <w:tc>
          <w:tcPr>
            <w:tcW w:w="739"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2480" w:type="dxa"/>
            <w:vMerge/>
            <w:tcBorders>
              <w:left w:val="single" w:sz="6" w:space="0" w:color="000000"/>
              <w:right w:val="single" w:sz="12" w:space="0" w:color="000000"/>
            </w:tcBorders>
          </w:tcPr>
          <w:p>
            <w:pPr/>
          </w:p>
        </w:tc>
      </w:tr>
      <w:tr>
        <w:trPr>
          <w:trHeight w:val="475" w:hRule="exact"/>
        </w:trPr>
        <w:tc>
          <w:tcPr>
            <w:tcW w:w="1270"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18" w:type="dxa"/>
            <w:vMerge/>
            <w:tcBorders>
              <w:left w:val="single" w:sz="8" w:space="0" w:color="D2D2D2"/>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389" w:type="dxa"/>
            <w:vMerge/>
            <w:tcBorders>
              <w:left w:val="single" w:sz="6" w:space="0" w:color="000000"/>
              <w:bottom w:val="single" w:sz="6" w:space="0" w:color="000000"/>
              <w:right w:val="single" w:sz="6" w:space="0" w:color="000000"/>
            </w:tcBorders>
          </w:tcPr>
          <w:p>
            <w:pPr/>
          </w:p>
        </w:tc>
        <w:tc>
          <w:tcPr>
            <w:tcW w:w="739"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2480" w:type="dxa"/>
            <w:vMerge/>
            <w:tcBorders>
              <w:left w:val="single" w:sz="6" w:space="0" w:color="000000"/>
              <w:bottom w:val="single" w:sz="6" w:space="0" w:color="000000"/>
              <w:right w:val="single" w:sz="12" w:space="0" w:color="000000"/>
            </w:tcBorders>
          </w:tcPr>
          <w:p>
            <w:pPr/>
          </w:p>
        </w:tc>
      </w:tr>
      <w:tr>
        <w:trPr>
          <w:trHeight w:val="476" w:hRule="exact"/>
        </w:trPr>
        <w:tc>
          <w:tcPr>
            <w:tcW w:w="1270" w:type="dxa"/>
            <w:tcBorders>
              <w:top w:val="single" w:sz="6" w:space="0" w:color="000000"/>
              <w:left w:val="single" w:sz="12" w:space="0" w:color="000000"/>
              <w:bottom w:val="nil" w:sz="6" w:space="0" w:color="auto"/>
              <w:right w:val="single" w:sz="6" w:space="0" w:color="000000"/>
            </w:tcBorders>
            <w:shd w:val="clear" w:color="auto" w:fill="D2D2D2"/>
          </w:tcPr>
          <w:p>
            <w:pPr/>
          </w:p>
        </w:tc>
        <w:tc>
          <w:tcPr>
            <w:tcW w:w="1418" w:type="dxa"/>
            <w:vMerge w:val="restart"/>
            <w:tcBorders>
              <w:top w:val="single" w:sz="6" w:space="0" w:color="000000"/>
              <w:left w:val="single" w:sz="8"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20" w:right="0"/>
              <w:jc w:val="left"/>
              <w:rPr>
                <w:rFonts w:ascii="宋体" w:hAnsi="宋体" w:cs="宋体" w:eastAsia="宋体" w:hint="default"/>
                <w:sz w:val="18"/>
                <w:szCs w:val="18"/>
              </w:rPr>
            </w:pPr>
            <w:r>
              <w:rPr>
                <w:rFonts w:ascii="宋体"/>
                <w:sz w:val="18"/>
              </w:rPr>
              <w:t>138,314,060.18</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1" w:right="0"/>
              <w:jc w:val="left"/>
              <w:rPr>
                <w:rFonts w:ascii="宋体" w:hAnsi="宋体" w:cs="宋体" w:eastAsia="宋体" w:hint="default"/>
                <w:sz w:val="18"/>
                <w:szCs w:val="18"/>
              </w:rPr>
            </w:pPr>
            <w:r>
              <w:rPr>
                <w:rFonts w:ascii="宋体"/>
                <w:sz w:val="18"/>
              </w:rPr>
              <w:t>6.96%</w:t>
            </w:r>
          </w:p>
        </w:tc>
        <w:tc>
          <w:tcPr>
            <w:tcW w:w="138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sz w:val="18"/>
              </w:rPr>
              <w:t>114,210,568.72</w:t>
            </w:r>
          </w:p>
        </w:tc>
        <w:tc>
          <w:tcPr>
            <w:tcW w:w="73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sz w:val="18"/>
              </w:rPr>
              <w:t>12.27%</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-5.31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2480" w:type="dxa"/>
            <w:vMerge w:val="restart"/>
            <w:tcBorders>
              <w:top w:val="single" w:sz="6" w:space="0" w:color="000000"/>
              <w:left w:val="single" w:sz="6" w:space="0" w:color="000000"/>
              <w:right w:val="single" w:sz="12" w:space="0" w:color="000000"/>
            </w:tcBorders>
          </w:tcPr>
          <w:p>
            <w:pPr>
              <w:pStyle w:val="TableParagraph"/>
              <w:spacing w:line="316" w:lineRule="auto" w:before="52"/>
              <w:ind w:left="20" w:right="95"/>
              <w:jc w:val="both"/>
              <w:rPr>
                <w:rFonts w:ascii="宋体" w:hAnsi="宋体" w:cs="宋体" w:eastAsia="宋体" w:hint="default"/>
                <w:sz w:val="18"/>
                <w:szCs w:val="18"/>
              </w:rPr>
            </w:pPr>
            <w:r>
              <w:rPr>
                <w:rFonts w:ascii="宋体" w:hAnsi="宋体" w:cs="宋体" w:eastAsia="宋体" w:hint="default"/>
                <w:sz w:val="18"/>
                <w:szCs w:val="18"/>
              </w:rPr>
              <w:t>主要是本期新增合并控股子公 司索瑞电气的固定资产，且作 为比较基数的资产总额大幅增 加，致使占比下降。</w:t>
            </w:r>
          </w:p>
        </w:tc>
      </w:tr>
      <w:tr>
        <w:trPr>
          <w:trHeight w:val="391" w:hRule="exact"/>
        </w:trPr>
        <w:tc>
          <w:tcPr>
            <w:tcW w:w="1270"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13"/>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418" w:type="dxa"/>
            <w:vMerge/>
            <w:tcBorders>
              <w:left w:val="single" w:sz="8" w:space="0" w:color="D2D2D2"/>
              <w:right w:val="single" w:sz="6" w:space="0" w:color="000000"/>
            </w:tcBorders>
          </w:tcPr>
          <w:p>
            <w:pPr/>
          </w:p>
        </w:tc>
        <w:tc>
          <w:tcPr>
            <w:tcW w:w="708" w:type="dxa"/>
            <w:vMerge/>
            <w:tcBorders>
              <w:left w:val="single" w:sz="6" w:space="0" w:color="000000"/>
              <w:right w:val="single" w:sz="6" w:space="0" w:color="000000"/>
            </w:tcBorders>
          </w:tcPr>
          <w:p>
            <w:pPr/>
          </w:p>
        </w:tc>
        <w:tc>
          <w:tcPr>
            <w:tcW w:w="1389" w:type="dxa"/>
            <w:vMerge/>
            <w:tcBorders>
              <w:left w:val="single" w:sz="6" w:space="0" w:color="000000"/>
              <w:right w:val="single" w:sz="6" w:space="0" w:color="000000"/>
            </w:tcBorders>
          </w:tcPr>
          <w:p>
            <w:pPr/>
          </w:p>
        </w:tc>
        <w:tc>
          <w:tcPr>
            <w:tcW w:w="739"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2480" w:type="dxa"/>
            <w:vMerge/>
            <w:tcBorders>
              <w:left w:val="single" w:sz="6" w:space="0" w:color="000000"/>
              <w:right w:val="single" w:sz="12" w:space="0" w:color="000000"/>
            </w:tcBorders>
          </w:tcPr>
          <w:p>
            <w:pPr/>
          </w:p>
        </w:tc>
      </w:tr>
      <w:tr>
        <w:trPr>
          <w:trHeight w:val="475" w:hRule="exact"/>
        </w:trPr>
        <w:tc>
          <w:tcPr>
            <w:tcW w:w="1270" w:type="dxa"/>
            <w:tcBorders>
              <w:top w:val="nil" w:sz="6" w:space="0" w:color="auto"/>
              <w:left w:val="single" w:sz="12" w:space="0" w:color="000000"/>
              <w:bottom w:val="single" w:sz="6" w:space="0" w:color="000000"/>
              <w:right w:val="single" w:sz="6" w:space="0" w:color="000000"/>
            </w:tcBorders>
            <w:shd w:val="clear" w:color="auto" w:fill="D2D2D2"/>
          </w:tcPr>
          <w:p>
            <w:pPr/>
          </w:p>
        </w:tc>
        <w:tc>
          <w:tcPr>
            <w:tcW w:w="1418" w:type="dxa"/>
            <w:vMerge/>
            <w:tcBorders>
              <w:left w:val="single" w:sz="8" w:space="0" w:color="D2D2D2"/>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389" w:type="dxa"/>
            <w:vMerge/>
            <w:tcBorders>
              <w:left w:val="single" w:sz="6" w:space="0" w:color="000000"/>
              <w:bottom w:val="single" w:sz="6" w:space="0" w:color="000000"/>
              <w:right w:val="single" w:sz="6" w:space="0" w:color="000000"/>
            </w:tcBorders>
          </w:tcPr>
          <w:p>
            <w:pPr/>
          </w:p>
        </w:tc>
        <w:tc>
          <w:tcPr>
            <w:tcW w:w="739"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2480" w:type="dxa"/>
            <w:vMerge/>
            <w:tcBorders>
              <w:left w:val="single" w:sz="6" w:space="0" w:color="000000"/>
              <w:bottom w:val="single" w:sz="6" w:space="0" w:color="000000"/>
              <w:right w:val="single" w:sz="12" w:space="0" w:color="000000"/>
            </w:tcBorders>
          </w:tcPr>
          <w:p>
            <w:pPr/>
          </w:p>
        </w:tc>
      </w:tr>
      <w:tr>
        <w:trPr>
          <w:trHeight w:val="476" w:hRule="exact"/>
        </w:trPr>
        <w:tc>
          <w:tcPr>
            <w:tcW w:w="1270" w:type="dxa"/>
            <w:tcBorders>
              <w:top w:val="single" w:sz="6" w:space="0" w:color="000000"/>
              <w:left w:val="single" w:sz="12" w:space="0" w:color="000000"/>
              <w:bottom w:val="nil" w:sz="6" w:space="0" w:color="auto"/>
              <w:right w:val="single" w:sz="6" w:space="0" w:color="000000"/>
            </w:tcBorders>
            <w:shd w:val="clear" w:color="auto" w:fill="D2D2D2"/>
          </w:tcPr>
          <w:p>
            <w:pPr/>
          </w:p>
        </w:tc>
        <w:tc>
          <w:tcPr>
            <w:tcW w:w="1418" w:type="dxa"/>
            <w:vMerge w:val="restart"/>
            <w:tcBorders>
              <w:top w:val="single" w:sz="6" w:space="0" w:color="000000"/>
              <w:left w:val="single" w:sz="8"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20" w:right="0"/>
              <w:jc w:val="left"/>
              <w:rPr>
                <w:rFonts w:ascii="宋体" w:hAnsi="宋体" w:cs="宋体" w:eastAsia="宋体" w:hint="default"/>
                <w:sz w:val="18"/>
                <w:szCs w:val="18"/>
              </w:rPr>
            </w:pPr>
            <w:r>
              <w:rPr>
                <w:rFonts w:ascii="宋体"/>
                <w:sz w:val="18"/>
              </w:rPr>
              <w:t>160,258,437.13</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1" w:right="0"/>
              <w:jc w:val="left"/>
              <w:rPr>
                <w:rFonts w:ascii="宋体" w:hAnsi="宋体" w:cs="宋体" w:eastAsia="宋体" w:hint="default"/>
                <w:sz w:val="18"/>
                <w:szCs w:val="18"/>
              </w:rPr>
            </w:pPr>
            <w:r>
              <w:rPr>
                <w:rFonts w:ascii="宋体"/>
                <w:sz w:val="18"/>
              </w:rPr>
              <w:t>8.06%</w:t>
            </w:r>
          </w:p>
        </w:tc>
        <w:tc>
          <w:tcPr>
            <w:tcW w:w="138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sz w:val="18"/>
              </w:rPr>
              <w:t>49,943,662.52</w:t>
            </w:r>
          </w:p>
        </w:tc>
        <w:tc>
          <w:tcPr>
            <w:tcW w:w="73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3" w:right="0"/>
              <w:jc w:val="left"/>
              <w:rPr>
                <w:rFonts w:ascii="宋体" w:hAnsi="宋体" w:cs="宋体" w:eastAsia="宋体" w:hint="default"/>
                <w:sz w:val="18"/>
                <w:szCs w:val="18"/>
              </w:rPr>
            </w:pPr>
            <w:r>
              <w:rPr>
                <w:rFonts w:ascii="宋体"/>
                <w:sz w:val="18"/>
              </w:rPr>
              <w:t>5.37%</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2.69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2480" w:type="dxa"/>
            <w:vMerge w:val="restart"/>
            <w:tcBorders>
              <w:top w:val="single" w:sz="6" w:space="0" w:color="000000"/>
              <w:left w:val="single" w:sz="6" w:space="0" w:color="000000"/>
              <w:right w:val="single" w:sz="12" w:space="0" w:color="000000"/>
            </w:tcBorders>
          </w:tcPr>
          <w:p>
            <w:pPr>
              <w:pStyle w:val="TableParagraph"/>
              <w:spacing w:line="316" w:lineRule="auto" w:before="52"/>
              <w:ind w:left="20" w:right="95"/>
              <w:jc w:val="both"/>
              <w:rPr>
                <w:rFonts w:ascii="宋体" w:hAnsi="宋体" w:cs="宋体" w:eastAsia="宋体" w:hint="default"/>
                <w:sz w:val="18"/>
                <w:szCs w:val="18"/>
              </w:rPr>
            </w:pPr>
            <w:r>
              <w:rPr>
                <w:rFonts w:ascii="宋体" w:hAnsi="宋体" w:cs="宋体" w:eastAsia="宋体" w:hint="default"/>
                <w:sz w:val="18"/>
                <w:szCs w:val="18"/>
              </w:rPr>
              <w:t>主要是公司本体基建项目持续 投入，同时新增合并控股子公 司索瑞电气的在建工程，期末 余额大幅增加。</w:t>
            </w:r>
          </w:p>
        </w:tc>
      </w:tr>
      <w:tr>
        <w:trPr>
          <w:trHeight w:val="392" w:hRule="exact"/>
        </w:trPr>
        <w:tc>
          <w:tcPr>
            <w:tcW w:w="1270"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13"/>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418" w:type="dxa"/>
            <w:vMerge/>
            <w:tcBorders>
              <w:left w:val="single" w:sz="8" w:space="0" w:color="D2D2D2"/>
              <w:right w:val="single" w:sz="6" w:space="0" w:color="000000"/>
            </w:tcBorders>
          </w:tcPr>
          <w:p>
            <w:pPr/>
          </w:p>
        </w:tc>
        <w:tc>
          <w:tcPr>
            <w:tcW w:w="708" w:type="dxa"/>
            <w:vMerge/>
            <w:tcBorders>
              <w:left w:val="single" w:sz="6" w:space="0" w:color="000000"/>
              <w:right w:val="single" w:sz="6" w:space="0" w:color="000000"/>
            </w:tcBorders>
          </w:tcPr>
          <w:p>
            <w:pPr/>
          </w:p>
        </w:tc>
        <w:tc>
          <w:tcPr>
            <w:tcW w:w="1389" w:type="dxa"/>
            <w:vMerge/>
            <w:tcBorders>
              <w:left w:val="single" w:sz="6" w:space="0" w:color="000000"/>
              <w:right w:val="single" w:sz="6" w:space="0" w:color="000000"/>
            </w:tcBorders>
          </w:tcPr>
          <w:p>
            <w:pPr/>
          </w:p>
        </w:tc>
        <w:tc>
          <w:tcPr>
            <w:tcW w:w="739"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2480" w:type="dxa"/>
            <w:vMerge/>
            <w:tcBorders>
              <w:left w:val="single" w:sz="6" w:space="0" w:color="000000"/>
              <w:right w:val="single" w:sz="12" w:space="0" w:color="000000"/>
            </w:tcBorders>
          </w:tcPr>
          <w:p>
            <w:pPr/>
          </w:p>
        </w:tc>
      </w:tr>
      <w:tr>
        <w:trPr>
          <w:trHeight w:val="483" w:hRule="exact"/>
        </w:trPr>
        <w:tc>
          <w:tcPr>
            <w:tcW w:w="1270" w:type="dxa"/>
            <w:tcBorders>
              <w:top w:val="nil" w:sz="6" w:space="0" w:color="auto"/>
              <w:left w:val="single" w:sz="12" w:space="0" w:color="000000"/>
              <w:bottom w:val="single" w:sz="12" w:space="0" w:color="000000"/>
              <w:right w:val="single" w:sz="6" w:space="0" w:color="000000"/>
            </w:tcBorders>
            <w:shd w:val="clear" w:color="auto" w:fill="D2D2D2"/>
          </w:tcPr>
          <w:p>
            <w:pPr/>
          </w:p>
        </w:tc>
        <w:tc>
          <w:tcPr>
            <w:tcW w:w="1418" w:type="dxa"/>
            <w:vMerge/>
            <w:tcBorders>
              <w:left w:val="single" w:sz="8" w:space="0" w:color="D2D2D2"/>
              <w:bottom w:val="single" w:sz="12" w:space="0" w:color="000000"/>
              <w:right w:val="single" w:sz="6" w:space="0" w:color="000000"/>
            </w:tcBorders>
          </w:tcPr>
          <w:p>
            <w:pPr/>
          </w:p>
        </w:tc>
        <w:tc>
          <w:tcPr>
            <w:tcW w:w="708" w:type="dxa"/>
            <w:vMerge/>
            <w:tcBorders>
              <w:left w:val="single" w:sz="6" w:space="0" w:color="000000"/>
              <w:bottom w:val="single" w:sz="12" w:space="0" w:color="000000"/>
              <w:right w:val="single" w:sz="6" w:space="0" w:color="000000"/>
            </w:tcBorders>
          </w:tcPr>
          <w:p>
            <w:pPr/>
          </w:p>
        </w:tc>
        <w:tc>
          <w:tcPr>
            <w:tcW w:w="1389" w:type="dxa"/>
            <w:vMerge/>
            <w:tcBorders>
              <w:left w:val="single" w:sz="6" w:space="0" w:color="000000"/>
              <w:bottom w:val="single" w:sz="12" w:space="0" w:color="000000"/>
              <w:right w:val="single" w:sz="6" w:space="0" w:color="000000"/>
            </w:tcBorders>
          </w:tcPr>
          <w:p>
            <w:pPr/>
          </w:p>
        </w:tc>
        <w:tc>
          <w:tcPr>
            <w:tcW w:w="739" w:type="dxa"/>
            <w:vMerge/>
            <w:tcBorders>
              <w:left w:val="single" w:sz="6" w:space="0" w:color="000000"/>
              <w:bottom w:val="single" w:sz="12" w:space="0" w:color="000000"/>
              <w:right w:val="single" w:sz="6" w:space="0" w:color="000000"/>
            </w:tcBorders>
          </w:tcPr>
          <w:p>
            <w:pPr/>
          </w:p>
        </w:tc>
        <w:tc>
          <w:tcPr>
            <w:tcW w:w="1559" w:type="dxa"/>
            <w:vMerge/>
            <w:tcBorders>
              <w:left w:val="single" w:sz="6" w:space="0" w:color="000000"/>
              <w:bottom w:val="single" w:sz="12" w:space="0" w:color="000000"/>
              <w:right w:val="single" w:sz="6" w:space="0" w:color="000000"/>
            </w:tcBorders>
          </w:tcPr>
          <w:p>
            <w:pPr/>
          </w:p>
        </w:tc>
        <w:tc>
          <w:tcPr>
            <w:tcW w:w="2480" w:type="dxa"/>
            <w:vMerge/>
            <w:tcBorders>
              <w:left w:val="single" w:sz="6"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154" w:right="0"/>
        <w:jc w:val="left"/>
      </w:pPr>
      <w:r>
        <w:rPr>
          <w:rFonts w:ascii="宋体" w:hAnsi="宋体" w:cs="宋体" w:eastAsia="宋体" w:hint="default"/>
        </w:rPr>
        <w:t>2</w:t>
      </w:r>
      <w:r>
        <w:rPr/>
        <w:t>）负债项目重大变动情况</w:t>
      </w:r>
    </w:p>
    <w:p>
      <w:pPr>
        <w:spacing w:line="240" w:lineRule="auto" w:before="5"/>
        <w:rPr>
          <w:rFonts w:ascii="宋体" w:hAnsi="宋体" w:cs="宋体" w:eastAsia="宋体" w:hint="default"/>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362"/>
        <w:gridCol w:w="1326"/>
        <w:gridCol w:w="698"/>
        <w:gridCol w:w="1399"/>
        <w:gridCol w:w="728"/>
        <w:gridCol w:w="1570"/>
        <w:gridCol w:w="2480"/>
      </w:tblGrid>
      <w:tr>
        <w:trPr>
          <w:trHeight w:val="399" w:hRule="exact"/>
        </w:trPr>
        <w:tc>
          <w:tcPr>
            <w:tcW w:w="136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2024"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27"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70" w:type="dxa"/>
            <w:tcBorders>
              <w:top w:val="single" w:sz="12" w:space="0" w:color="000000"/>
              <w:left w:val="single" w:sz="6" w:space="0" w:color="000000"/>
              <w:bottom w:val="nil" w:sz="6" w:space="0" w:color="auto"/>
              <w:right w:val="single" w:sz="6" w:space="0" w:color="000000"/>
            </w:tcBorders>
            <w:shd w:val="clear" w:color="auto" w:fill="D2D2D2"/>
          </w:tcPr>
          <w:p>
            <w:pPr/>
          </w:p>
        </w:tc>
        <w:tc>
          <w:tcPr>
            <w:tcW w:w="2480"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80" w:hRule="exact"/>
        </w:trPr>
        <w:tc>
          <w:tcPr>
            <w:tcW w:w="1362" w:type="dxa"/>
            <w:vMerge w:val="restart"/>
            <w:tcBorders>
              <w:top w:val="nil" w:sz="6" w:space="0" w:color="auto"/>
              <w:left w:val="single" w:sz="12" w:space="0" w:color="000000"/>
              <w:right w:val="single" w:sz="6" w:space="0" w:color="000000"/>
            </w:tcBorders>
            <w:shd w:val="clear" w:color="auto" w:fill="D2D2D2"/>
          </w:tcPr>
          <w:p>
            <w:pPr/>
          </w:p>
        </w:tc>
        <w:tc>
          <w:tcPr>
            <w:tcW w:w="1326" w:type="dxa"/>
            <w:tcBorders>
              <w:top w:val="single" w:sz="6" w:space="0" w:color="000000"/>
              <w:left w:val="single" w:sz="6" w:space="0" w:color="000000"/>
              <w:bottom w:val="nil" w:sz="6" w:space="0" w:color="auto"/>
              <w:right w:val="single" w:sz="6" w:space="0" w:color="000000"/>
            </w:tcBorders>
            <w:shd w:val="clear" w:color="auto" w:fill="D2D2D2"/>
          </w:tcPr>
          <w:p>
            <w:pPr/>
          </w:p>
        </w:tc>
        <w:tc>
          <w:tcPr>
            <w:tcW w:w="698"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68"/>
              <w:ind w:left="75" w:right="65"/>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399" w:type="dxa"/>
            <w:tcBorders>
              <w:top w:val="single" w:sz="6" w:space="0" w:color="000000"/>
              <w:left w:val="single" w:sz="6" w:space="0" w:color="000000"/>
              <w:bottom w:val="nil" w:sz="6" w:space="0" w:color="auto"/>
              <w:right w:val="single" w:sz="6" w:space="0" w:color="000000"/>
            </w:tcBorders>
            <w:shd w:val="clear" w:color="auto" w:fill="D2D2D2"/>
          </w:tcPr>
          <w:p>
            <w:pPr/>
          </w:p>
        </w:tc>
        <w:tc>
          <w:tcPr>
            <w:tcW w:w="728"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68"/>
              <w:ind w:left="91" w:right="80"/>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57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7"/>
              <w:ind w:left="42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480"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27"/>
              <w:ind w:left="69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9" w:hRule="exact"/>
        </w:trPr>
        <w:tc>
          <w:tcPr>
            <w:tcW w:w="1362" w:type="dxa"/>
            <w:vMerge/>
            <w:tcBorders>
              <w:left w:val="single" w:sz="12" w:space="0" w:color="000000"/>
              <w:bottom w:val="nil" w:sz="6" w:space="0" w:color="auto"/>
              <w:right w:val="single" w:sz="6" w:space="0" w:color="000000"/>
            </w:tcBorders>
            <w:shd w:val="clear" w:color="auto" w:fill="D2D2D2"/>
          </w:tcPr>
          <w:p>
            <w:pPr/>
          </w:p>
        </w:tc>
        <w:tc>
          <w:tcPr>
            <w:tcW w:w="13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98" w:type="dxa"/>
            <w:vMerge/>
            <w:tcBorders>
              <w:left w:val="single" w:sz="6" w:space="0" w:color="000000"/>
              <w:right w:val="single" w:sz="6" w:space="0" w:color="000000"/>
            </w:tcBorders>
            <w:shd w:val="clear" w:color="auto" w:fill="D2D2D2"/>
          </w:tcPr>
          <w:p>
            <w:pPr/>
          </w:p>
        </w:tc>
        <w:tc>
          <w:tcPr>
            <w:tcW w:w="139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8" w:type="dxa"/>
            <w:vMerge/>
            <w:tcBorders>
              <w:left w:val="single" w:sz="6" w:space="0" w:color="000000"/>
              <w:right w:val="single" w:sz="6" w:space="0" w:color="000000"/>
            </w:tcBorders>
            <w:shd w:val="clear" w:color="auto" w:fill="D2D2D2"/>
          </w:tcPr>
          <w:p>
            <w:pPr/>
          </w:p>
        </w:tc>
        <w:tc>
          <w:tcPr>
            <w:tcW w:w="1570" w:type="dxa"/>
            <w:vMerge/>
            <w:tcBorders>
              <w:left w:val="single" w:sz="6" w:space="0" w:color="000000"/>
              <w:bottom w:val="nil" w:sz="6" w:space="0" w:color="auto"/>
              <w:right w:val="single" w:sz="6" w:space="0" w:color="000000"/>
            </w:tcBorders>
            <w:shd w:val="clear" w:color="auto" w:fill="D2D2D2"/>
          </w:tcPr>
          <w:p>
            <w:pPr/>
          </w:p>
        </w:tc>
        <w:tc>
          <w:tcPr>
            <w:tcW w:w="2480" w:type="dxa"/>
            <w:vMerge/>
            <w:tcBorders>
              <w:left w:val="single" w:sz="6" w:space="0" w:color="000000"/>
              <w:bottom w:val="nil" w:sz="6" w:space="0" w:color="auto"/>
              <w:right w:val="single" w:sz="12" w:space="0" w:color="000000"/>
            </w:tcBorders>
            <w:shd w:val="clear" w:color="auto" w:fill="D2D2D2"/>
          </w:tcPr>
          <w:p>
            <w:pPr/>
          </w:p>
        </w:tc>
      </w:tr>
      <w:tr>
        <w:trPr>
          <w:trHeight w:val="203" w:hRule="exact"/>
        </w:trPr>
        <w:tc>
          <w:tcPr>
            <w:tcW w:w="1362" w:type="dxa"/>
            <w:vMerge w:val="restart"/>
            <w:tcBorders>
              <w:top w:val="nil" w:sz="6" w:space="0" w:color="auto"/>
              <w:left w:val="single" w:sz="12" w:space="0" w:color="000000"/>
              <w:right w:val="single" w:sz="6" w:space="0" w:color="000000"/>
            </w:tcBorders>
            <w:shd w:val="clear" w:color="auto" w:fill="D2D2D2"/>
          </w:tcPr>
          <w:p>
            <w:pPr/>
          </w:p>
        </w:tc>
        <w:tc>
          <w:tcPr>
            <w:tcW w:w="1326" w:type="dxa"/>
            <w:vMerge/>
            <w:tcBorders>
              <w:left w:val="single" w:sz="6" w:space="0" w:color="000000"/>
              <w:bottom w:val="nil" w:sz="6" w:space="0" w:color="auto"/>
              <w:right w:val="single" w:sz="6" w:space="0" w:color="000000"/>
            </w:tcBorders>
            <w:shd w:val="clear" w:color="auto" w:fill="D2D2D2"/>
          </w:tcPr>
          <w:p>
            <w:pPr/>
          </w:p>
        </w:tc>
        <w:tc>
          <w:tcPr>
            <w:tcW w:w="698" w:type="dxa"/>
            <w:vMerge/>
            <w:tcBorders>
              <w:left w:val="single" w:sz="6" w:space="0" w:color="000000"/>
              <w:right w:val="single" w:sz="6" w:space="0" w:color="000000"/>
            </w:tcBorders>
            <w:shd w:val="clear" w:color="auto" w:fill="D2D2D2"/>
          </w:tcPr>
          <w:p>
            <w:pPr/>
          </w:p>
        </w:tc>
        <w:tc>
          <w:tcPr>
            <w:tcW w:w="1399" w:type="dxa"/>
            <w:vMerge/>
            <w:tcBorders>
              <w:left w:val="single" w:sz="6" w:space="0" w:color="000000"/>
              <w:bottom w:val="nil" w:sz="6" w:space="0" w:color="auto"/>
              <w:right w:val="single" w:sz="6" w:space="0" w:color="000000"/>
            </w:tcBorders>
            <w:shd w:val="clear" w:color="auto" w:fill="D2D2D2"/>
          </w:tcPr>
          <w:p>
            <w:pPr/>
          </w:p>
        </w:tc>
        <w:tc>
          <w:tcPr>
            <w:tcW w:w="728" w:type="dxa"/>
            <w:vMerge/>
            <w:tcBorders>
              <w:left w:val="single" w:sz="6" w:space="0" w:color="000000"/>
              <w:right w:val="single" w:sz="6" w:space="0" w:color="000000"/>
            </w:tcBorders>
            <w:shd w:val="clear" w:color="auto" w:fill="D2D2D2"/>
          </w:tcPr>
          <w:p>
            <w:pPr/>
          </w:p>
        </w:tc>
        <w:tc>
          <w:tcPr>
            <w:tcW w:w="1570" w:type="dxa"/>
            <w:vMerge w:val="restart"/>
            <w:tcBorders>
              <w:top w:val="nil" w:sz="6" w:space="0" w:color="auto"/>
              <w:left w:val="single" w:sz="6" w:space="0" w:color="000000"/>
              <w:right w:val="single" w:sz="6" w:space="0" w:color="000000"/>
            </w:tcBorders>
            <w:shd w:val="clear" w:color="auto" w:fill="D2D2D2"/>
          </w:tcPr>
          <w:p>
            <w:pPr/>
          </w:p>
        </w:tc>
        <w:tc>
          <w:tcPr>
            <w:tcW w:w="2480" w:type="dxa"/>
            <w:vMerge w:val="restart"/>
            <w:tcBorders>
              <w:top w:val="nil" w:sz="6" w:space="0" w:color="auto"/>
              <w:left w:val="single" w:sz="6" w:space="0" w:color="000000"/>
              <w:right w:val="single" w:sz="12" w:space="0" w:color="000000"/>
            </w:tcBorders>
            <w:shd w:val="clear" w:color="auto" w:fill="D2D2D2"/>
          </w:tcPr>
          <w:p>
            <w:pPr/>
          </w:p>
        </w:tc>
      </w:tr>
      <w:tr>
        <w:trPr>
          <w:trHeight w:val="163" w:hRule="exact"/>
        </w:trPr>
        <w:tc>
          <w:tcPr>
            <w:tcW w:w="1362" w:type="dxa"/>
            <w:vMerge/>
            <w:tcBorders>
              <w:left w:val="single" w:sz="12" w:space="0" w:color="000000"/>
              <w:bottom w:val="single" w:sz="6" w:space="0" w:color="000000"/>
              <w:right w:val="single" w:sz="6" w:space="0" w:color="000000"/>
            </w:tcBorders>
            <w:shd w:val="clear" w:color="auto" w:fill="D2D2D2"/>
          </w:tcPr>
          <w:p>
            <w:pPr/>
          </w:p>
        </w:tc>
        <w:tc>
          <w:tcPr>
            <w:tcW w:w="1326" w:type="dxa"/>
            <w:tcBorders>
              <w:top w:val="nil" w:sz="6" w:space="0" w:color="auto"/>
              <w:left w:val="single" w:sz="6" w:space="0" w:color="000000"/>
              <w:bottom w:val="single" w:sz="6" w:space="0" w:color="000000"/>
              <w:right w:val="single" w:sz="6" w:space="0" w:color="000000"/>
            </w:tcBorders>
            <w:shd w:val="clear" w:color="auto" w:fill="D2D2D2"/>
          </w:tcPr>
          <w:p>
            <w:pPr/>
          </w:p>
        </w:tc>
        <w:tc>
          <w:tcPr>
            <w:tcW w:w="698" w:type="dxa"/>
            <w:vMerge/>
            <w:tcBorders>
              <w:left w:val="single" w:sz="6" w:space="0" w:color="000000"/>
              <w:bottom w:val="single" w:sz="6" w:space="0" w:color="000000"/>
              <w:right w:val="single" w:sz="6" w:space="0" w:color="000000"/>
            </w:tcBorders>
            <w:shd w:val="clear" w:color="auto" w:fill="D2D2D2"/>
          </w:tcPr>
          <w:p>
            <w:pPr/>
          </w:p>
        </w:tc>
        <w:tc>
          <w:tcPr>
            <w:tcW w:w="1399" w:type="dxa"/>
            <w:tcBorders>
              <w:top w:val="nil" w:sz="6" w:space="0" w:color="auto"/>
              <w:left w:val="single" w:sz="6" w:space="0" w:color="000000"/>
              <w:bottom w:val="single" w:sz="6" w:space="0" w:color="000000"/>
              <w:right w:val="single" w:sz="6" w:space="0" w:color="000000"/>
            </w:tcBorders>
            <w:shd w:val="clear" w:color="auto" w:fill="D2D2D2"/>
          </w:tcPr>
          <w:p>
            <w:pPr/>
          </w:p>
        </w:tc>
        <w:tc>
          <w:tcPr>
            <w:tcW w:w="728" w:type="dxa"/>
            <w:vMerge/>
            <w:tcBorders>
              <w:left w:val="single" w:sz="6" w:space="0" w:color="000000"/>
              <w:bottom w:val="single" w:sz="6" w:space="0" w:color="000000"/>
              <w:right w:val="single" w:sz="6" w:space="0" w:color="000000"/>
            </w:tcBorders>
            <w:shd w:val="clear" w:color="auto" w:fill="D2D2D2"/>
          </w:tcPr>
          <w:p>
            <w:pPr/>
          </w:p>
        </w:tc>
        <w:tc>
          <w:tcPr>
            <w:tcW w:w="1570" w:type="dxa"/>
            <w:vMerge/>
            <w:tcBorders>
              <w:left w:val="single" w:sz="6" w:space="0" w:color="000000"/>
              <w:bottom w:val="single" w:sz="6" w:space="0" w:color="000000"/>
              <w:right w:val="single" w:sz="6" w:space="0" w:color="000000"/>
            </w:tcBorders>
            <w:shd w:val="clear" w:color="auto" w:fill="D2D2D2"/>
          </w:tcPr>
          <w:p>
            <w:pPr/>
          </w:p>
        </w:tc>
        <w:tc>
          <w:tcPr>
            <w:tcW w:w="2480" w:type="dxa"/>
            <w:vMerge/>
            <w:tcBorders>
              <w:left w:val="single" w:sz="6" w:space="0" w:color="000000"/>
              <w:bottom w:val="single" w:sz="6" w:space="0" w:color="000000"/>
              <w:right w:val="single" w:sz="12" w:space="0" w:color="000000"/>
            </w:tcBorders>
            <w:shd w:val="clear" w:color="auto" w:fill="D2D2D2"/>
          </w:tcPr>
          <w:p>
            <w:pPr/>
          </w:p>
        </w:tc>
      </w:tr>
      <w:tr>
        <w:trPr>
          <w:trHeight w:val="144" w:hRule="exact"/>
        </w:trPr>
        <w:tc>
          <w:tcPr>
            <w:tcW w:w="1362" w:type="dxa"/>
            <w:tcBorders>
              <w:top w:val="single" w:sz="6" w:space="0" w:color="000000"/>
              <w:left w:val="single" w:sz="12" w:space="0" w:color="000000"/>
              <w:bottom w:val="nil" w:sz="6" w:space="0" w:color="auto"/>
              <w:right w:val="single" w:sz="6" w:space="0" w:color="000000"/>
            </w:tcBorders>
            <w:shd w:val="clear" w:color="auto" w:fill="D2D2D2"/>
          </w:tcPr>
          <w:p>
            <w:pPr/>
          </w:p>
        </w:tc>
        <w:tc>
          <w:tcPr>
            <w:tcW w:w="1326" w:type="dxa"/>
            <w:vMerge w:val="restart"/>
            <w:tcBorders>
              <w:top w:val="single" w:sz="6" w:space="0" w:color="000000"/>
              <w:left w:val="single" w:sz="14" w:space="0" w:color="D2D2D2"/>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sz w:val="18"/>
              </w:rPr>
              <w:t>108,000,000.00</w:t>
            </w:r>
          </w:p>
        </w:tc>
        <w:tc>
          <w:tcPr>
            <w:tcW w:w="69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1" w:right="0"/>
              <w:jc w:val="left"/>
              <w:rPr>
                <w:rFonts w:ascii="宋体" w:hAnsi="宋体" w:cs="宋体" w:eastAsia="宋体" w:hint="default"/>
                <w:sz w:val="18"/>
                <w:szCs w:val="18"/>
              </w:rPr>
            </w:pPr>
            <w:r>
              <w:rPr>
                <w:rFonts w:ascii="宋体"/>
                <w:sz w:val="18"/>
              </w:rPr>
              <w:t>5.43%</w:t>
            </w:r>
          </w:p>
        </w:tc>
        <w:tc>
          <w:tcPr>
            <w:tcW w:w="1399"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18"/>
                <w:szCs w:val="18"/>
              </w:rPr>
            </w:pPr>
            <w:r>
              <w:rPr>
                <w:rFonts w:ascii="宋体"/>
                <w:sz w:val="18"/>
              </w:rPr>
              <w:t>78,500,000.00</w:t>
            </w:r>
          </w:p>
        </w:tc>
        <w:tc>
          <w:tcPr>
            <w:tcW w:w="72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53" w:right="0"/>
              <w:jc w:val="left"/>
              <w:rPr>
                <w:rFonts w:ascii="宋体" w:hAnsi="宋体" w:cs="宋体" w:eastAsia="宋体" w:hint="default"/>
                <w:sz w:val="18"/>
                <w:szCs w:val="18"/>
              </w:rPr>
            </w:pPr>
            <w:r>
              <w:rPr>
                <w:rFonts w:ascii="宋体"/>
                <w:sz w:val="18"/>
              </w:rPr>
              <w:t>8.44%</w:t>
            </w:r>
          </w:p>
        </w:tc>
        <w:tc>
          <w:tcPr>
            <w:tcW w:w="157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-3.01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2480" w:type="dxa"/>
            <w:vMerge w:val="restart"/>
            <w:tcBorders>
              <w:top w:val="single" w:sz="6" w:space="0" w:color="000000"/>
              <w:left w:val="single" w:sz="6" w:space="0" w:color="000000"/>
              <w:right w:val="single" w:sz="12" w:space="0" w:color="000000"/>
            </w:tcBorders>
          </w:tcPr>
          <w:p>
            <w:pPr>
              <w:pStyle w:val="TableParagraph"/>
              <w:spacing w:line="316" w:lineRule="auto" w:before="52"/>
              <w:ind w:left="20" w:right="95"/>
              <w:jc w:val="left"/>
              <w:rPr>
                <w:rFonts w:ascii="宋体" w:hAnsi="宋体" w:cs="宋体" w:eastAsia="宋体" w:hint="default"/>
                <w:sz w:val="18"/>
                <w:szCs w:val="18"/>
              </w:rPr>
            </w:pPr>
            <w:r>
              <w:rPr>
                <w:rFonts w:ascii="宋体" w:hAnsi="宋体" w:cs="宋体" w:eastAsia="宋体" w:hint="default"/>
                <w:sz w:val="18"/>
                <w:szCs w:val="18"/>
              </w:rPr>
              <w:t>主要是本期新增贷款及新增合 并控股子公司索瑞电气的短期</w:t>
            </w:r>
          </w:p>
        </w:tc>
      </w:tr>
      <w:tr>
        <w:trPr>
          <w:trHeight w:val="392" w:hRule="exact"/>
        </w:trPr>
        <w:tc>
          <w:tcPr>
            <w:tcW w:w="1362"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vMerge/>
            <w:tcBorders>
              <w:left w:val="single" w:sz="14" w:space="0" w:color="D2D2D2"/>
              <w:right w:val="single" w:sz="6" w:space="0" w:color="000000"/>
            </w:tcBorders>
          </w:tcPr>
          <w:p>
            <w:pPr/>
          </w:p>
        </w:tc>
        <w:tc>
          <w:tcPr>
            <w:tcW w:w="698" w:type="dxa"/>
            <w:vMerge/>
            <w:tcBorders>
              <w:left w:val="single" w:sz="6" w:space="0" w:color="000000"/>
              <w:right w:val="single" w:sz="6" w:space="0" w:color="000000"/>
            </w:tcBorders>
          </w:tcPr>
          <w:p>
            <w:pPr/>
          </w:p>
        </w:tc>
        <w:tc>
          <w:tcPr>
            <w:tcW w:w="1399" w:type="dxa"/>
            <w:vMerge/>
            <w:tcBorders>
              <w:left w:val="single" w:sz="6" w:space="0" w:color="000000"/>
              <w:right w:val="single" w:sz="6" w:space="0" w:color="000000"/>
            </w:tcBorders>
          </w:tcPr>
          <w:p>
            <w:pPr/>
          </w:p>
        </w:tc>
        <w:tc>
          <w:tcPr>
            <w:tcW w:w="728" w:type="dxa"/>
            <w:vMerge/>
            <w:tcBorders>
              <w:left w:val="single" w:sz="6" w:space="0" w:color="000000"/>
              <w:right w:val="single" w:sz="6" w:space="0" w:color="000000"/>
            </w:tcBorders>
          </w:tcPr>
          <w:p>
            <w:pPr/>
          </w:p>
        </w:tc>
        <w:tc>
          <w:tcPr>
            <w:tcW w:w="1570" w:type="dxa"/>
            <w:vMerge/>
            <w:tcBorders>
              <w:left w:val="single" w:sz="6" w:space="0" w:color="000000"/>
              <w:right w:val="single" w:sz="6" w:space="0" w:color="000000"/>
            </w:tcBorders>
          </w:tcPr>
          <w:p>
            <w:pPr/>
          </w:p>
        </w:tc>
        <w:tc>
          <w:tcPr>
            <w:tcW w:w="2480" w:type="dxa"/>
            <w:vMerge/>
            <w:tcBorders>
              <w:left w:val="single" w:sz="6" w:space="0" w:color="000000"/>
              <w:right w:val="single" w:sz="12" w:space="0" w:color="000000"/>
            </w:tcBorders>
          </w:tcPr>
          <w:p>
            <w:pPr/>
          </w:p>
        </w:tc>
      </w:tr>
      <w:tr>
        <w:trPr>
          <w:trHeight w:val="151" w:hRule="exact"/>
        </w:trPr>
        <w:tc>
          <w:tcPr>
            <w:tcW w:w="1362" w:type="dxa"/>
            <w:tcBorders>
              <w:top w:val="nil" w:sz="6" w:space="0" w:color="auto"/>
              <w:left w:val="single" w:sz="12" w:space="0" w:color="000000"/>
              <w:bottom w:val="single" w:sz="12" w:space="0" w:color="000000"/>
              <w:right w:val="single" w:sz="6" w:space="0" w:color="000000"/>
            </w:tcBorders>
            <w:shd w:val="clear" w:color="auto" w:fill="D2D2D2"/>
          </w:tcPr>
          <w:p>
            <w:pPr/>
          </w:p>
        </w:tc>
        <w:tc>
          <w:tcPr>
            <w:tcW w:w="1326" w:type="dxa"/>
            <w:vMerge/>
            <w:tcBorders>
              <w:left w:val="single" w:sz="14" w:space="0" w:color="D2D2D2"/>
              <w:bottom w:val="single" w:sz="12" w:space="0" w:color="000000"/>
              <w:right w:val="single" w:sz="6" w:space="0" w:color="000000"/>
            </w:tcBorders>
          </w:tcPr>
          <w:p>
            <w:pPr/>
          </w:p>
        </w:tc>
        <w:tc>
          <w:tcPr>
            <w:tcW w:w="698" w:type="dxa"/>
            <w:vMerge/>
            <w:tcBorders>
              <w:left w:val="single" w:sz="6" w:space="0" w:color="000000"/>
              <w:bottom w:val="single" w:sz="12" w:space="0" w:color="000000"/>
              <w:right w:val="single" w:sz="6" w:space="0" w:color="000000"/>
            </w:tcBorders>
          </w:tcPr>
          <w:p>
            <w:pPr/>
          </w:p>
        </w:tc>
        <w:tc>
          <w:tcPr>
            <w:tcW w:w="1399" w:type="dxa"/>
            <w:vMerge/>
            <w:tcBorders>
              <w:left w:val="single" w:sz="6" w:space="0" w:color="000000"/>
              <w:bottom w:val="single" w:sz="12" w:space="0" w:color="000000"/>
              <w:right w:val="single" w:sz="6" w:space="0" w:color="000000"/>
            </w:tcBorders>
          </w:tcPr>
          <w:p>
            <w:pPr/>
          </w:p>
        </w:tc>
        <w:tc>
          <w:tcPr>
            <w:tcW w:w="728" w:type="dxa"/>
            <w:vMerge/>
            <w:tcBorders>
              <w:left w:val="single" w:sz="6" w:space="0" w:color="000000"/>
              <w:bottom w:val="single" w:sz="12" w:space="0" w:color="000000"/>
              <w:right w:val="single" w:sz="6" w:space="0" w:color="000000"/>
            </w:tcBorders>
          </w:tcPr>
          <w:p>
            <w:pPr/>
          </w:p>
        </w:tc>
        <w:tc>
          <w:tcPr>
            <w:tcW w:w="1570" w:type="dxa"/>
            <w:vMerge/>
            <w:tcBorders>
              <w:left w:val="single" w:sz="6" w:space="0" w:color="000000"/>
              <w:bottom w:val="single" w:sz="12" w:space="0" w:color="000000"/>
              <w:right w:val="single" w:sz="6" w:space="0" w:color="000000"/>
            </w:tcBorders>
          </w:tcPr>
          <w:p>
            <w:pPr/>
          </w:p>
        </w:tc>
        <w:tc>
          <w:tcPr>
            <w:tcW w:w="2480" w:type="dxa"/>
            <w:vMerge/>
            <w:tcBorders>
              <w:left w:val="single" w:sz="6" w:space="0" w:color="000000"/>
              <w:bottom w:val="single" w:sz="12" w:space="0" w:color="000000"/>
              <w:right w:val="single" w:sz="12" w:space="0" w:color="000000"/>
            </w:tcBorders>
          </w:tcPr>
          <w:p>
            <w:pPr/>
          </w:p>
        </w:tc>
      </w:tr>
    </w:tbl>
    <w:p>
      <w:pPr>
        <w:spacing w:after="0"/>
        <w:sectPr>
          <w:type w:val="continuous"/>
          <w:pgSz w:w="11910" w:h="16840"/>
          <w:pgMar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369"/>
        <w:gridCol w:w="1326"/>
        <w:gridCol w:w="708"/>
        <w:gridCol w:w="1389"/>
        <w:gridCol w:w="739"/>
        <w:gridCol w:w="1559"/>
        <w:gridCol w:w="2480"/>
      </w:tblGrid>
      <w:tr>
        <w:trPr>
          <w:trHeight w:val="998" w:hRule="exact"/>
        </w:trPr>
        <w:tc>
          <w:tcPr>
            <w:tcW w:w="1369"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326" w:type="dxa"/>
            <w:tcBorders>
              <w:top w:val="single" w:sz="12" w:space="0" w:color="000000"/>
              <w:left w:val="single" w:sz="6" w:space="0" w:color="000000"/>
              <w:bottom w:val="single" w:sz="6" w:space="0" w:color="000000"/>
              <w:right w:val="single" w:sz="6" w:space="0" w:color="000000"/>
            </w:tcBorders>
          </w:tcPr>
          <w:p>
            <w:pPr/>
          </w:p>
        </w:tc>
        <w:tc>
          <w:tcPr>
            <w:tcW w:w="708" w:type="dxa"/>
            <w:tcBorders>
              <w:top w:val="single" w:sz="12" w:space="0" w:color="000000"/>
              <w:left w:val="single" w:sz="6" w:space="0" w:color="000000"/>
              <w:bottom w:val="single" w:sz="6" w:space="0" w:color="000000"/>
              <w:right w:val="single" w:sz="6" w:space="0" w:color="000000"/>
            </w:tcBorders>
          </w:tcPr>
          <w:p>
            <w:pPr/>
          </w:p>
        </w:tc>
        <w:tc>
          <w:tcPr>
            <w:tcW w:w="1389" w:type="dxa"/>
            <w:tcBorders>
              <w:top w:val="single" w:sz="12" w:space="0" w:color="000000"/>
              <w:left w:val="single" w:sz="6" w:space="0" w:color="000000"/>
              <w:bottom w:val="single" w:sz="6" w:space="0" w:color="000000"/>
              <w:right w:val="single" w:sz="6" w:space="0" w:color="000000"/>
            </w:tcBorders>
          </w:tcPr>
          <w:p>
            <w:pPr/>
          </w:p>
        </w:tc>
        <w:tc>
          <w:tcPr>
            <w:tcW w:w="739" w:type="dxa"/>
            <w:tcBorders>
              <w:top w:val="single" w:sz="12" w:space="0" w:color="000000"/>
              <w:left w:val="single" w:sz="6" w:space="0" w:color="000000"/>
              <w:bottom w:val="single" w:sz="6" w:space="0" w:color="000000"/>
              <w:right w:val="single" w:sz="6" w:space="0" w:color="000000"/>
            </w:tcBorders>
          </w:tcPr>
          <w:p>
            <w:pPr/>
          </w:p>
        </w:tc>
        <w:tc>
          <w:tcPr>
            <w:tcW w:w="1559" w:type="dxa"/>
            <w:tcBorders>
              <w:top w:val="single" w:sz="12" w:space="0" w:color="000000"/>
              <w:left w:val="single" w:sz="6" w:space="0" w:color="000000"/>
              <w:bottom w:val="single" w:sz="6" w:space="0" w:color="000000"/>
              <w:right w:val="single" w:sz="6" w:space="0" w:color="000000"/>
            </w:tcBorders>
          </w:tcPr>
          <w:p>
            <w:pPr/>
          </w:p>
        </w:tc>
        <w:tc>
          <w:tcPr>
            <w:tcW w:w="2480" w:type="dxa"/>
            <w:tcBorders>
              <w:top w:val="single" w:sz="12" w:space="0" w:color="000000"/>
              <w:left w:val="single" w:sz="6" w:space="0" w:color="000000"/>
              <w:bottom w:val="single" w:sz="6" w:space="0" w:color="000000"/>
              <w:right w:val="single" w:sz="12" w:space="0" w:color="000000"/>
            </w:tcBorders>
          </w:tcPr>
          <w:p>
            <w:pPr>
              <w:pStyle w:val="TableParagraph"/>
              <w:spacing w:line="319" w:lineRule="auto" w:before="10"/>
              <w:ind w:left="20" w:right="95"/>
              <w:jc w:val="both"/>
              <w:rPr>
                <w:rFonts w:ascii="宋体" w:hAnsi="宋体" w:cs="宋体" w:eastAsia="宋体" w:hint="default"/>
                <w:sz w:val="18"/>
                <w:szCs w:val="18"/>
              </w:rPr>
            </w:pPr>
            <w:r>
              <w:rPr>
                <w:rFonts w:ascii="宋体" w:hAnsi="宋体" w:cs="宋体" w:eastAsia="宋体" w:hint="default"/>
                <w:sz w:val="18"/>
                <w:szCs w:val="18"/>
              </w:rPr>
              <w:t>借款，致使期末余额增加，但 作为比较基数的资产总额大幅 增加，致使占比下降。</w:t>
            </w:r>
          </w:p>
        </w:tc>
      </w:tr>
      <w:tr>
        <w:trPr>
          <w:trHeight w:val="727" w:hRule="exact"/>
        </w:trPr>
        <w:tc>
          <w:tcPr>
            <w:tcW w:w="13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sz w:val="18"/>
              </w:rPr>
              <w:t>30,515,796.00</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sz w:val="18"/>
              </w:rPr>
              <w:t>1.54%</w:t>
            </w:r>
          </w:p>
        </w:tc>
        <w:tc>
          <w:tcPr>
            <w:tcW w:w="1389" w:type="dxa"/>
            <w:tcBorders>
              <w:top w:val="single" w:sz="6" w:space="0" w:color="000000"/>
              <w:left w:val="single" w:sz="6" w:space="0" w:color="000000"/>
              <w:bottom w:val="single" w:sz="12" w:space="0" w:color="000000"/>
              <w:right w:val="single" w:sz="6" w:space="0" w:color="000000"/>
            </w:tcBorders>
          </w:tcPr>
          <w:p>
            <w:pPr/>
          </w:p>
        </w:tc>
        <w:tc>
          <w:tcPr>
            <w:tcW w:w="739"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1.54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2480" w:type="dxa"/>
            <w:tcBorders>
              <w:top w:val="single" w:sz="6" w:space="0" w:color="000000"/>
              <w:left w:val="single" w:sz="6" w:space="0" w:color="000000"/>
              <w:bottom w:val="single" w:sz="12" w:space="0" w:color="000000"/>
              <w:right w:val="single" w:sz="12" w:space="0" w:color="000000"/>
            </w:tcBorders>
          </w:tcPr>
          <w:p>
            <w:pPr>
              <w:pStyle w:val="TableParagraph"/>
              <w:spacing w:line="319" w:lineRule="auto" w:before="52"/>
              <w:ind w:left="20" w:right="95"/>
              <w:jc w:val="left"/>
              <w:rPr>
                <w:rFonts w:ascii="宋体" w:hAnsi="宋体" w:cs="宋体" w:eastAsia="宋体" w:hint="default"/>
                <w:sz w:val="18"/>
                <w:szCs w:val="18"/>
              </w:rPr>
            </w:pPr>
            <w:r>
              <w:rPr>
                <w:rFonts w:ascii="宋体" w:hAnsi="宋体" w:cs="宋体" w:eastAsia="宋体" w:hint="default"/>
                <w:sz w:val="18"/>
                <w:szCs w:val="18"/>
              </w:rPr>
              <w:t>主要是本期公司新增基建项目 贷款所致。</w:t>
            </w:r>
          </w:p>
        </w:tc>
      </w:tr>
    </w:tbl>
    <w:p>
      <w:pPr>
        <w:pStyle w:val="BodyText"/>
        <w:spacing w:line="240" w:lineRule="auto" w:before="63"/>
        <w:ind w:left="154" w:right="0"/>
        <w:jc w:val="left"/>
      </w:pPr>
      <w:r>
        <w:rPr>
          <w:rFonts w:ascii="宋体" w:hAnsi="宋体" w:cs="宋体" w:eastAsia="宋体" w:hint="default"/>
        </w:rPr>
        <w:t>3</w:t>
      </w:r>
      <w:r>
        <w:rPr/>
        <w:t>）以公允价值计量的资产和负债</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4）公司竞争能力重大变化分析" w:id="25"/>
      <w:bookmarkEnd w:id="25"/>
      <w:r>
        <w:rPr>
          <w:b w:val="0"/>
          <w:bCs w:val="0"/>
        </w:rPr>
      </w:r>
      <w:r>
        <w:rPr/>
        <w:t>（</w:t>
      </w:r>
      <w:r>
        <w:rPr>
          <w:rFonts w:ascii="宋体" w:hAnsi="宋体" w:cs="宋体" w:eastAsia="宋体" w:hint="default"/>
        </w:rPr>
        <w:t>4</w:t>
      </w:r>
      <w:r>
        <w:rPr/>
        <w:t>）公司竞争能力重大变化分析</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spacing w:line="408" w:lineRule="auto" w:before="0"/>
        <w:ind w:left="154" w:right="7980" w:firstLine="0"/>
        <w:jc w:val="left"/>
        <w:rPr>
          <w:rFonts w:ascii="宋体" w:hAnsi="宋体" w:cs="宋体" w:eastAsia="宋体" w:hint="default"/>
          <w:sz w:val="21"/>
          <w:szCs w:val="21"/>
        </w:rPr>
      </w:pPr>
      <w:bookmarkStart w:name="（5）投资状况分析" w:id="26"/>
      <w:bookmarkEnd w:id="26"/>
      <w:r>
        <w:rPr/>
      </w: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）投资状况分析</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）对外投资情况</w:t>
      </w:r>
    </w:p>
    <w:p>
      <w:pPr>
        <w:pStyle w:val="BodyText"/>
        <w:spacing w:line="240" w:lineRule="auto"/>
        <w:ind w:left="154" w:right="0"/>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561"/>
        <w:gridCol w:w="2285"/>
        <w:gridCol w:w="1400"/>
        <w:gridCol w:w="1135"/>
        <w:gridCol w:w="1133"/>
        <w:gridCol w:w="1276"/>
        <w:gridCol w:w="781"/>
      </w:tblGrid>
      <w:tr>
        <w:trPr>
          <w:trHeight w:val="415" w:hRule="exact"/>
        </w:trPr>
        <w:tc>
          <w:tcPr>
            <w:tcW w:w="9571" w:type="dxa"/>
            <w:gridSpan w:val="7"/>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6" w:hRule="exact"/>
        </w:trPr>
        <w:tc>
          <w:tcPr>
            <w:tcW w:w="3846"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right="24"/>
              <w:jc w:val="center"/>
              <w:rPr>
                <w:rFonts w:ascii="宋体" w:hAnsi="宋体" w:cs="宋体" w:eastAsia="宋体" w:hint="default"/>
                <w:sz w:val="18"/>
                <w:szCs w:val="18"/>
              </w:rPr>
            </w:pPr>
            <w:r>
              <w:rPr>
                <w:rFonts w:ascii="宋体" w:hAnsi="宋体" w:cs="宋体" w:eastAsia="宋体" w:hint="default"/>
                <w:sz w:val="18"/>
                <w:szCs w:val="18"/>
              </w:rPr>
              <w:t>报告期投资额</w:t>
            </w:r>
          </w:p>
        </w:tc>
        <w:tc>
          <w:tcPr>
            <w:tcW w:w="253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621" w:right="0"/>
              <w:jc w:val="left"/>
              <w:rPr>
                <w:rFonts w:ascii="宋体" w:hAnsi="宋体" w:cs="宋体" w:eastAsia="宋体" w:hint="default"/>
                <w:sz w:val="18"/>
                <w:szCs w:val="18"/>
              </w:rPr>
            </w:pPr>
            <w:r>
              <w:rPr>
                <w:rFonts w:ascii="宋体" w:hAnsi="宋体" w:cs="宋体" w:eastAsia="宋体" w:hint="default"/>
                <w:sz w:val="18"/>
                <w:szCs w:val="18"/>
              </w:rPr>
              <w:t>上年同期投资额</w:t>
            </w:r>
          </w:p>
        </w:tc>
        <w:tc>
          <w:tcPr>
            <w:tcW w:w="3189" w:type="dxa"/>
            <w:gridSpan w:val="3"/>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15" w:hRule="exact"/>
        </w:trPr>
        <w:tc>
          <w:tcPr>
            <w:tcW w:w="3846"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2525" w:right="0"/>
              <w:jc w:val="left"/>
              <w:rPr>
                <w:rFonts w:ascii="宋体" w:hAnsi="宋体" w:cs="宋体" w:eastAsia="宋体" w:hint="default"/>
                <w:sz w:val="18"/>
                <w:szCs w:val="18"/>
              </w:rPr>
            </w:pPr>
            <w:r>
              <w:rPr>
                <w:rFonts w:ascii="宋体"/>
                <w:sz w:val="18"/>
              </w:rPr>
              <w:t>739,171,776.16</w:t>
            </w:r>
          </w:p>
        </w:tc>
        <w:tc>
          <w:tcPr>
            <w:tcW w:w="25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329" w:right="0"/>
              <w:jc w:val="left"/>
              <w:rPr>
                <w:rFonts w:ascii="宋体" w:hAnsi="宋体" w:cs="宋体" w:eastAsia="宋体" w:hint="default"/>
                <w:sz w:val="18"/>
                <w:szCs w:val="18"/>
              </w:rPr>
            </w:pPr>
            <w:r>
              <w:rPr>
                <w:rFonts w:ascii="宋体"/>
                <w:sz w:val="18"/>
              </w:rPr>
              <w:t>22,500,000.00</w:t>
            </w:r>
          </w:p>
        </w:tc>
        <w:tc>
          <w:tcPr>
            <w:tcW w:w="3189"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3,185.21%</w:t>
            </w:r>
          </w:p>
        </w:tc>
      </w:tr>
      <w:tr>
        <w:trPr>
          <w:trHeight w:val="399" w:hRule="exact"/>
        </w:trPr>
        <w:tc>
          <w:tcPr>
            <w:tcW w:w="9571" w:type="dxa"/>
            <w:gridSpan w:val="7"/>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9" w:hRule="exact"/>
        </w:trPr>
        <w:tc>
          <w:tcPr>
            <w:tcW w:w="156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2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4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2"/>
              <w:ind w:left="71" w:right="53"/>
              <w:jc w:val="left"/>
              <w:rPr>
                <w:rFonts w:ascii="宋体" w:hAnsi="宋体" w:cs="宋体" w:eastAsia="宋体" w:hint="default"/>
                <w:sz w:val="18"/>
                <w:szCs w:val="18"/>
              </w:rPr>
            </w:pPr>
            <w:r>
              <w:rPr>
                <w:rFonts w:ascii="宋体" w:hAnsi="宋体" w:cs="宋体" w:eastAsia="宋体" w:hint="default"/>
                <w:sz w:val="18"/>
                <w:szCs w:val="18"/>
              </w:rPr>
              <w:t>上市公司占被投 资公司权益比例</w:t>
            </w:r>
          </w:p>
        </w:tc>
        <w:tc>
          <w:tcPr>
            <w:tcW w:w="113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1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781"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是否涉诉</w:t>
            </w:r>
          </w:p>
        </w:tc>
      </w:tr>
      <w:tr>
        <w:trPr>
          <w:trHeight w:val="1344"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60" w:lineRule="auto"/>
              <w:ind w:left="44" w:right="52" w:firstLine="180"/>
              <w:jc w:val="left"/>
              <w:rPr>
                <w:rFonts w:ascii="宋体" w:hAnsi="宋体" w:cs="宋体" w:eastAsia="宋体" w:hint="default"/>
                <w:sz w:val="18"/>
                <w:szCs w:val="18"/>
              </w:rPr>
            </w:pPr>
            <w:r>
              <w:rPr>
                <w:rFonts w:ascii="宋体" w:hAnsi="宋体" w:cs="宋体" w:eastAsia="宋体" w:hint="default"/>
                <w:sz w:val="18"/>
                <w:szCs w:val="18"/>
              </w:rPr>
              <w:t>南京智友尚云 信息技术有限公司</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0" w:right="88"/>
              <w:jc w:val="both"/>
              <w:rPr>
                <w:rFonts w:ascii="宋体" w:hAnsi="宋体" w:cs="宋体" w:eastAsia="宋体" w:hint="default"/>
                <w:sz w:val="18"/>
                <w:szCs w:val="18"/>
              </w:rPr>
            </w:pPr>
            <w:r>
              <w:rPr>
                <w:rFonts w:ascii="宋体" w:hAnsi="宋体" w:cs="宋体" w:eastAsia="宋体" w:hint="default"/>
                <w:sz w:val="18"/>
                <w:szCs w:val="18"/>
              </w:rPr>
              <w:t>计算机软硬件的技术、产品 的开发、设计、技术服务、 技术推广及相关产品的生产 和销售</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-42,996.90</w:t>
            </w:r>
          </w:p>
        </w:tc>
        <w:tc>
          <w:tcPr>
            <w:tcW w:w="7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55"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60" w:lineRule="auto"/>
              <w:ind w:left="404" w:right="232" w:hanging="180"/>
              <w:jc w:val="left"/>
              <w:rPr>
                <w:rFonts w:ascii="宋体" w:hAnsi="宋体" w:cs="宋体" w:eastAsia="宋体" w:hint="default"/>
                <w:sz w:val="18"/>
                <w:szCs w:val="18"/>
              </w:rPr>
            </w:pPr>
            <w:r>
              <w:rPr>
                <w:rFonts w:ascii="宋体" w:hAnsi="宋体" w:cs="宋体" w:eastAsia="宋体" w:hint="default"/>
                <w:sz w:val="18"/>
                <w:szCs w:val="18"/>
              </w:rPr>
              <w:t>湖北索瑞电气 有限公司</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 w:right="88"/>
              <w:jc w:val="both"/>
              <w:rPr>
                <w:rFonts w:ascii="宋体" w:hAnsi="宋体" w:cs="宋体" w:eastAsia="宋体" w:hint="default"/>
                <w:sz w:val="18"/>
                <w:szCs w:val="18"/>
              </w:rPr>
            </w:pPr>
            <w:r>
              <w:rPr>
                <w:rFonts w:ascii="宋体" w:hAnsi="宋体" w:cs="宋体" w:eastAsia="宋体" w:hint="default"/>
                <w:sz w:val="18"/>
                <w:szCs w:val="18"/>
              </w:rPr>
              <w:t>高低压电器及成套设备、塑 料制品生产、销售；电力电 子产品技术开发、应用、销 售</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84.82%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60" w:lineRule="auto"/>
              <w:ind w:left="199" w:right="199"/>
              <w:jc w:val="both"/>
              <w:rPr>
                <w:rFonts w:ascii="宋体" w:hAnsi="宋体" w:cs="宋体" w:eastAsia="宋体" w:hint="default"/>
                <w:sz w:val="18"/>
                <w:szCs w:val="18"/>
              </w:rPr>
            </w:pPr>
            <w:r>
              <w:rPr>
                <w:rFonts w:ascii="宋体" w:hAnsi="宋体" w:cs="宋体" w:eastAsia="宋体" w:hint="default"/>
                <w:sz w:val="18"/>
                <w:szCs w:val="18"/>
              </w:rPr>
              <w:t>发行股份 超募资金 并购贷款</w:t>
            </w:r>
          </w:p>
        </w:tc>
        <w:tc>
          <w:tcPr>
            <w:tcW w:w="1133" w:type="dxa"/>
            <w:tcBorders>
              <w:top w:val="single" w:sz="6" w:space="0" w:color="000000"/>
              <w:left w:val="single" w:sz="6" w:space="0" w:color="000000"/>
              <w:bottom w:val="single" w:sz="6" w:space="0" w:color="000000"/>
              <w:right w:val="single" w:sz="8" w:space="0" w:color="FFFFFF"/>
            </w:tcBorders>
          </w:tcPr>
          <w:p>
            <w:pPr>
              <w:pStyle w:val="TableParagraph"/>
              <w:spacing w:line="316" w:lineRule="auto" w:before="51"/>
              <w:ind w:left="20" w:right="-27"/>
              <w:jc w:val="both"/>
              <w:rPr>
                <w:rFonts w:ascii="宋体" w:hAnsi="宋体" w:cs="宋体" w:eastAsia="宋体" w:hint="default"/>
                <w:sz w:val="18"/>
                <w:szCs w:val="18"/>
              </w:rPr>
            </w:pPr>
            <w:r>
              <w:rPr>
                <w:rFonts w:ascii="宋体" w:hAnsi="宋体" w:cs="宋体" w:eastAsia="宋体" w:hint="default"/>
                <w:sz w:val="18"/>
                <w:szCs w:val="18"/>
              </w:rPr>
              <w:t>任昌兆、湖北 </w:t>
            </w:r>
            <w:r>
              <w:rPr>
                <w:rFonts w:ascii="宋体" w:hAnsi="宋体" w:cs="宋体" w:eastAsia="宋体" w:hint="default"/>
                <w:spacing w:val="35"/>
                <w:sz w:val="18"/>
                <w:szCs w:val="18"/>
              </w:rPr>
              <w:t>中鑫安源投</w:t>
            </w:r>
            <w:r>
              <w:rPr>
                <w:rFonts w:ascii="宋体" w:hAnsi="宋体" w:cs="宋体" w:eastAsia="宋体" w:hint="default"/>
                <w:spacing w:val="-46"/>
                <w:sz w:val="18"/>
                <w:szCs w:val="18"/>
              </w:rPr>
              <w:t> </w:t>
            </w:r>
            <w:r>
              <w:rPr>
                <w:rFonts w:ascii="宋体" w:hAnsi="宋体" w:cs="宋体" w:eastAsia="宋体" w:hint="default"/>
                <w:spacing w:val="35"/>
                <w:sz w:val="18"/>
                <w:szCs w:val="18"/>
              </w:rPr>
              <w:t>资管理有限</w:t>
            </w:r>
            <w:r>
              <w:rPr>
                <w:rFonts w:ascii="宋体" w:hAnsi="宋体" w:cs="宋体" w:eastAsia="宋体" w:hint="default"/>
                <w:spacing w:val="-46"/>
                <w:sz w:val="18"/>
                <w:szCs w:val="18"/>
              </w:rPr>
              <w:t> </w:t>
            </w:r>
            <w:r>
              <w:rPr>
                <w:rFonts w:ascii="宋体" w:hAnsi="宋体" w:cs="宋体" w:eastAsia="宋体" w:hint="default"/>
                <w:sz w:val="18"/>
                <w:szCs w:val="18"/>
              </w:rPr>
              <w:t>责任公司等</w:t>
            </w:r>
            <w:r>
              <w:rPr>
                <w:rFonts w:ascii="宋体" w:hAnsi="宋体" w:cs="宋体" w:eastAsia="宋体" w:hint="default"/>
                <w:spacing w:val="-4"/>
                <w:sz w:val="18"/>
                <w:szCs w:val="18"/>
              </w:rPr>
              <w:t> </w:t>
            </w:r>
            <w:r>
              <w:rPr>
                <w:rFonts w:ascii="宋体" w:hAnsi="宋体" w:cs="宋体" w:eastAsia="宋体" w:hint="default"/>
                <w:sz w:val="18"/>
                <w:szCs w:val="18"/>
              </w:rPr>
              <w:t>9 </w:t>
            </w:r>
            <w:r>
              <w:rPr>
                <w:rFonts w:ascii="宋体" w:hAnsi="宋体" w:cs="宋体" w:eastAsia="宋体" w:hint="default"/>
                <w:sz w:val="18"/>
                <w:szCs w:val="18"/>
              </w:rPr>
              <w:t>个法人股东</w:t>
            </w:r>
          </w:p>
        </w:tc>
        <w:tc>
          <w:tcPr>
            <w:tcW w:w="1276" w:type="dxa"/>
            <w:tcBorders>
              <w:top w:val="single" w:sz="6" w:space="0" w:color="000000"/>
              <w:left w:val="single" w:sz="8" w:space="0" w:color="FFFFFF"/>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7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51" w:hRule="exact"/>
        </w:trPr>
        <w:tc>
          <w:tcPr>
            <w:tcW w:w="156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57" w:lineRule="auto"/>
              <w:ind w:left="44" w:right="52" w:firstLine="180"/>
              <w:jc w:val="left"/>
              <w:rPr>
                <w:rFonts w:ascii="宋体" w:hAnsi="宋体" w:cs="宋体" w:eastAsia="宋体" w:hint="default"/>
                <w:sz w:val="18"/>
                <w:szCs w:val="18"/>
              </w:rPr>
            </w:pPr>
            <w:r>
              <w:rPr>
                <w:rFonts w:ascii="宋体" w:hAnsi="宋体" w:cs="宋体" w:eastAsia="宋体" w:hint="default"/>
                <w:sz w:val="18"/>
                <w:szCs w:val="18"/>
              </w:rPr>
              <w:t>南京云商天下 信息技术有限公司</w:t>
            </w:r>
          </w:p>
        </w:tc>
        <w:tc>
          <w:tcPr>
            <w:tcW w:w="2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 w:right="88"/>
              <w:jc w:val="left"/>
              <w:rPr>
                <w:rFonts w:ascii="宋体" w:hAnsi="宋体" w:cs="宋体" w:eastAsia="宋体" w:hint="default"/>
                <w:sz w:val="18"/>
                <w:szCs w:val="18"/>
              </w:rPr>
            </w:pPr>
            <w:r>
              <w:rPr>
                <w:rFonts w:ascii="宋体" w:hAnsi="宋体" w:cs="宋体" w:eastAsia="宋体" w:hint="default"/>
                <w:sz w:val="18"/>
                <w:szCs w:val="18"/>
              </w:rPr>
              <w:t>电子产品开发、销售、技术 咨询、技术咨询、技术转让</w:t>
            </w:r>
          </w:p>
        </w:tc>
        <w:tc>
          <w:tcPr>
            <w:tcW w:w="14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51.00%</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133" w:type="dxa"/>
            <w:tcBorders>
              <w:top w:val="single" w:sz="6" w:space="0" w:color="000000"/>
              <w:left w:val="single" w:sz="6" w:space="0" w:color="000000"/>
              <w:bottom w:val="single" w:sz="12" w:space="0" w:color="000000"/>
              <w:right w:val="single" w:sz="8" w:space="0" w:color="FFFFFF"/>
            </w:tcBorders>
          </w:tcPr>
          <w:p>
            <w:pPr>
              <w:pStyle w:val="TableParagraph"/>
              <w:spacing w:line="319" w:lineRule="auto" w:before="51"/>
              <w:ind w:left="20" w:right="-27"/>
              <w:jc w:val="both"/>
              <w:rPr>
                <w:rFonts w:ascii="宋体" w:hAnsi="宋体" w:cs="宋体" w:eastAsia="宋体" w:hint="default"/>
                <w:sz w:val="18"/>
                <w:szCs w:val="18"/>
              </w:rPr>
            </w:pPr>
            <w:r>
              <w:rPr>
                <w:rFonts w:ascii="宋体" w:hAnsi="宋体" w:cs="宋体" w:eastAsia="宋体" w:hint="default"/>
                <w:spacing w:val="35"/>
                <w:sz w:val="18"/>
                <w:szCs w:val="18"/>
              </w:rPr>
              <w:t>北京绿金创</w:t>
            </w:r>
            <w:r>
              <w:rPr>
                <w:rFonts w:ascii="宋体" w:hAnsi="宋体" w:cs="宋体" w:eastAsia="宋体" w:hint="default"/>
                <w:spacing w:val="-46"/>
                <w:sz w:val="18"/>
                <w:szCs w:val="18"/>
              </w:rPr>
              <w:t> </w:t>
            </w:r>
            <w:r>
              <w:rPr>
                <w:rFonts w:ascii="宋体" w:hAnsi="宋体" w:cs="宋体" w:eastAsia="宋体" w:hint="default"/>
                <w:spacing w:val="35"/>
                <w:sz w:val="18"/>
                <w:szCs w:val="18"/>
              </w:rPr>
              <w:t>想电子商务</w:t>
            </w:r>
            <w:r>
              <w:rPr>
                <w:rFonts w:ascii="宋体" w:hAnsi="宋体" w:cs="宋体" w:eastAsia="宋体" w:hint="default"/>
                <w:spacing w:val="-46"/>
                <w:sz w:val="18"/>
                <w:szCs w:val="18"/>
              </w:rPr>
              <w:t> </w:t>
            </w:r>
            <w:r>
              <w:rPr>
                <w:rFonts w:ascii="宋体" w:hAnsi="宋体" w:cs="宋体" w:eastAsia="宋体" w:hint="default"/>
                <w:sz w:val="18"/>
                <w:szCs w:val="18"/>
              </w:rPr>
              <w:t>有限公司、钱</w:t>
            </w:r>
            <w:r>
              <w:rPr>
                <w:rFonts w:ascii="宋体" w:hAnsi="宋体" w:cs="宋体" w:eastAsia="宋体" w:hint="default"/>
                <w:sz w:val="18"/>
                <w:szCs w:val="18"/>
              </w:rPr>
              <w:t> 卫民、冯小林</w:t>
            </w:r>
          </w:p>
        </w:tc>
        <w:tc>
          <w:tcPr>
            <w:tcW w:w="1276" w:type="dxa"/>
            <w:tcBorders>
              <w:top w:val="single" w:sz="6" w:space="0" w:color="000000"/>
              <w:left w:val="single" w:sz="8" w:space="0" w:color="FFFFFF"/>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-654,961.32</w:t>
            </w:r>
          </w:p>
        </w:tc>
        <w:tc>
          <w:tcPr>
            <w:tcW w:w="78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5"/>
          <w:szCs w:val="5"/>
        </w:rPr>
      </w:pPr>
    </w:p>
    <w:p>
      <w:pPr>
        <w:pStyle w:val="BodyText"/>
        <w:spacing w:line="240" w:lineRule="auto" w:before="35"/>
        <w:ind w:left="154" w:right="0"/>
        <w:jc w:val="left"/>
      </w:pPr>
      <w:r>
        <w:rPr>
          <w:rFonts w:ascii="宋体" w:hAnsi="宋体" w:cs="宋体" w:eastAsia="宋体" w:hint="default"/>
        </w:rPr>
        <w:t>2</w:t>
      </w:r>
      <w:r>
        <w:rPr/>
        <w:t>）募集资金总体使用情况</w:t>
      </w:r>
    </w:p>
    <w:p>
      <w:pPr>
        <w:spacing w:line="240" w:lineRule="auto" w:before="12"/>
        <w:rPr>
          <w:rFonts w:ascii="宋体" w:hAnsi="宋体" w:cs="宋体" w:eastAsia="宋体" w:hint="default"/>
          <w:sz w:val="17"/>
          <w:szCs w:val="17"/>
        </w:rPr>
      </w:pPr>
    </w:p>
    <w:p>
      <w:pPr>
        <w:pStyle w:val="BodyText"/>
        <w:spacing w:line="240" w:lineRule="auto" w:before="0"/>
        <w:ind w:left="154" w:right="0"/>
        <w:jc w:val="left"/>
      </w:pPr>
      <w:r>
        <w:rPr/>
        <w:t>√ 适用 □</w:t>
      </w:r>
      <w:r>
        <w:rPr>
          <w:spacing w:val="-1"/>
        </w:rPr>
        <w:t> </w:t>
      </w:r>
      <w:r>
        <w:rPr/>
        <w:t>不适用</w:t>
      </w:r>
    </w:p>
    <w:p>
      <w:pPr>
        <w:spacing w:line="240" w:lineRule="auto" w:before="5"/>
        <w:rPr>
          <w:rFonts w:ascii="宋体" w:hAnsi="宋体" w:cs="宋体" w:eastAsia="宋体" w:hint="default"/>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4091"/>
        <w:gridCol w:w="5478"/>
      </w:tblGrid>
      <w:tr>
        <w:trPr>
          <w:trHeight w:val="415" w:hRule="exact"/>
        </w:trPr>
        <w:tc>
          <w:tcPr>
            <w:tcW w:w="40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8"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35,429.12</w:t>
            </w:r>
          </w:p>
        </w:tc>
      </w:tr>
      <w:tr>
        <w:trPr>
          <w:trHeight w:val="407" w:hRule="exact"/>
        </w:trPr>
        <w:tc>
          <w:tcPr>
            <w:tcW w:w="40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8"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2,502.39</w:t>
            </w:r>
          </w:p>
        </w:tc>
      </w:tr>
      <w:tr>
        <w:trPr>
          <w:trHeight w:val="413" w:hRule="exact"/>
        </w:trPr>
        <w:tc>
          <w:tcPr>
            <w:tcW w:w="40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8"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16,729.81</w:t>
            </w:r>
          </w:p>
        </w:tc>
      </w:tr>
      <w:tr>
        <w:trPr>
          <w:trHeight w:val="400" w:hRule="exact"/>
        </w:trPr>
        <w:tc>
          <w:tcPr>
            <w:tcW w:w="9569" w:type="dxa"/>
            <w:gridSpan w:val="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63" w:hRule="exact"/>
        </w:trPr>
        <w:tc>
          <w:tcPr>
            <w:tcW w:w="9569" w:type="dxa"/>
            <w:gridSpan w:val="2"/>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pacing w:val="4"/>
                <w:sz w:val="18"/>
                <w:szCs w:val="18"/>
              </w:rPr>
              <w:t>年度，公司共使用募集资金 </w:t>
            </w:r>
            <w:r>
              <w:rPr>
                <w:rFonts w:ascii="宋体" w:hAnsi="宋体" w:cs="宋体" w:eastAsia="宋体" w:hint="default"/>
                <w:sz w:val="18"/>
                <w:szCs w:val="18"/>
              </w:rPr>
              <w:t>2,502.39</w:t>
            </w:r>
            <w:r>
              <w:rPr>
                <w:rFonts w:ascii="宋体" w:hAnsi="宋体" w:cs="宋体" w:eastAsia="宋体" w:hint="default"/>
                <w:spacing w:val="17"/>
                <w:sz w:val="18"/>
                <w:szCs w:val="18"/>
              </w:rPr>
              <w:t> </w:t>
            </w:r>
            <w:r>
              <w:rPr>
                <w:rFonts w:ascii="宋体" w:hAnsi="宋体" w:cs="宋体" w:eastAsia="宋体" w:hint="default"/>
                <w:spacing w:val="5"/>
                <w:sz w:val="18"/>
                <w:szCs w:val="18"/>
              </w:rPr>
              <w:t>万元，其中：“电力用户用电信息采集系统产能扩大建设项目”投入</w:t>
            </w:r>
            <w:r>
              <w:rPr>
                <w:rFonts w:ascii="宋体" w:hAnsi="宋体" w:cs="宋体" w:eastAsia="宋体" w:hint="default"/>
                <w:sz w:val="18"/>
                <w:szCs w:val="18"/>
              </w:rPr>
            </w:r>
          </w:p>
          <w:p>
            <w:pPr>
              <w:pStyle w:val="TableParagraph"/>
              <w:spacing w:line="240" w:lineRule="auto" w:before="75"/>
              <w:ind w:left="13" w:right="0"/>
              <w:jc w:val="left"/>
              <w:rPr>
                <w:rFonts w:ascii="宋体" w:hAnsi="宋体" w:cs="宋体" w:eastAsia="宋体" w:hint="default"/>
                <w:sz w:val="18"/>
                <w:szCs w:val="18"/>
              </w:rPr>
            </w:pPr>
            <w:r>
              <w:rPr>
                <w:rFonts w:ascii="宋体" w:hAnsi="宋体" w:cs="宋体" w:eastAsia="宋体" w:hint="default"/>
                <w:sz w:val="18"/>
                <w:szCs w:val="18"/>
              </w:rPr>
              <w:t>1,979.55</w:t>
            </w:r>
            <w:r>
              <w:rPr>
                <w:rFonts w:ascii="宋体" w:hAnsi="宋体" w:cs="宋体" w:eastAsia="宋体" w:hint="default"/>
                <w:spacing w:val="-40"/>
                <w:sz w:val="18"/>
                <w:szCs w:val="18"/>
              </w:rPr>
              <w:t> </w:t>
            </w:r>
            <w:r>
              <w:rPr>
                <w:rFonts w:ascii="宋体" w:hAnsi="宋体" w:cs="宋体" w:eastAsia="宋体" w:hint="default"/>
                <w:sz w:val="18"/>
                <w:szCs w:val="18"/>
              </w:rPr>
              <w:t>万元，“研发中心建设项目”投入</w:t>
            </w:r>
            <w:r>
              <w:rPr>
                <w:rFonts w:ascii="宋体" w:hAnsi="宋体" w:cs="宋体" w:eastAsia="宋体" w:hint="default"/>
                <w:spacing w:val="-40"/>
                <w:sz w:val="18"/>
                <w:szCs w:val="18"/>
              </w:rPr>
              <w:t> </w:t>
            </w:r>
            <w:r>
              <w:rPr>
                <w:rFonts w:ascii="宋体" w:hAnsi="宋体" w:cs="宋体" w:eastAsia="宋体" w:hint="default"/>
                <w:sz w:val="18"/>
                <w:szCs w:val="18"/>
              </w:rPr>
              <w:t>522.84</w:t>
            </w:r>
            <w:r>
              <w:rPr>
                <w:rFonts w:ascii="宋体" w:hAnsi="宋体" w:cs="宋体" w:eastAsia="宋体" w:hint="default"/>
                <w:spacing w:val="-40"/>
                <w:sz w:val="18"/>
                <w:szCs w:val="18"/>
              </w:rPr>
              <w:t> </w:t>
            </w:r>
            <w:r>
              <w:rPr>
                <w:rFonts w:ascii="宋体" w:hAnsi="宋体" w:cs="宋体" w:eastAsia="宋体" w:hint="default"/>
                <w:sz w:val="18"/>
                <w:szCs w:val="18"/>
              </w:rPr>
              <w:t>万元。此外，公司继续从“电力用户用电信息采集系统产能扩大建设</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项目”尚未使用的闲置募集资金中，使用</w:t>
            </w:r>
            <w:r>
              <w:rPr>
                <w:rFonts w:ascii="宋体" w:hAnsi="宋体" w:cs="宋体" w:eastAsia="宋体" w:hint="default"/>
                <w:spacing w:val="-53"/>
                <w:sz w:val="18"/>
                <w:szCs w:val="18"/>
              </w:rPr>
              <w:t> </w:t>
            </w:r>
            <w:r>
              <w:rPr>
                <w:rFonts w:ascii="宋体" w:hAnsi="宋体" w:cs="宋体" w:eastAsia="宋体" w:hint="default"/>
                <w:sz w:val="18"/>
                <w:szCs w:val="18"/>
              </w:rPr>
              <w:t>3,000</w:t>
            </w:r>
            <w:r>
              <w:rPr>
                <w:rFonts w:ascii="宋体" w:hAnsi="宋体" w:cs="宋体" w:eastAsia="宋体" w:hint="default"/>
                <w:spacing w:val="-53"/>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53"/>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个月，到期</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将归还至募集资金专户。截至</w:t>
            </w:r>
            <w:r>
              <w:rPr>
                <w:rFonts w:ascii="宋体" w:hAnsi="宋体" w:cs="宋体" w:eastAsia="宋体" w:hint="default"/>
                <w:spacing w:val="-37"/>
                <w:sz w:val="18"/>
                <w:szCs w:val="18"/>
              </w:rPr>
              <w:t> </w:t>
            </w:r>
            <w:r>
              <w:rPr>
                <w:rFonts w:ascii="宋体" w:hAnsi="宋体" w:cs="宋体" w:eastAsia="宋体" w:hint="default"/>
                <w:sz w:val="18"/>
                <w:szCs w:val="18"/>
              </w:rPr>
              <w:t>2014</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31</w:t>
            </w:r>
            <w:r>
              <w:rPr>
                <w:rFonts w:ascii="宋体" w:hAnsi="宋体" w:cs="宋体" w:eastAsia="宋体" w:hint="default"/>
                <w:spacing w:val="-37"/>
                <w:sz w:val="18"/>
                <w:szCs w:val="18"/>
              </w:rPr>
              <w:t> </w:t>
            </w:r>
            <w:r>
              <w:rPr>
                <w:rFonts w:ascii="宋体" w:hAnsi="宋体" w:cs="宋体" w:eastAsia="宋体" w:hint="default"/>
                <w:sz w:val="18"/>
                <w:szCs w:val="18"/>
              </w:rPr>
              <w:t>日，公司募集资金专户实际余额为</w:t>
            </w:r>
            <w:r>
              <w:rPr>
                <w:rFonts w:ascii="宋体" w:hAnsi="宋体" w:cs="宋体" w:eastAsia="宋体" w:hint="default"/>
                <w:spacing w:val="-38"/>
                <w:sz w:val="18"/>
                <w:szCs w:val="18"/>
              </w:rPr>
              <w:t> </w:t>
            </w:r>
            <w:r>
              <w:rPr>
                <w:rFonts w:ascii="宋体" w:hAnsi="宋体" w:cs="宋体" w:eastAsia="宋体" w:hint="default"/>
                <w:sz w:val="18"/>
                <w:szCs w:val="18"/>
              </w:rPr>
              <w:t>16,970.11</w:t>
            </w:r>
            <w:r>
              <w:rPr>
                <w:rFonts w:ascii="宋体" w:hAnsi="宋体" w:cs="宋体" w:eastAsia="宋体" w:hint="default"/>
                <w:spacing w:val="-37"/>
                <w:sz w:val="18"/>
                <w:szCs w:val="18"/>
              </w:rPr>
              <w:t> </w:t>
            </w:r>
            <w:r>
              <w:rPr>
                <w:rFonts w:ascii="宋体" w:hAnsi="宋体" w:cs="宋体" w:eastAsia="宋体" w:hint="default"/>
                <w:sz w:val="18"/>
                <w:szCs w:val="18"/>
              </w:rPr>
              <w:t>万元，其中募集资金实际余</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6"/>
                <w:sz w:val="18"/>
                <w:szCs w:val="18"/>
              </w:rPr>
              <w:t> </w:t>
            </w:r>
            <w:r>
              <w:rPr>
                <w:rFonts w:ascii="宋体" w:hAnsi="宋体" w:cs="宋体" w:eastAsia="宋体" w:hint="default"/>
                <w:sz w:val="18"/>
                <w:szCs w:val="18"/>
              </w:rPr>
              <w:t>15,699.31</w:t>
            </w:r>
            <w:r>
              <w:rPr>
                <w:rFonts w:ascii="宋体" w:hAnsi="宋体" w:cs="宋体" w:eastAsia="宋体" w:hint="default"/>
                <w:spacing w:val="-46"/>
                <w:sz w:val="18"/>
                <w:szCs w:val="18"/>
              </w:rPr>
              <w:t> </w:t>
            </w:r>
            <w:r>
              <w:rPr>
                <w:rFonts w:ascii="宋体" w:hAnsi="宋体" w:cs="宋体" w:eastAsia="宋体" w:hint="default"/>
                <w:sz w:val="18"/>
                <w:szCs w:val="18"/>
              </w:rPr>
              <w:t>万元，累计存款利息收入</w:t>
            </w:r>
            <w:r>
              <w:rPr>
                <w:rFonts w:ascii="宋体" w:hAnsi="宋体" w:cs="宋体" w:eastAsia="宋体" w:hint="default"/>
                <w:spacing w:val="-46"/>
                <w:sz w:val="18"/>
                <w:szCs w:val="18"/>
              </w:rPr>
              <w:t> </w:t>
            </w:r>
            <w:r>
              <w:rPr>
                <w:rFonts w:ascii="宋体" w:hAnsi="宋体" w:cs="宋体" w:eastAsia="宋体" w:hint="default"/>
                <w:sz w:val="18"/>
                <w:szCs w:val="18"/>
              </w:rPr>
              <w:t>1,270.80</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5"/>
          <w:szCs w:val="5"/>
        </w:rPr>
      </w:pPr>
    </w:p>
    <w:p>
      <w:pPr>
        <w:pStyle w:val="BodyText"/>
        <w:spacing w:line="240" w:lineRule="auto" w:before="35"/>
        <w:ind w:left="154" w:right="0"/>
        <w:jc w:val="left"/>
      </w:pPr>
      <w:r>
        <w:rPr>
          <w:rFonts w:ascii="宋体" w:hAnsi="宋体" w:cs="宋体" w:eastAsia="宋体" w:hint="default"/>
        </w:rPr>
        <w:t>3</w:t>
      </w:r>
      <w:r>
        <w:rPr/>
        <w:t>）募集资金承诺项目情况</w:t>
      </w:r>
    </w:p>
    <w:p>
      <w:pPr>
        <w:spacing w:line="240" w:lineRule="auto" w:before="12"/>
        <w:rPr>
          <w:rFonts w:ascii="宋体" w:hAnsi="宋体" w:cs="宋体" w:eastAsia="宋体" w:hint="default"/>
          <w:sz w:val="17"/>
          <w:szCs w:val="17"/>
        </w:rPr>
      </w:pPr>
    </w:p>
    <w:p>
      <w:pPr>
        <w:pStyle w:val="BodyText"/>
        <w:spacing w:line="240" w:lineRule="auto" w:before="0"/>
        <w:ind w:left="154" w:right="0"/>
        <w:jc w:val="left"/>
      </w:pPr>
      <w:r>
        <w:rPr/>
        <w:t>√ 适用 □</w:t>
      </w:r>
      <w:r>
        <w:rPr>
          <w:spacing w:val="-1"/>
        </w:rPr>
        <w:t> </w:t>
      </w:r>
      <w:r>
        <w:rPr/>
        <w:t>不适用</w:t>
      </w:r>
    </w:p>
    <w:p>
      <w:pPr>
        <w:spacing w:line="240" w:lineRule="auto" w:before="5"/>
        <w:rPr>
          <w:rFonts w:ascii="宋体" w:hAnsi="宋体" w:cs="宋体" w:eastAsia="宋体" w:hint="default"/>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44"/>
        <w:ind w:left="0" w:right="157" w:firstLine="0"/>
        <w:jc w:val="right"/>
        <w:rPr>
          <w:rFonts w:ascii="宋体" w:hAnsi="宋体" w:cs="宋体" w:eastAsia="宋体" w:hint="default"/>
          <w:sz w:val="18"/>
          <w:szCs w:val="18"/>
        </w:rPr>
      </w:pPr>
      <w:r>
        <w:rPr/>
        <w:pict>
          <v:shape style="position:absolute;margin-left:55.919998pt;margin-top:-361.348267pt;width:480.85pt;height:458.1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6"/>
                    <w:gridCol w:w="640"/>
                    <w:gridCol w:w="90"/>
                    <w:gridCol w:w="720"/>
                    <w:gridCol w:w="722"/>
                    <w:gridCol w:w="881"/>
                    <w:gridCol w:w="852"/>
                    <w:gridCol w:w="140"/>
                    <w:gridCol w:w="709"/>
                    <w:gridCol w:w="851"/>
                    <w:gridCol w:w="708"/>
                    <w:gridCol w:w="709"/>
                    <w:gridCol w:w="425"/>
                    <w:gridCol w:w="497"/>
                  </w:tblGrid>
                  <w:tr>
                    <w:trPr>
                      <w:trHeight w:val="2286" w:hRule="exact"/>
                    </w:trPr>
                    <w:tc>
                      <w:tcPr>
                        <w:tcW w:w="162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351" w:right="80"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0"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6" w:right="37" w:firstLine="44"/>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72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2" w:right="80"/>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83" w:right="81"/>
                          <w:jc w:val="both"/>
                          <w:rPr>
                            <w:rFonts w:ascii="宋体" w:hAnsi="宋体" w:cs="宋体" w:eastAsia="宋体" w:hint="default"/>
                            <w:sz w:val="18"/>
                            <w:szCs w:val="18"/>
                          </w:rPr>
                        </w:pPr>
                        <w:r>
                          <w:rPr>
                            <w:rFonts w:ascii="宋体" w:hAnsi="宋体" w:cs="宋体" w:eastAsia="宋体" w:hint="default"/>
                            <w:sz w:val="18"/>
                            <w:szCs w:val="18"/>
                          </w:rPr>
                          <w:t>调整后 投资总 额</w:t>
                        </w:r>
                        <w:r>
                          <w:rPr>
                            <w:rFonts w:ascii="宋体" w:hAnsi="宋体" w:cs="宋体" w:eastAsia="宋体" w:hint="default"/>
                            <w:sz w:val="18"/>
                            <w:szCs w:val="18"/>
                          </w:rPr>
                          <w:t>(1)</w:t>
                        </w:r>
                      </w:p>
                    </w:tc>
                    <w:tc>
                      <w:tcPr>
                        <w:tcW w:w="88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74" w:right="71"/>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8" w:right="56"/>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w:t>
                        </w:r>
                      </w:p>
                    </w:tc>
                    <w:tc>
                      <w:tcPr>
                        <w:tcW w:w="850"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7" w:right="55"/>
                          <w:jc w:val="center"/>
                          <w:rPr>
                            <w:rFonts w:ascii="宋体" w:hAnsi="宋体" w:cs="宋体" w:eastAsia="宋体" w:hint="default"/>
                            <w:sz w:val="18"/>
                            <w:szCs w:val="18"/>
                          </w:rPr>
                        </w:pPr>
                        <w:r>
                          <w:rPr>
                            <w:rFonts w:ascii="宋体" w:hAnsi="宋体" w:cs="宋体" w:eastAsia="宋体" w:hint="default"/>
                            <w:sz w:val="18"/>
                            <w:szCs w:val="18"/>
                          </w:rPr>
                          <w:t>截至期末 投资进度 </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t>(2)/(1)</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7" w:right="57"/>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5" w:right="7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4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24"/>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49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61" w:right="53"/>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6" w:hRule="exact"/>
                    </w:trPr>
                    <w:tc>
                      <w:tcPr>
                        <w:tcW w:w="9571" w:type="dxa"/>
                        <w:gridSpan w:val="1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32" w:hRule="exact"/>
                    </w:trPr>
                    <w:tc>
                      <w:tcPr>
                        <w:tcW w:w="1626"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150"/>
                          <w:jc w:val="both"/>
                          <w:rPr>
                            <w:rFonts w:ascii="宋体" w:hAnsi="宋体" w:cs="宋体" w:eastAsia="宋体" w:hint="default"/>
                            <w:sz w:val="18"/>
                            <w:szCs w:val="18"/>
                          </w:rPr>
                        </w:pPr>
                        <w:r>
                          <w:rPr>
                            <w:rFonts w:ascii="宋体" w:hAnsi="宋体" w:cs="宋体" w:eastAsia="宋体" w:hint="default"/>
                            <w:sz w:val="18"/>
                            <w:szCs w:val="18"/>
                          </w:rPr>
                          <w:t>电力用户用电信息 采集系统产能扩大 建设项目</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5" w:right="0"/>
                          <w:jc w:val="left"/>
                          <w:rPr>
                            <w:rFonts w:ascii="宋体" w:hAnsi="宋体" w:cs="宋体" w:eastAsia="宋体" w:hint="default"/>
                            <w:sz w:val="18"/>
                            <w:szCs w:val="18"/>
                          </w:rPr>
                        </w:pPr>
                        <w:r>
                          <w:rPr>
                            <w:rFonts w:ascii="宋体"/>
                            <w:sz w:val="18"/>
                          </w:rPr>
                          <w:t>15,300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宋体" w:hAnsi="宋体" w:cs="宋体" w:eastAsia="宋体" w:hint="default"/>
                            <w:sz w:val="18"/>
                            <w:szCs w:val="18"/>
                          </w:rPr>
                        </w:pPr>
                        <w:r>
                          <w:rPr>
                            <w:rFonts w:ascii="宋体"/>
                            <w:sz w:val="18"/>
                          </w:rPr>
                          <w:t>15,300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宋体" w:hAnsi="宋体" w:cs="宋体" w:eastAsia="宋体" w:hint="default"/>
                            <w:sz w:val="18"/>
                            <w:szCs w:val="18"/>
                          </w:rPr>
                        </w:pPr>
                        <w:r>
                          <w:rPr>
                            <w:rFonts w:ascii="宋体"/>
                            <w:sz w:val="18"/>
                          </w:rPr>
                          <w:t>1,979.55</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7" w:right="0"/>
                          <w:jc w:val="left"/>
                          <w:rPr>
                            <w:rFonts w:ascii="宋体" w:hAnsi="宋体" w:cs="宋体" w:eastAsia="宋体" w:hint="default"/>
                            <w:sz w:val="18"/>
                            <w:szCs w:val="18"/>
                          </w:rPr>
                        </w:pPr>
                        <w:r>
                          <w:rPr>
                            <w:rFonts w:ascii="宋体"/>
                            <w:sz w:val="18"/>
                          </w:rPr>
                          <w:t>5,706.99</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37.30%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6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5" w:right="0"/>
                          <w:jc w:val="left"/>
                          <w:rPr>
                            <w:rFonts w:ascii="宋体" w:hAnsi="宋体" w:cs="宋体" w:eastAsia="宋体" w:hint="default"/>
                            <w:sz w:val="18"/>
                            <w:szCs w:val="18"/>
                          </w:rPr>
                        </w:pPr>
                        <w:r>
                          <w:rPr>
                            <w:rFonts w:ascii="宋体"/>
                            <w:sz w:val="18"/>
                          </w:rPr>
                          <w:t>5,100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5,100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522.84</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sz w:val="18"/>
                          </w:rPr>
                          <w:t>2,772.82</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54.37%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6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09" w:right="0"/>
                          <w:jc w:val="left"/>
                          <w:rPr>
                            <w:rFonts w:ascii="宋体" w:hAnsi="宋体" w:cs="宋体" w:eastAsia="宋体" w:hint="default"/>
                            <w:sz w:val="18"/>
                            <w:szCs w:val="18"/>
                          </w:rPr>
                        </w:pPr>
                        <w:r>
                          <w:rPr>
                            <w:rFonts w:ascii="宋体"/>
                            <w:sz w:val="18"/>
                          </w:rPr>
                          <w:t>--</w:t>
                        </w:r>
                      </w:p>
                    </w:tc>
                    <w:tc>
                      <w:tcPr>
                        <w:tcW w:w="810" w:type="dxa"/>
                        <w:gridSpan w:val="2"/>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231" w:right="0"/>
                          <w:jc w:val="left"/>
                          <w:rPr>
                            <w:rFonts w:ascii="宋体" w:hAnsi="宋体" w:cs="宋体" w:eastAsia="宋体" w:hint="default"/>
                            <w:sz w:val="18"/>
                            <w:szCs w:val="18"/>
                          </w:rPr>
                        </w:pPr>
                        <w:r>
                          <w:rPr>
                            <w:rFonts w:ascii="宋体"/>
                            <w:sz w:val="18"/>
                          </w:rPr>
                          <w:t>20,400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20,400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2,502.39</w:t>
                        </w:r>
                      </w:p>
                    </w:tc>
                    <w:tc>
                      <w:tcPr>
                        <w:tcW w:w="992" w:type="dxa"/>
                        <w:gridSpan w:val="2"/>
                        <w:tcBorders>
                          <w:top w:val="single" w:sz="6" w:space="0" w:color="000000"/>
                          <w:left w:val="single" w:sz="6" w:space="0" w:color="000000"/>
                          <w:bottom w:val="single" w:sz="6" w:space="0" w:color="000000"/>
                          <w:right w:val="single" w:sz="14" w:space="0" w:color="D2D2D2"/>
                        </w:tcBorders>
                      </w:tcPr>
                      <w:p>
                        <w:pPr>
                          <w:pStyle w:val="TableParagraph"/>
                          <w:spacing w:line="240" w:lineRule="auto" w:before="51"/>
                          <w:ind w:left="237" w:right="0"/>
                          <w:jc w:val="left"/>
                          <w:rPr>
                            <w:rFonts w:ascii="宋体" w:hAnsi="宋体" w:cs="宋体" w:eastAsia="宋体" w:hint="default"/>
                            <w:sz w:val="18"/>
                            <w:szCs w:val="18"/>
                          </w:rPr>
                        </w:pPr>
                        <w:r>
                          <w:rPr>
                            <w:rFonts w:ascii="宋体"/>
                            <w:sz w:val="18"/>
                          </w:rPr>
                          <w:t>8,479.81</w:t>
                        </w:r>
                      </w:p>
                    </w:tc>
                    <w:tc>
                      <w:tcPr>
                        <w:tcW w:w="7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sz w:val="18"/>
                          </w:rPr>
                          <w:t>--</w:t>
                        </w:r>
                      </w:p>
                    </w:tc>
                    <w:tc>
                      <w:tcPr>
                        <w:tcW w:w="70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0</w:t>
                        </w:r>
                      </w:p>
                    </w:tc>
                    <w:tc>
                      <w:tcPr>
                        <w:tcW w:w="709"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0</w:t>
                        </w:r>
                      </w:p>
                    </w:tc>
                    <w:tc>
                      <w:tcPr>
                        <w:tcW w:w="4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97"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r>
                  <w:tr>
                    <w:trPr>
                      <w:trHeight w:val="406" w:hRule="exact"/>
                    </w:trPr>
                    <w:tc>
                      <w:tcPr>
                        <w:tcW w:w="9571" w:type="dxa"/>
                        <w:gridSpan w:val="1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16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收购南京宇能股权</w:t>
                        </w:r>
                      </w:p>
                    </w:tc>
                    <w:tc>
                      <w:tcPr>
                        <w:tcW w:w="7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881" w:type="dxa"/>
                        <w:tcBorders>
                          <w:top w:val="single" w:sz="6" w:space="0" w:color="000000"/>
                          <w:left w:val="single" w:sz="6" w:space="0" w:color="000000"/>
                          <w:bottom w:val="single" w:sz="6" w:space="0" w:color="000000"/>
                          <w:right w:val="single" w:sz="6" w:space="0" w:color="000000"/>
                        </w:tcBorders>
                      </w:tcPr>
                      <w:p>
                        <w:pP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07" w:right="0"/>
                          <w:jc w:val="left"/>
                          <w:rPr>
                            <w:rFonts w:ascii="宋体" w:hAnsi="宋体" w:cs="宋体" w:eastAsia="宋体" w:hint="default"/>
                            <w:sz w:val="18"/>
                            <w:szCs w:val="18"/>
                          </w:rPr>
                        </w:pPr>
                        <w:r>
                          <w:rPr>
                            <w:rFonts w:ascii="宋体"/>
                            <w:sz w:val="18"/>
                          </w:rPr>
                          <w:t>2,250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100.00%</w:t>
                        </w:r>
                      </w:p>
                    </w:tc>
                    <w:tc>
                      <w:tcPr>
                        <w:tcW w:w="85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-728.22</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-728.22</w:t>
                        </w:r>
                      </w:p>
                    </w:tc>
                    <w:tc>
                      <w:tcPr>
                        <w:tcW w:w="425"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12" w:space="0" w:color="000000"/>
                        </w:tcBorders>
                      </w:tcPr>
                      <w:p>
                        <w:pPr/>
                      </w:p>
                    </w:tc>
                  </w:tr>
                  <w:tr>
                    <w:trPr>
                      <w:trHeight w:val="184" w:hRule="exact"/>
                    </w:trPr>
                    <w:tc>
                      <w:tcPr>
                        <w:tcW w:w="1626"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补充流动资金</w:t>
                        </w:r>
                      </w:p>
                      <w:p>
                        <w:pPr>
                          <w:pStyle w:val="TableParagraph"/>
                          <w:spacing w:line="240" w:lineRule="auto" w:before="116"/>
                          <w:ind w:left="1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30"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720" w:type="dxa"/>
                        <w:vMerge w:val="restart"/>
                        <w:tcBorders>
                          <w:top w:val="single" w:sz="6" w:space="0" w:color="000000"/>
                          <w:left w:val="single" w:sz="9" w:space="0" w:color="D2D2D2"/>
                          <w:right w:val="single" w:sz="6" w:space="0" w:color="000000"/>
                        </w:tcBorders>
                      </w:tcPr>
                      <w:p>
                        <w:pPr/>
                      </w:p>
                    </w:tc>
                    <w:tc>
                      <w:tcPr>
                        <w:tcW w:w="722" w:type="dxa"/>
                        <w:vMerge w:val="restart"/>
                        <w:tcBorders>
                          <w:top w:val="single" w:sz="6" w:space="0" w:color="000000"/>
                          <w:left w:val="single" w:sz="6" w:space="0" w:color="000000"/>
                          <w:right w:val="single" w:sz="6" w:space="0" w:color="000000"/>
                        </w:tcBorders>
                      </w:tcPr>
                      <w:p>
                        <w:pPr/>
                      </w:p>
                    </w:tc>
                    <w:tc>
                      <w:tcPr>
                        <w:tcW w:w="881" w:type="dxa"/>
                        <w:vMerge w:val="restart"/>
                        <w:tcBorders>
                          <w:top w:val="single" w:sz="6" w:space="0" w:color="000000"/>
                          <w:left w:val="single" w:sz="6" w:space="0" w:color="000000"/>
                          <w:right w:val="single" w:sz="6" w:space="0" w:color="000000"/>
                        </w:tcBorders>
                      </w:tcPr>
                      <w:p>
                        <w:pPr/>
                      </w:p>
                    </w:tc>
                    <w:tc>
                      <w:tcPr>
                        <w:tcW w:w="992" w:type="dxa"/>
                        <w:gridSpan w:val="2"/>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07" w:right="0"/>
                          <w:jc w:val="left"/>
                          <w:rPr>
                            <w:rFonts w:ascii="宋体" w:hAnsi="宋体" w:cs="宋体" w:eastAsia="宋体" w:hint="default"/>
                            <w:sz w:val="18"/>
                            <w:szCs w:val="18"/>
                          </w:rPr>
                        </w:pPr>
                        <w:r>
                          <w:rPr>
                            <w:rFonts w:ascii="宋体"/>
                            <w:sz w:val="18"/>
                          </w:rPr>
                          <w:t>6,000</w:t>
                        </w:r>
                      </w:p>
                    </w:tc>
                    <w:tc>
                      <w:tcPr>
                        <w:tcW w:w="709" w:type="dxa"/>
                        <w:vMerge w:val="restart"/>
                        <w:tcBorders>
                          <w:top w:val="single" w:sz="6" w:space="0" w:color="000000"/>
                          <w:left w:val="single" w:sz="6" w:space="0" w:color="000000"/>
                          <w:right w:val="single" w:sz="8" w:space="0" w:color="D2D2D2"/>
                        </w:tcBorders>
                      </w:tcPr>
                      <w:p>
                        <w:pPr/>
                      </w:p>
                    </w:tc>
                    <w:tc>
                      <w:tcPr>
                        <w:tcW w:w="8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08" w:type="dxa"/>
                        <w:tcBorders>
                          <w:top w:val="single" w:sz="6" w:space="0" w:color="000000"/>
                          <w:left w:val="single" w:sz="6" w:space="0" w:color="000000"/>
                          <w:bottom w:val="nil" w:sz="6" w:space="0" w:color="auto"/>
                          <w:right w:val="single" w:sz="6" w:space="0" w:color="000000"/>
                        </w:tcBorders>
                        <w:shd w:val="clear" w:color="auto" w:fill="D2D2D2"/>
                      </w:tcPr>
                      <w:p>
                        <w:pPr/>
                      </w:p>
                    </w:tc>
                    <w:tc>
                      <w:tcPr>
                        <w:tcW w:w="709" w:type="dxa"/>
                        <w:tcBorders>
                          <w:top w:val="single" w:sz="6" w:space="0" w:color="000000"/>
                          <w:left w:val="single" w:sz="6" w:space="0" w:color="000000"/>
                          <w:bottom w:val="nil" w:sz="6" w:space="0" w:color="auto"/>
                          <w:right w:val="single" w:sz="6" w:space="0" w:color="000000"/>
                        </w:tcBorders>
                        <w:shd w:val="clear" w:color="auto" w:fill="D2D2D2"/>
                      </w:tcPr>
                      <w:p>
                        <w:pPr/>
                      </w:p>
                    </w:tc>
                    <w:tc>
                      <w:tcPr>
                        <w:tcW w:w="425" w:type="dxa"/>
                        <w:tcBorders>
                          <w:top w:val="single" w:sz="6" w:space="0" w:color="000000"/>
                          <w:left w:val="single" w:sz="6" w:space="0" w:color="000000"/>
                          <w:bottom w:val="nil" w:sz="6" w:space="0" w:color="auto"/>
                          <w:right w:val="single" w:sz="6" w:space="0" w:color="000000"/>
                        </w:tcBorders>
                        <w:shd w:val="clear" w:color="auto" w:fill="D2D2D2"/>
                      </w:tcPr>
                      <w:p>
                        <w:pPr/>
                      </w:p>
                    </w:tc>
                    <w:tc>
                      <w:tcPr>
                        <w:tcW w:w="497"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392" w:hRule="exact"/>
                    </w:trPr>
                    <w:tc>
                      <w:tcPr>
                        <w:tcW w:w="1626" w:type="dxa"/>
                        <w:vMerge/>
                        <w:tcBorders>
                          <w:left w:val="single" w:sz="12" w:space="0" w:color="000000"/>
                          <w:right w:val="single" w:sz="6" w:space="0" w:color="000000"/>
                        </w:tcBorders>
                        <w:shd w:val="clear" w:color="auto" w:fill="D2D2D2"/>
                      </w:tcPr>
                      <w:p>
                        <w:pPr/>
                      </w:p>
                    </w:tc>
                    <w:tc>
                      <w:tcPr>
                        <w:tcW w:w="730" w:type="dxa"/>
                        <w:gridSpan w:val="2"/>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sz w:val="18"/>
                          </w:rPr>
                          <w:t>--</w:t>
                        </w:r>
                      </w:p>
                    </w:tc>
                    <w:tc>
                      <w:tcPr>
                        <w:tcW w:w="720" w:type="dxa"/>
                        <w:vMerge/>
                        <w:tcBorders>
                          <w:left w:val="single" w:sz="9" w:space="0" w:color="D2D2D2"/>
                          <w:right w:val="single" w:sz="6" w:space="0" w:color="000000"/>
                        </w:tcBorders>
                      </w:tcPr>
                      <w:p>
                        <w:pPr/>
                      </w:p>
                    </w:tc>
                    <w:tc>
                      <w:tcPr>
                        <w:tcW w:w="722" w:type="dxa"/>
                        <w:vMerge/>
                        <w:tcBorders>
                          <w:left w:val="single" w:sz="6" w:space="0" w:color="000000"/>
                          <w:right w:val="single" w:sz="6" w:space="0" w:color="000000"/>
                        </w:tcBorders>
                      </w:tcPr>
                      <w:p>
                        <w:pPr/>
                      </w:p>
                    </w:tc>
                    <w:tc>
                      <w:tcPr>
                        <w:tcW w:w="881" w:type="dxa"/>
                        <w:vMerge/>
                        <w:tcBorders>
                          <w:left w:val="single" w:sz="6" w:space="0" w:color="000000"/>
                          <w:right w:val="single" w:sz="6" w:space="0" w:color="000000"/>
                        </w:tcBorders>
                      </w:tcPr>
                      <w:p>
                        <w:pPr/>
                      </w:p>
                    </w:tc>
                    <w:tc>
                      <w:tcPr>
                        <w:tcW w:w="992" w:type="dxa"/>
                        <w:gridSpan w:val="2"/>
                        <w:vMerge/>
                        <w:tcBorders>
                          <w:left w:val="single" w:sz="6" w:space="0" w:color="000000"/>
                          <w:right w:val="single" w:sz="6" w:space="0" w:color="000000"/>
                        </w:tcBorders>
                      </w:tcPr>
                      <w:p>
                        <w:pPr/>
                      </w:p>
                    </w:tc>
                    <w:tc>
                      <w:tcPr>
                        <w:tcW w:w="709" w:type="dxa"/>
                        <w:vMerge/>
                        <w:tcBorders>
                          <w:left w:val="single" w:sz="6" w:space="0" w:color="000000"/>
                          <w:right w:val="single" w:sz="8" w:space="0" w:color="D2D2D2"/>
                        </w:tcBorders>
                      </w:tcPr>
                      <w:p>
                        <w:pPr/>
                      </w:p>
                    </w:tc>
                    <w:tc>
                      <w:tcPr>
                        <w:tcW w:w="85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sz w:val="18"/>
                          </w:rPr>
                          <w:t>--</w:t>
                        </w:r>
                      </w:p>
                    </w:tc>
                    <w:tc>
                      <w:tcPr>
                        <w:tcW w:w="70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0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42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97" w:type="dxa"/>
                        <w:tcBorders>
                          <w:top w:val="nil" w:sz="6" w:space="0" w:color="auto"/>
                          <w:left w:val="single" w:sz="6" w:space="0" w:color="000000"/>
                          <w:bottom w:val="nil" w:sz="6" w:space="0" w:color="auto"/>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r>
                  <w:tr>
                    <w:trPr>
                      <w:trHeight w:val="184" w:hRule="exact"/>
                    </w:trPr>
                    <w:tc>
                      <w:tcPr>
                        <w:tcW w:w="1626" w:type="dxa"/>
                        <w:vMerge/>
                        <w:tcBorders>
                          <w:left w:val="single" w:sz="12" w:space="0" w:color="000000"/>
                          <w:bottom w:val="single" w:sz="6" w:space="0" w:color="000000"/>
                          <w:right w:val="single" w:sz="6" w:space="0" w:color="000000"/>
                        </w:tcBorders>
                        <w:shd w:val="clear" w:color="auto" w:fill="D2D2D2"/>
                      </w:tcPr>
                      <w:p>
                        <w:pPr/>
                      </w:p>
                    </w:tc>
                    <w:tc>
                      <w:tcPr>
                        <w:tcW w:w="730"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720" w:type="dxa"/>
                        <w:vMerge/>
                        <w:tcBorders>
                          <w:left w:val="single" w:sz="9" w:space="0" w:color="D2D2D2"/>
                          <w:bottom w:val="single" w:sz="6" w:space="0" w:color="000000"/>
                          <w:right w:val="single" w:sz="6" w:space="0" w:color="000000"/>
                        </w:tcBorders>
                      </w:tcPr>
                      <w:p>
                        <w:pPr/>
                      </w:p>
                    </w:tc>
                    <w:tc>
                      <w:tcPr>
                        <w:tcW w:w="722" w:type="dxa"/>
                        <w:vMerge/>
                        <w:tcBorders>
                          <w:left w:val="single" w:sz="6" w:space="0" w:color="000000"/>
                          <w:bottom w:val="single" w:sz="6" w:space="0" w:color="000000"/>
                          <w:right w:val="single" w:sz="6" w:space="0" w:color="000000"/>
                        </w:tcBorders>
                      </w:tcPr>
                      <w:p>
                        <w:pPr/>
                      </w:p>
                    </w:tc>
                    <w:tc>
                      <w:tcPr>
                        <w:tcW w:w="881" w:type="dxa"/>
                        <w:vMerge/>
                        <w:tcBorders>
                          <w:left w:val="single" w:sz="6" w:space="0" w:color="000000"/>
                          <w:bottom w:val="single" w:sz="6" w:space="0" w:color="000000"/>
                          <w:right w:val="single" w:sz="6" w:space="0" w:color="000000"/>
                        </w:tcBorders>
                      </w:tcPr>
                      <w:p>
                        <w:pPr/>
                      </w:p>
                    </w:tc>
                    <w:tc>
                      <w:tcPr>
                        <w:tcW w:w="992" w:type="dxa"/>
                        <w:gridSpan w:val="2"/>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8" w:space="0" w:color="D2D2D2"/>
                        </w:tcBorders>
                      </w:tcPr>
                      <w:p>
                        <w:pPr/>
                      </w:p>
                    </w:tc>
                    <w:tc>
                      <w:tcPr>
                        <w:tcW w:w="8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08" w:type="dxa"/>
                        <w:tcBorders>
                          <w:top w:val="nil" w:sz="6" w:space="0" w:color="auto"/>
                          <w:left w:val="single" w:sz="6" w:space="0" w:color="000000"/>
                          <w:bottom w:val="single" w:sz="6" w:space="0" w:color="000000"/>
                          <w:right w:val="single" w:sz="6" w:space="0" w:color="000000"/>
                        </w:tcBorders>
                        <w:shd w:val="clear" w:color="auto" w:fill="D2D2D2"/>
                      </w:tcPr>
                      <w:p>
                        <w:pPr/>
                      </w:p>
                    </w:tc>
                    <w:tc>
                      <w:tcPr>
                        <w:tcW w:w="709" w:type="dxa"/>
                        <w:tcBorders>
                          <w:top w:val="nil" w:sz="6" w:space="0" w:color="auto"/>
                          <w:left w:val="single" w:sz="6" w:space="0" w:color="000000"/>
                          <w:bottom w:val="single" w:sz="6" w:space="0" w:color="000000"/>
                          <w:right w:val="single" w:sz="6" w:space="0" w:color="000000"/>
                        </w:tcBorders>
                        <w:shd w:val="clear" w:color="auto" w:fill="D2D2D2"/>
                      </w:tcPr>
                      <w:p>
                        <w:pPr/>
                      </w:p>
                    </w:tc>
                    <w:tc>
                      <w:tcPr>
                        <w:tcW w:w="425" w:type="dxa"/>
                        <w:tcBorders>
                          <w:top w:val="nil" w:sz="6" w:space="0" w:color="auto"/>
                          <w:left w:val="single" w:sz="6" w:space="0" w:color="000000"/>
                          <w:bottom w:val="single" w:sz="6" w:space="0" w:color="000000"/>
                          <w:right w:val="single" w:sz="6" w:space="0" w:color="000000"/>
                        </w:tcBorders>
                        <w:shd w:val="clear" w:color="auto" w:fill="D2D2D2"/>
                      </w:tcPr>
                      <w:p>
                        <w:pPr/>
                      </w:p>
                    </w:tc>
                    <w:tc>
                      <w:tcPr>
                        <w:tcW w:w="497"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07" w:hRule="exact"/>
                    </w:trPr>
                    <w:tc>
                      <w:tcPr>
                        <w:tcW w:w="16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sz w:val="18"/>
                          </w:rPr>
                          <w:t>--</w:t>
                        </w:r>
                      </w:p>
                    </w:tc>
                    <w:tc>
                      <w:tcPr>
                        <w:tcW w:w="720" w:type="dxa"/>
                        <w:tcBorders>
                          <w:top w:val="single" w:sz="6" w:space="0" w:color="000000"/>
                          <w:left w:val="single" w:sz="9" w:space="0" w:color="D2D2D2"/>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881" w:type="dxa"/>
                        <w:tcBorders>
                          <w:top w:val="single" w:sz="6" w:space="0" w:color="000000"/>
                          <w:left w:val="single" w:sz="6" w:space="0" w:color="000000"/>
                          <w:bottom w:val="single" w:sz="6" w:space="0" w:color="000000"/>
                          <w:right w:val="single" w:sz="6" w:space="0" w:color="000000"/>
                        </w:tcBorders>
                      </w:tcPr>
                      <w:p>
                        <w:pPr/>
                      </w:p>
                    </w:tc>
                    <w:tc>
                      <w:tcPr>
                        <w:tcW w:w="992" w:type="dxa"/>
                        <w:gridSpan w:val="2"/>
                        <w:tcBorders>
                          <w:top w:val="single" w:sz="6" w:space="0" w:color="000000"/>
                          <w:left w:val="single" w:sz="6" w:space="0" w:color="000000"/>
                          <w:bottom w:val="single" w:sz="6" w:space="0" w:color="000000"/>
                          <w:right w:val="single" w:sz="14" w:space="0" w:color="D2D2D2"/>
                        </w:tcBorders>
                      </w:tcPr>
                      <w:p>
                        <w:pPr>
                          <w:pStyle w:val="TableParagraph"/>
                          <w:spacing w:line="240" w:lineRule="auto" w:before="51"/>
                          <w:ind w:left="507" w:right="0"/>
                          <w:jc w:val="left"/>
                          <w:rPr>
                            <w:rFonts w:ascii="宋体" w:hAnsi="宋体" w:cs="宋体" w:eastAsia="宋体" w:hint="default"/>
                            <w:sz w:val="18"/>
                            <w:szCs w:val="18"/>
                          </w:rPr>
                        </w:pPr>
                        <w:r>
                          <w:rPr>
                            <w:rFonts w:ascii="宋体"/>
                            <w:sz w:val="18"/>
                          </w:rPr>
                          <w:t>8,250</w:t>
                        </w:r>
                      </w:p>
                    </w:tc>
                    <w:tc>
                      <w:tcPr>
                        <w:tcW w:w="7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sz w:val="18"/>
                          </w:rPr>
                          <w:t>--</w:t>
                        </w:r>
                      </w:p>
                    </w:tc>
                    <w:tc>
                      <w:tcPr>
                        <w:tcW w:w="70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-728.22</w:t>
                        </w:r>
                      </w:p>
                    </w:tc>
                    <w:tc>
                      <w:tcPr>
                        <w:tcW w:w="709"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-728.22</w:t>
                        </w:r>
                      </w:p>
                    </w:tc>
                    <w:tc>
                      <w:tcPr>
                        <w:tcW w:w="4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97"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r>
                  <w:tr>
                    <w:trPr>
                      <w:trHeight w:val="407" w:hRule="exact"/>
                    </w:trPr>
                    <w:tc>
                      <w:tcPr>
                        <w:tcW w:w="162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sz w:val="18"/>
                          </w:rPr>
                          <w:t>--</w:t>
                        </w:r>
                      </w:p>
                    </w:tc>
                    <w:tc>
                      <w:tcPr>
                        <w:tcW w:w="72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141" w:right="0"/>
                          <w:jc w:val="left"/>
                          <w:rPr>
                            <w:rFonts w:ascii="宋体" w:hAnsi="宋体" w:cs="宋体" w:eastAsia="宋体" w:hint="default"/>
                            <w:sz w:val="18"/>
                            <w:szCs w:val="18"/>
                          </w:rPr>
                        </w:pPr>
                        <w:r>
                          <w:rPr>
                            <w:rFonts w:ascii="宋体"/>
                            <w:sz w:val="18"/>
                          </w:rPr>
                          <w:t>20,400</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20,400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2,502.39</w:t>
                        </w:r>
                      </w:p>
                    </w:tc>
                    <w:tc>
                      <w:tcPr>
                        <w:tcW w:w="992" w:type="dxa"/>
                        <w:gridSpan w:val="2"/>
                        <w:tcBorders>
                          <w:top w:val="single" w:sz="6" w:space="0" w:color="000000"/>
                          <w:left w:val="single" w:sz="6" w:space="0" w:color="000000"/>
                          <w:bottom w:val="single" w:sz="6" w:space="0" w:color="000000"/>
                          <w:right w:val="single" w:sz="14" w:space="0" w:color="D2D2D2"/>
                        </w:tcBorders>
                      </w:tcPr>
                      <w:p>
                        <w:pPr>
                          <w:pStyle w:val="TableParagraph"/>
                          <w:spacing w:line="240" w:lineRule="auto" w:before="51"/>
                          <w:ind w:left="147" w:right="0"/>
                          <w:jc w:val="left"/>
                          <w:rPr>
                            <w:rFonts w:ascii="宋体" w:hAnsi="宋体" w:cs="宋体" w:eastAsia="宋体" w:hint="default"/>
                            <w:sz w:val="18"/>
                            <w:szCs w:val="18"/>
                          </w:rPr>
                        </w:pPr>
                        <w:r>
                          <w:rPr>
                            <w:rFonts w:ascii="宋体"/>
                            <w:sz w:val="18"/>
                          </w:rPr>
                          <w:t>16,729.81</w:t>
                        </w:r>
                      </w:p>
                    </w:tc>
                    <w:tc>
                      <w:tcPr>
                        <w:tcW w:w="7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sz w:val="18"/>
                          </w:rPr>
                          <w:t>--</w:t>
                        </w:r>
                      </w:p>
                    </w:tc>
                    <w:tc>
                      <w:tcPr>
                        <w:tcW w:w="70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-728.22</w:t>
                        </w:r>
                      </w:p>
                    </w:tc>
                    <w:tc>
                      <w:tcPr>
                        <w:tcW w:w="709"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-728.22</w:t>
                        </w:r>
                      </w:p>
                    </w:tc>
                    <w:tc>
                      <w:tcPr>
                        <w:tcW w:w="4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97"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r>
                  <w:tr>
                    <w:trPr>
                      <w:trHeight w:val="436" w:hRule="exact"/>
                    </w:trPr>
                    <w:tc>
                      <w:tcPr>
                        <w:tcW w:w="1626" w:type="dxa"/>
                        <w:tcBorders>
                          <w:top w:val="single" w:sz="6" w:space="0" w:color="000000"/>
                          <w:left w:val="single" w:sz="12" w:space="0" w:color="000000"/>
                          <w:bottom w:val="nil" w:sz="6" w:space="0" w:color="auto"/>
                          <w:right w:val="single" w:sz="14" w:space="0" w:color="FFFFFF"/>
                        </w:tcBorders>
                        <w:shd w:val="clear" w:color="auto" w:fill="D2D2D2"/>
                      </w:tcPr>
                      <w:p>
                        <w:pPr/>
                      </w:p>
                    </w:tc>
                    <w:tc>
                      <w:tcPr>
                        <w:tcW w:w="7945" w:type="dxa"/>
                        <w:gridSpan w:val="13"/>
                        <w:vMerge w:val="restart"/>
                        <w:tcBorders>
                          <w:top w:val="single" w:sz="6" w:space="0" w:color="000000"/>
                          <w:left w:val="single" w:sz="23" w:space="0" w:color="FFFFFF"/>
                          <w:right w:val="single" w:sz="12" w:space="0" w:color="000000"/>
                        </w:tcBorders>
                      </w:tcPr>
                      <w:p>
                        <w:pPr>
                          <w:pStyle w:val="TableParagraph"/>
                          <w:spacing w:line="316" w:lineRule="auto" w:before="11"/>
                          <w:ind w:left="7" w:right="11"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、电力用户用电信息采集系统产能扩大建设项目：由于公司变更了募集资金投资项目实施地点 详见公司 </w:t>
                        </w:r>
                        <w:r>
                          <w:rPr>
                            <w:rFonts w:ascii="宋体" w:hAnsi="宋体" w:cs="宋体" w:eastAsia="宋体" w:hint="default"/>
                            <w:sz w:val="18"/>
                            <w:szCs w:val="18"/>
                          </w:rPr>
                          <w:t>2013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 </w:t>
                        </w:r>
                        <w:r>
                          <w:rPr>
                            <w:rFonts w:ascii="宋体" w:hAnsi="宋体" w:cs="宋体" w:eastAsia="宋体" w:hint="default"/>
                            <w:sz w:val="18"/>
                            <w:szCs w:val="18"/>
                          </w:rPr>
                          <w:t>15</w:t>
                        </w:r>
                        <w:r>
                          <w:rPr>
                            <w:rFonts w:ascii="宋体" w:hAnsi="宋体" w:cs="宋体" w:eastAsia="宋体" w:hint="default"/>
                            <w:spacing w:val="-36"/>
                            <w:sz w:val="18"/>
                            <w:szCs w:val="18"/>
                          </w:rPr>
                          <w:t> </w:t>
                        </w:r>
                        <w:r>
                          <w:rPr>
                            <w:rFonts w:ascii="宋体" w:hAnsi="宋体" w:cs="宋体" w:eastAsia="宋体" w:hint="default"/>
                            <w:spacing w:val="-3"/>
                            <w:sz w:val="18"/>
                            <w:szCs w:val="18"/>
                          </w:rPr>
                          <w:t>日披露的《关于变更部分募集资金投资项目实施地点的公告》（公告编码</w:t>
                        </w:r>
                      </w:p>
                      <w:p>
                        <w:pPr>
                          <w:pStyle w:val="TableParagraph"/>
                          <w:spacing w:line="316" w:lineRule="auto" w:before="19"/>
                          <w:ind w:left="7" w:right="8"/>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2013</w:t>
                        </w:r>
                        <w:r>
                          <w:rPr>
                            <w:rFonts w:ascii="宋体" w:hAnsi="宋体" w:cs="宋体" w:eastAsia="宋体" w:hint="default"/>
                            <w:spacing w:val="-1"/>
                            <w:sz w:val="18"/>
                            <w:szCs w:val="18"/>
                          </w:rPr>
                          <w:t>）</w:t>
                        </w:r>
                        <w:r>
                          <w:rPr>
                            <w:rFonts w:ascii="宋体" w:hAnsi="宋体" w:cs="宋体" w:eastAsia="宋体" w:hint="default"/>
                            <w:spacing w:val="-1"/>
                            <w:sz w:val="18"/>
                            <w:szCs w:val="18"/>
                          </w:rPr>
                          <w:t>0111-</w:t>
                        </w:r>
                        <w:r>
                          <w:rPr>
                            <w:rFonts w:ascii="宋体" w:hAnsi="宋体" w:cs="宋体" w:eastAsia="宋体" w:hint="default"/>
                            <w:spacing w:val="-39"/>
                            <w:sz w:val="18"/>
                            <w:szCs w:val="18"/>
                          </w:rPr>
                          <w:t> </w:t>
                        </w:r>
                        <w:r>
                          <w:rPr>
                            <w:rFonts w:ascii="宋体" w:hAnsi="宋体" w:cs="宋体" w:eastAsia="宋体" w:hint="default"/>
                            <w:sz w:val="18"/>
                            <w:szCs w:val="18"/>
                          </w:rPr>
                          <w:t>003</w:t>
                        </w:r>
                        <w:r>
                          <w:rPr>
                            <w:rFonts w:ascii="宋体" w:hAnsi="宋体" w:cs="宋体" w:eastAsia="宋体" w:hint="default"/>
                            <w:spacing w:val="-39"/>
                            <w:sz w:val="18"/>
                            <w:szCs w:val="18"/>
                          </w:rPr>
                          <w:t> </w:t>
                        </w:r>
                        <w:r>
                          <w:rPr>
                            <w:rFonts w:ascii="宋体" w:hAnsi="宋体" w:cs="宋体" w:eastAsia="宋体" w:hint="default"/>
                            <w:spacing w:val="-4"/>
                            <w:sz w:val="18"/>
                            <w:szCs w:val="18"/>
                          </w:rPr>
                          <w:t>号），与之相关的规划许可审批、施工图审批、消防审批及项目施工许可审批等环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节都相应调整并重新办理，需时较长。另外，公司所在城市于</w:t>
                        </w:r>
                        <w:r>
                          <w:rPr>
                            <w:rFonts w:ascii="宋体" w:hAnsi="宋体" w:cs="宋体" w:eastAsia="宋体" w:hint="default"/>
                            <w:spacing w:val="-43"/>
                            <w:sz w:val="18"/>
                            <w:szCs w:val="18"/>
                          </w:rPr>
                          <w:t> </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年承办亚青会，</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年承办青奥 </w:t>
                        </w:r>
                        <w:r>
                          <w:rPr>
                            <w:rFonts w:ascii="宋体" w:hAnsi="宋体" w:cs="宋体" w:eastAsia="宋体" w:hint="default"/>
                            <w:spacing w:val="-1"/>
                            <w:sz w:val="18"/>
                            <w:szCs w:val="18"/>
                          </w:rPr>
                          <w:t>会，服从政府部门在此期间对基建项目的管理要求也对项目的基建工期有一定影响，公司考虑到上述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因素，公司在《</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年度半年度报告》中将“电力用户用电信息采集系统产能扩大建设项目”达到</w:t>
                        </w:r>
                      </w:p>
                    </w:tc>
                  </w:tr>
                  <w:tr>
                    <w:trPr>
                      <w:trHeight w:val="1017" w:hRule="exact"/>
                    </w:trPr>
                    <w:tc>
                      <w:tcPr>
                        <w:tcW w:w="1626" w:type="dxa"/>
                        <w:tcBorders>
                          <w:top w:val="nil" w:sz="6" w:space="0" w:color="auto"/>
                          <w:left w:val="single" w:sz="12" w:space="0" w:color="000000"/>
                          <w:bottom w:val="nil" w:sz="6" w:space="0" w:color="auto"/>
                          <w:right w:val="single" w:sz="14" w:space="0" w:color="FFFFFF"/>
                        </w:tcBorders>
                        <w:shd w:val="clear" w:color="auto" w:fill="D2D2D2"/>
                      </w:tcPr>
                      <w:p>
                        <w:pPr>
                          <w:pStyle w:val="TableParagraph"/>
                          <w:spacing w:line="319" w:lineRule="auto" w:before="51"/>
                          <w:ind w:left="13" w:right="-40"/>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45" w:type="dxa"/>
                        <w:gridSpan w:val="13"/>
                        <w:vMerge/>
                        <w:tcBorders>
                          <w:left w:val="single" w:sz="23" w:space="0" w:color="FFFFFF"/>
                          <w:right w:val="single" w:sz="12" w:space="0" w:color="000000"/>
                        </w:tcBorders>
                      </w:tcPr>
                      <w:p>
                        <w:pPr/>
                      </w:p>
                    </w:tc>
                  </w:tr>
                  <w:tr>
                    <w:trPr>
                      <w:trHeight w:val="443" w:hRule="exact"/>
                    </w:trPr>
                    <w:tc>
                      <w:tcPr>
                        <w:tcW w:w="1626" w:type="dxa"/>
                        <w:tcBorders>
                          <w:top w:val="nil" w:sz="6" w:space="0" w:color="auto"/>
                          <w:left w:val="single" w:sz="12" w:space="0" w:color="000000"/>
                          <w:bottom w:val="single" w:sz="12" w:space="0" w:color="000000"/>
                          <w:right w:val="single" w:sz="14" w:space="0" w:color="FFFFFF"/>
                        </w:tcBorders>
                        <w:shd w:val="clear" w:color="auto" w:fill="D2D2D2"/>
                      </w:tcPr>
                      <w:p>
                        <w:pPr/>
                      </w:p>
                    </w:tc>
                    <w:tc>
                      <w:tcPr>
                        <w:tcW w:w="7945" w:type="dxa"/>
                        <w:gridSpan w:val="13"/>
                        <w:vMerge/>
                        <w:tcBorders>
                          <w:left w:val="single" w:sz="23" w:space="0" w:color="FFFFFF"/>
                          <w:bottom w:val="single" w:sz="12" w:space="0" w:color="000000"/>
                          <w:right w:val="single" w:sz="12"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634"/>
        <w:gridCol w:w="7937"/>
      </w:tblGrid>
      <w:tr>
        <w:trPr>
          <w:trHeight w:val="8447" w:hRule="exact"/>
        </w:trPr>
        <w:tc>
          <w:tcPr>
            <w:tcW w:w="1634"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793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预定可使用状态日期由</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76"/>
              <w:ind w:left="20" w:right="11" w:firstLine="360"/>
              <w:jc w:val="both"/>
              <w:rPr>
                <w:rFonts w:ascii="宋体" w:hAnsi="宋体" w:cs="宋体" w:eastAsia="宋体" w:hint="default"/>
                <w:sz w:val="18"/>
                <w:szCs w:val="18"/>
              </w:rPr>
            </w:pPr>
            <w:r>
              <w:rPr>
                <w:rFonts w:ascii="宋体" w:hAnsi="宋体" w:cs="宋体" w:eastAsia="宋体" w:hint="default"/>
                <w:sz w:val="18"/>
                <w:szCs w:val="18"/>
              </w:rPr>
              <w:t>由于亚青会的召开及青奥会前期的市政工作，募投项目 </w:t>
            </w: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年下半年的基建进度受到的影响比 </w:t>
            </w:r>
            <w:r>
              <w:rPr>
                <w:rFonts w:ascii="宋体" w:hAnsi="宋体" w:cs="宋体" w:eastAsia="宋体" w:hint="default"/>
                <w:spacing w:val="-2"/>
                <w:sz w:val="18"/>
                <w:szCs w:val="18"/>
              </w:rPr>
              <w:t>预期要大，此外为响应党的十八大关于绿色、科技、节能、减排的号召，综合考虑募投项目未来运行</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1"/>
                <w:sz w:val="18"/>
                <w:szCs w:val="18"/>
              </w:rPr>
              <w:t>及管理的科学性和便利性，以及灵活利用生产设备，充分发挥生产效率的需要，公司对电力用户用电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信息采集系统产能扩大建设项目在厂房内部结构和布局上重新进行规划设计。为避免完工后二次改造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产生额外成本，公司决定在厂房建设阶段即进行方案设计和实施，将其建设成节能减排、绿色科技厂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房。考虑到上述因素，公司拟将“电力用户用电信息采集系统产能扩大建设项目”达到预定可使用状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态日期由</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19"/>
              <w:ind w:left="20" w:right="10" w:firstLine="360"/>
              <w:jc w:val="both"/>
              <w:rPr>
                <w:rFonts w:ascii="宋体" w:hAnsi="宋体" w:cs="宋体" w:eastAsia="宋体" w:hint="default"/>
                <w:sz w:val="18"/>
                <w:szCs w:val="18"/>
              </w:rPr>
            </w:pPr>
            <w:r>
              <w:rPr>
                <w:rFonts w:ascii="宋体" w:hAnsi="宋体" w:cs="宋体" w:eastAsia="宋体" w:hint="default"/>
                <w:spacing w:val="-1"/>
                <w:sz w:val="18"/>
                <w:szCs w:val="18"/>
              </w:rPr>
              <w:t>目前，电力用户用电信息采集系统产能扩大建设项目的厂房已建设完毕，按照柔性产能确定的生</w:t>
            </w:r>
            <w:r>
              <w:rPr>
                <w:rFonts w:ascii="宋体" w:hAnsi="宋体" w:cs="宋体" w:eastAsia="宋体" w:hint="default"/>
                <w:sz w:val="18"/>
                <w:szCs w:val="18"/>
              </w:rPr>
              <w:t> </w:t>
            </w:r>
            <w:r>
              <w:rPr>
                <w:rFonts w:ascii="宋体" w:hAnsi="宋体" w:cs="宋体" w:eastAsia="宋体" w:hint="default"/>
                <w:spacing w:val="-1"/>
                <w:sz w:val="18"/>
                <w:szCs w:val="18"/>
              </w:rPr>
              <w:t>产设备的合同已陆续签署。由于该项目厂房与公司综合楼在同一地块一起投入建设，综合楼建设体量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比厂房大，故在建设进度上慢于厂房，在规划供电、排水、交通、后勤保障等方面综合楼与厂房需要</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1"/>
                <w:sz w:val="18"/>
                <w:szCs w:val="18"/>
              </w:rPr>
              <w:t>同步考虑，从经济效益角度考虑，厂房与综合楼同时启用经济效益最优，运行成本较低，综合楼预计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pacing w:val="-2"/>
                <w:sz w:val="18"/>
                <w:szCs w:val="18"/>
              </w:rPr>
              <w:t>年年初交付使用，考虑到上述因素，公司拟将“电力用户用电信息采集系统产能扩大建设项目”</w:t>
            </w:r>
          </w:p>
          <w:p>
            <w:pPr>
              <w:pStyle w:val="TableParagraph"/>
              <w:spacing w:line="316" w:lineRule="auto" w:before="19"/>
              <w:ind w:left="470" w:right="11" w:hanging="450"/>
              <w:jc w:val="left"/>
              <w:rPr>
                <w:rFonts w:ascii="宋体" w:hAnsi="宋体" w:cs="宋体" w:eastAsia="宋体" w:hint="default"/>
                <w:sz w:val="18"/>
                <w:szCs w:val="18"/>
              </w:rPr>
            </w:pPr>
            <w:r>
              <w:rPr>
                <w:rFonts w:ascii="宋体" w:hAnsi="宋体" w:cs="宋体" w:eastAsia="宋体" w:hint="default"/>
                <w:sz w:val="18"/>
                <w:szCs w:val="18"/>
              </w:rPr>
              <w:t>达到预定可使用状态日期由</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日调整至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 </w:t>
            </w:r>
            <w:r>
              <w:rPr>
                <w:rFonts w:ascii="宋体" w:hAnsi="宋体" w:cs="宋体" w:eastAsia="宋体" w:hint="default"/>
                <w:spacing w:val="-1"/>
                <w:sz w:val="18"/>
                <w:szCs w:val="18"/>
              </w:rPr>
              <w:t>2</w:t>
            </w:r>
            <w:r>
              <w:rPr>
                <w:rFonts w:ascii="宋体" w:hAnsi="宋体" w:cs="宋体" w:eastAsia="宋体" w:hint="default"/>
                <w:spacing w:val="-1"/>
                <w:sz w:val="18"/>
                <w:szCs w:val="18"/>
              </w:rPr>
              <w:t>、研发中心建设项目：因同受上述“电力用户用电信息采集系统产能扩大建设项目”延期因素</w:t>
            </w:r>
          </w:p>
          <w:p>
            <w:pPr>
              <w:pStyle w:val="TableParagraph"/>
              <w:spacing w:line="240" w:lineRule="auto" w:before="19"/>
              <w:ind w:left="20" w:right="0"/>
              <w:jc w:val="left"/>
              <w:rPr>
                <w:rFonts w:ascii="宋体" w:hAnsi="宋体" w:cs="宋体" w:eastAsia="宋体" w:hint="default"/>
                <w:sz w:val="18"/>
                <w:szCs w:val="18"/>
              </w:rPr>
            </w:pPr>
            <w:r>
              <w:rPr>
                <w:rFonts w:ascii="宋体" w:hAnsi="宋体" w:cs="宋体" w:eastAsia="宋体" w:hint="default"/>
                <w:sz w:val="18"/>
                <w:szCs w:val="18"/>
              </w:rPr>
              <w:t>影响，公司在《</w:t>
            </w:r>
            <w:r>
              <w:rPr>
                <w:rFonts w:ascii="宋体" w:hAnsi="宋体" w:cs="宋体" w:eastAsia="宋体" w:hint="default"/>
                <w:sz w:val="18"/>
                <w:szCs w:val="18"/>
              </w:rPr>
              <w:t>2013 </w:t>
            </w:r>
            <w:r>
              <w:rPr>
                <w:rFonts w:ascii="宋体" w:hAnsi="宋体" w:cs="宋体" w:eastAsia="宋体" w:hint="default"/>
                <w:sz w:val="18"/>
                <w:szCs w:val="18"/>
              </w:rPr>
              <w:t>年度半年度报告》中将“研发中心建设项目”达到预定可使用状态日期由</w:t>
            </w:r>
            <w:r>
              <w:rPr>
                <w:rFonts w:ascii="宋体" w:hAnsi="宋体" w:cs="宋体" w:eastAsia="宋体" w:hint="default"/>
                <w:spacing w:val="-39"/>
                <w:sz w:val="18"/>
                <w:szCs w:val="18"/>
              </w:rPr>
              <w:t> </w:t>
            </w:r>
            <w:r>
              <w:rPr>
                <w:rFonts w:ascii="宋体" w:hAnsi="宋体" w:cs="宋体" w:eastAsia="宋体" w:hint="default"/>
                <w:sz w:val="18"/>
                <w:szCs w:val="18"/>
              </w:rPr>
              <w:t>2013</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6"/>
                <w:sz w:val="18"/>
                <w:szCs w:val="18"/>
              </w:rPr>
              <w:t> </w:t>
            </w: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316" w:lineRule="auto" w:before="76"/>
              <w:ind w:left="20" w:right="10" w:firstLine="360"/>
              <w:jc w:val="both"/>
              <w:rPr>
                <w:rFonts w:ascii="宋体" w:hAnsi="宋体" w:cs="宋体" w:eastAsia="宋体" w:hint="default"/>
                <w:sz w:val="18"/>
                <w:szCs w:val="18"/>
              </w:rPr>
            </w:pPr>
            <w:r>
              <w:rPr>
                <w:rFonts w:ascii="宋体" w:hAnsi="宋体" w:cs="宋体" w:eastAsia="宋体" w:hint="default"/>
                <w:sz w:val="18"/>
                <w:szCs w:val="18"/>
              </w:rPr>
              <w:t>公司所在城市 </w:t>
            </w: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年将承办青奥会，为服从政府部门对城市重要干道基建项目的管理，致使项 </w:t>
            </w:r>
            <w:r>
              <w:rPr>
                <w:rFonts w:ascii="宋体" w:hAnsi="宋体" w:cs="宋体" w:eastAsia="宋体" w:hint="default"/>
                <w:spacing w:val="-1"/>
                <w:sz w:val="18"/>
                <w:szCs w:val="18"/>
              </w:rPr>
              <w:t>目的基建完工时间有所推迟。研发中心项目所在综合楼目前已完成主体封顶，尚有内外墙体砌筑、外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立面幕墙装饰施工、设备采购安装调试、水电气等各专业管线布置、内部装修、工程项目验收、备案</w:t>
            </w:r>
            <w:r>
              <w:rPr>
                <w:rFonts w:ascii="宋体" w:hAnsi="宋体" w:cs="宋体" w:eastAsia="宋体" w:hint="default"/>
                <w:sz w:val="18"/>
                <w:szCs w:val="18"/>
              </w:rPr>
              <w:t> 等工作须进行，考虑到上述因素，公司拟将“研发中心建设项目”达到预定可使用状态日期由</w:t>
            </w:r>
            <w:r>
              <w:rPr>
                <w:rFonts w:ascii="宋体" w:hAnsi="宋体" w:cs="宋体" w:eastAsia="宋体" w:hint="default"/>
                <w:spacing w:val="41"/>
                <w:sz w:val="18"/>
                <w:szCs w:val="18"/>
              </w:rPr>
              <w:t> </w:t>
            </w:r>
            <w:r>
              <w:rPr>
                <w:rFonts w:ascii="宋体" w:hAnsi="宋体" w:cs="宋体" w:eastAsia="宋体" w:hint="default"/>
                <w:sz w:val="18"/>
                <w:szCs w:val="18"/>
              </w:rPr>
              <w:t>2014</w:t>
            </w:r>
          </w:p>
          <w:p>
            <w:pPr>
              <w:pStyle w:val="TableParagraph"/>
              <w:spacing w:line="319" w:lineRule="auto" w:before="19"/>
              <w:ind w:left="380" w:right="11" w:hanging="36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日调整至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 </w:t>
            </w:r>
            <w:r>
              <w:rPr>
                <w:rFonts w:ascii="宋体" w:hAnsi="宋体" w:cs="宋体" w:eastAsia="宋体" w:hint="default"/>
                <w:spacing w:val="-1"/>
                <w:sz w:val="18"/>
                <w:szCs w:val="18"/>
              </w:rPr>
              <w:t>目前，研发中心建设项目所在综合楼土建工程、水电安装及消防工程基本结束，外墙玻璃、石材</w:t>
            </w:r>
          </w:p>
          <w:p>
            <w:pPr>
              <w:pStyle w:val="TableParagraph"/>
              <w:spacing w:line="316" w:lineRule="auto" w:before="17"/>
              <w:ind w:left="20" w:right="-26"/>
              <w:jc w:val="left"/>
              <w:rPr>
                <w:rFonts w:ascii="宋体" w:hAnsi="宋体" w:cs="宋体" w:eastAsia="宋体" w:hint="default"/>
                <w:sz w:val="18"/>
                <w:szCs w:val="18"/>
              </w:rPr>
            </w:pPr>
            <w:r>
              <w:rPr>
                <w:rFonts w:ascii="宋体" w:hAnsi="宋体" w:cs="宋体" w:eastAsia="宋体" w:hint="default"/>
                <w:sz w:val="18"/>
                <w:szCs w:val="18"/>
              </w:rPr>
              <w:t>幕墙全部完成，尚待进行室内装修、空调设备安装、室外管网、道路及景观工程施工等方面的工作， 考虑到上述工程工作量，公司拟将“研发中心建设项目”达到预定可使用状态日期由</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p>
          <w:p>
            <w:pPr>
              <w:pStyle w:val="TableParagraph"/>
              <w:spacing w:line="316" w:lineRule="auto" w:before="19"/>
              <w:ind w:left="20" w:right="10"/>
              <w:jc w:val="left"/>
              <w:rPr>
                <w:rFonts w:ascii="宋体" w:hAnsi="宋体" w:cs="宋体" w:eastAsia="宋体" w:hint="default"/>
                <w:sz w:val="18"/>
                <w:szCs w:val="18"/>
              </w:rPr>
            </w:pPr>
            <w:r>
              <w:rPr>
                <w:rFonts w:ascii="宋体" w:hAnsi="宋体" w:cs="宋体" w:eastAsia="宋体" w:hint="default"/>
                <w:sz w:val="18"/>
                <w:szCs w:val="18"/>
              </w:rPr>
              <w:t>日调整至</w:t>
            </w:r>
            <w:r>
              <w:rPr>
                <w:rFonts w:ascii="宋体" w:hAnsi="宋体" w:cs="宋体" w:eastAsia="宋体" w:hint="default"/>
                <w:spacing w:val="-52"/>
                <w:sz w:val="18"/>
                <w:szCs w:val="18"/>
              </w:rPr>
              <w:t> </w:t>
            </w:r>
            <w:r>
              <w:rPr>
                <w:rFonts w:ascii="宋体" w:hAnsi="宋体" w:cs="宋体" w:eastAsia="宋体" w:hint="default"/>
                <w:sz w:val="18"/>
                <w:szCs w:val="18"/>
              </w:rPr>
              <w:t>2016</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31</w:t>
            </w:r>
            <w:r>
              <w:rPr>
                <w:rFonts w:ascii="宋体" w:hAnsi="宋体" w:cs="宋体" w:eastAsia="宋体" w:hint="default"/>
                <w:spacing w:val="-52"/>
                <w:sz w:val="18"/>
                <w:szCs w:val="18"/>
              </w:rPr>
              <w:t> </w:t>
            </w:r>
            <w:r>
              <w:rPr>
                <w:rFonts w:ascii="宋体" w:hAnsi="宋体" w:cs="宋体" w:eastAsia="宋体" w:hint="default"/>
                <w:sz w:val="18"/>
                <w:szCs w:val="18"/>
              </w:rPr>
              <w:t>日。在此期间公司研发部门在现有办公场地正常开展技术研发工作，研发中 心建设项目进度延期不会影响公司正常研发工作的开展。</w:t>
            </w:r>
          </w:p>
        </w:tc>
      </w:tr>
      <w:tr>
        <w:trPr>
          <w:trHeight w:val="719" w:hRule="exact"/>
        </w:trPr>
        <w:tc>
          <w:tcPr>
            <w:tcW w:w="163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13" w:right="156"/>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7" w:hRule="exact"/>
        </w:trPr>
        <w:tc>
          <w:tcPr>
            <w:tcW w:w="1634"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13" w:right="21"/>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80" w:hRule="exact"/>
        </w:trPr>
        <w:tc>
          <w:tcPr>
            <w:tcW w:w="1634" w:type="dxa"/>
            <w:vMerge/>
            <w:tcBorders>
              <w:left w:val="single" w:sz="12" w:space="0" w:color="000000"/>
              <w:bottom w:val="single" w:sz="12" w:space="0" w:color="000000"/>
              <w:right w:val="single" w:sz="6" w:space="0" w:color="000000"/>
            </w:tcBorders>
            <w:shd w:val="clear" w:color="auto" w:fill="D2D2D2"/>
          </w:tcPr>
          <w:p>
            <w:pPr/>
          </w:p>
        </w:tc>
        <w:tc>
          <w:tcPr>
            <w:tcW w:w="79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left="380" w:right="0"/>
              <w:jc w:val="left"/>
              <w:rPr>
                <w:rFonts w:ascii="宋体" w:hAnsi="宋体" w:cs="宋体" w:eastAsia="宋体" w:hint="default"/>
                <w:sz w:val="18"/>
                <w:szCs w:val="18"/>
              </w:rPr>
            </w:pPr>
            <w:r>
              <w:rPr>
                <w:rFonts w:ascii="宋体" w:hAnsi="宋体" w:cs="宋体" w:eastAsia="宋体" w:hint="default"/>
                <w:sz w:val="18"/>
                <w:szCs w:val="18"/>
              </w:rPr>
              <w:t>2012 </w:t>
            </w:r>
            <w:r>
              <w:rPr>
                <w:rFonts w:ascii="宋体" w:hAnsi="宋体" w:cs="宋体" w:eastAsia="宋体" w:hint="default"/>
                <w:sz w:val="18"/>
                <w:szCs w:val="18"/>
              </w:rPr>
              <w:t>年 </w:t>
            </w:r>
            <w:r>
              <w:rPr>
                <w:rFonts w:ascii="宋体" w:hAnsi="宋体" w:cs="宋体" w:eastAsia="宋体" w:hint="default"/>
                <w:sz w:val="18"/>
                <w:szCs w:val="18"/>
              </w:rPr>
              <w:t>9 </w:t>
            </w:r>
            <w:r>
              <w:rPr>
                <w:rFonts w:ascii="宋体" w:hAnsi="宋体" w:cs="宋体" w:eastAsia="宋体" w:hint="default"/>
                <w:sz w:val="18"/>
                <w:szCs w:val="18"/>
              </w:rPr>
              <w:t>月 </w:t>
            </w:r>
            <w:r>
              <w:rPr>
                <w:rFonts w:ascii="宋体" w:hAnsi="宋体" w:cs="宋体" w:eastAsia="宋体" w:hint="default"/>
                <w:sz w:val="18"/>
                <w:szCs w:val="18"/>
              </w:rPr>
              <w:t>24 </w:t>
            </w:r>
            <w:r>
              <w:rPr>
                <w:rFonts w:ascii="宋体" w:hAnsi="宋体" w:cs="宋体" w:eastAsia="宋体" w:hint="default"/>
                <w:sz w:val="18"/>
                <w:szCs w:val="18"/>
              </w:rPr>
              <w:t>日，公司首次公开发行股票募集资金净额为 </w:t>
            </w:r>
            <w:r>
              <w:rPr>
                <w:rFonts w:ascii="宋体" w:hAnsi="宋体" w:cs="宋体" w:eastAsia="宋体" w:hint="default"/>
                <w:sz w:val="18"/>
                <w:szCs w:val="18"/>
              </w:rPr>
              <w:t>35,429.12</w:t>
            </w:r>
            <w:r>
              <w:rPr>
                <w:rFonts w:ascii="宋体" w:hAnsi="宋体" w:cs="宋体" w:eastAsia="宋体" w:hint="default"/>
                <w:spacing w:val="45"/>
                <w:sz w:val="18"/>
                <w:szCs w:val="18"/>
              </w:rPr>
              <w:t> </w:t>
            </w:r>
            <w:r>
              <w:rPr>
                <w:rFonts w:ascii="宋体" w:hAnsi="宋体" w:cs="宋体" w:eastAsia="宋体" w:hint="default"/>
                <w:sz w:val="18"/>
                <w:szCs w:val="18"/>
              </w:rPr>
              <w:t>万元，其中超募资金</w:t>
            </w:r>
          </w:p>
          <w:p>
            <w:pPr>
              <w:pStyle w:val="TableParagraph"/>
              <w:spacing w:line="240" w:lineRule="auto" w:before="76"/>
              <w:ind w:left="20" w:right="0"/>
              <w:jc w:val="both"/>
              <w:rPr>
                <w:rFonts w:ascii="宋体" w:hAnsi="宋体" w:cs="宋体" w:eastAsia="宋体" w:hint="default"/>
                <w:sz w:val="18"/>
                <w:szCs w:val="18"/>
              </w:rPr>
            </w:pPr>
            <w:r>
              <w:rPr>
                <w:rFonts w:ascii="宋体" w:hAnsi="宋体" w:cs="宋体" w:eastAsia="宋体" w:hint="default"/>
                <w:sz w:val="18"/>
                <w:szCs w:val="18"/>
              </w:rPr>
              <w:t>15,029.12</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before="76"/>
              <w:ind w:left="38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2"/>
                <w:sz w:val="18"/>
                <w:szCs w:val="18"/>
              </w:rPr>
              <w:t>、</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22"/>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宋体" w:hAnsi="宋体" w:cs="宋体" w:eastAsia="宋体" w:hint="default"/>
                <w:sz w:val="18"/>
                <w:szCs w:val="18"/>
              </w:rPr>
              <w:t>披露</w:t>
            </w:r>
            <w:r>
              <w:rPr>
                <w:rFonts w:ascii="宋体" w:hAnsi="宋体" w:cs="宋体" w:eastAsia="宋体" w:hint="default"/>
                <w:spacing w:val="-22"/>
                <w:sz w:val="18"/>
                <w:szCs w:val="18"/>
              </w:rPr>
              <w:t>了</w:t>
            </w:r>
            <w:r>
              <w:rPr>
                <w:rFonts w:ascii="宋体" w:hAnsi="宋体" w:cs="宋体" w:eastAsia="宋体" w:hint="default"/>
                <w:sz w:val="18"/>
                <w:szCs w:val="18"/>
              </w:rPr>
              <w:t>《关于使用部分超募资金永久补充流动资金的公告</w:t>
            </w:r>
            <w:r>
              <w:rPr>
                <w:rFonts w:ascii="宋体" w:hAnsi="宋体" w:cs="宋体" w:eastAsia="宋体" w:hint="default"/>
                <w:spacing w:val="-111"/>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告</w:t>
            </w:r>
            <w:r>
              <w:rPr>
                <w:rFonts w:ascii="宋体" w:hAnsi="宋体" w:cs="宋体" w:eastAsia="宋体" w:hint="default"/>
                <w:sz w:val="18"/>
                <w:szCs w:val="18"/>
              </w:rPr>
              <w:t>编</w:t>
            </w:r>
          </w:p>
          <w:p>
            <w:pPr>
              <w:pStyle w:val="TableParagraph"/>
              <w:spacing w:line="316" w:lineRule="auto" w:before="76"/>
              <w:ind w:left="20" w:right="10"/>
              <w:jc w:val="both"/>
              <w:rPr>
                <w:rFonts w:ascii="宋体" w:hAnsi="宋体" w:cs="宋体" w:eastAsia="宋体" w:hint="default"/>
                <w:sz w:val="18"/>
                <w:szCs w:val="18"/>
              </w:rPr>
            </w:pPr>
            <w:r>
              <w:rPr>
                <w:rFonts w:ascii="宋体" w:hAnsi="宋体" w:cs="宋体" w:eastAsia="宋体" w:hint="default"/>
                <w:spacing w:val="-9"/>
                <w:sz w:val="18"/>
                <w:szCs w:val="18"/>
              </w:rPr>
              <w:t>号：（</w:t>
            </w:r>
            <w:r>
              <w:rPr>
                <w:rFonts w:ascii="宋体" w:hAnsi="宋体" w:cs="宋体" w:eastAsia="宋体" w:hint="default"/>
                <w:spacing w:val="-9"/>
                <w:sz w:val="18"/>
                <w:szCs w:val="18"/>
              </w:rPr>
              <w:t>2012</w:t>
            </w:r>
            <w:r>
              <w:rPr>
                <w:rFonts w:ascii="宋体" w:hAnsi="宋体" w:cs="宋体" w:eastAsia="宋体" w:hint="default"/>
                <w:spacing w:val="-9"/>
                <w:sz w:val="18"/>
                <w:szCs w:val="18"/>
              </w:rPr>
              <w:t>）</w:t>
            </w:r>
            <w:r>
              <w:rPr>
                <w:rFonts w:ascii="宋体" w:hAnsi="宋体" w:cs="宋体" w:eastAsia="宋体" w:hint="default"/>
                <w:spacing w:val="-9"/>
                <w:sz w:val="18"/>
                <w:szCs w:val="18"/>
              </w:rPr>
              <w:t>1030-010</w:t>
            </w:r>
            <w:r>
              <w:rPr>
                <w:rFonts w:ascii="宋体" w:hAnsi="宋体" w:cs="宋体" w:eastAsia="宋体" w:hint="default"/>
                <w:spacing w:val="-9"/>
                <w:sz w:val="18"/>
                <w:szCs w:val="18"/>
              </w:rPr>
              <w:t>），公司使用超募资金</w:t>
            </w:r>
            <w:r>
              <w:rPr>
                <w:rFonts w:ascii="宋体" w:hAnsi="宋体" w:cs="宋体" w:eastAsia="宋体" w:hint="default"/>
                <w:spacing w:val="-33"/>
                <w:sz w:val="18"/>
                <w:szCs w:val="18"/>
              </w:rPr>
              <w:t> </w:t>
            </w:r>
            <w:r>
              <w:rPr>
                <w:rFonts w:ascii="宋体" w:hAnsi="宋体" w:cs="宋体" w:eastAsia="宋体" w:hint="default"/>
                <w:sz w:val="18"/>
                <w:szCs w:val="18"/>
              </w:rPr>
              <w:t>3,000</w:t>
            </w:r>
            <w:r>
              <w:rPr>
                <w:rFonts w:ascii="宋体" w:hAnsi="宋体" w:cs="宋体" w:eastAsia="宋体" w:hint="default"/>
                <w:spacing w:val="-33"/>
                <w:sz w:val="18"/>
                <w:szCs w:val="18"/>
              </w:rPr>
              <w:t> </w:t>
            </w:r>
            <w:r>
              <w:rPr>
                <w:rFonts w:ascii="宋体" w:hAnsi="宋体" w:cs="宋体" w:eastAsia="宋体" w:hint="default"/>
                <w:spacing w:val="-1"/>
                <w:sz w:val="18"/>
                <w:szCs w:val="18"/>
              </w:rPr>
              <w:t>万元用于永久补充流动资金，公司承诺在永久补充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流动资金后十二个月内不进行证券投资、委托理财、衍生品投资、创业投资等高风险投资。上述款项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公司已划转完成。</w:t>
            </w:r>
          </w:p>
          <w:p>
            <w:pPr>
              <w:pStyle w:val="TableParagraph"/>
              <w:spacing w:line="319" w:lineRule="auto" w:before="19"/>
              <w:ind w:left="20" w:right="11"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日，公司披露了《关于使用部分超募资金和自有资金向南京宇能仪表有限公 </w:t>
            </w:r>
            <w:r>
              <w:rPr>
                <w:rFonts w:ascii="宋体" w:hAnsi="宋体" w:cs="宋体" w:eastAsia="宋体" w:hint="default"/>
                <w:spacing w:val="-6"/>
                <w:sz w:val="18"/>
                <w:szCs w:val="18"/>
              </w:rPr>
              <w:t>司增资并受让部分股权的公告》（公告编号：（</w:t>
            </w:r>
            <w:r>
              <w:rPr>
                <w:rFonts w:ascii="宋体" w:hAnsi="宋体" w:cs="宋体" w:eastAsia="宋体" w:hint="default"/>
                <w:spacing w:val="-6"/>
                <w:sz w:val="18"/>
                <w:szCs w:val="18"/>
              </w:rPr>
              <w:t>2013</w:t>
            </w:r>
            <w:r>
              <w:rPr>
                <w:rFonts w:ascii="宋体" w:hAnsi="宋体" w:cs="宋体" w:eastAsia="宋体" w:hint="default"/>
                <w:spacing w:val="-6"/>
                <w:sz w:val="18"/>
                <w:szCs w:val="18"/>
              </w:rPr>
              <w:t>）</w:t>
            </w:r>
            <w:r>
              <w:rPr>
                <w:rFonts w:ascii="宋体" w:hAnsi="宋体" w:cs="宋体" w:eastAsia="宋体" w:hint="default"/>
                <w:spacing w:val="-6"/>
                <w:sz w:val="18"/>
                <w:szCs w:val="18"/>
              </w:rPr>
              <w:t>1115</w:t>
            </w:r>
            <w:r>
              <w:rPr>
                <w:rFonts w:ascii="宋体" w:hAnsi="宋体" w:cs="宋体" w:eastAsia="宋体" w:hint="default"/>
                <w:spacing w:val="-31"/>
                <w:sz w:val="18"/>
                <w:szCs w:val="18"/>
              </w:rPr>
              <w:t> </w:t>
            </w:r>
            <w:r>
              <w:rPr>
                <w:rFonts w:ascii="宋体" w:hAnsi="宋体" w:cs="宋体" w:eastAsia="宋体" w:hint="default"/>
                <w:spacing w:val="-5"/>
                <w:sz w:val="18"/>
                <w:szCs w:val="18"/>
              </w:rPr>
              <w:t>-051</w:t>
            </w:r>
            <w:r>
              <w:rPr>
                <w:rFonts w:ascii="宋体" w:hAnsi="宋体" w:cs="宋体" w:eastAsia="宋体" w:hint="default"/>
                <w:spacing w:val="-5"/>
                <w:sz w:val="18"/>
                <w:szCs w:val="18"/>
              </w:rPr>
              <w:t>），同意公司使用首次公开发行股票的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超募资金</w:t>
            </w:r>
            <w:r>
              <w:rPr>
                <w:rFonts w:ascii="宋体" w:hAnsi="宋体" w:cs="宋体" w:eastAsia="宋体" w:hint="default"/>
                <w:spacing w:val="-52"/>
                <w:sz w:val="18"/>
                <w:szCs w:val="18"/>
              </w:rPr>
              <w:t> </w:t>
            </w:r>
            <w:r>
              <w:rPr>
                <w:rFonts w:ascii="宋体" w:hAnsi="宋体" w:cs="宋体" w:eastAsia="宋体" w:hint="default"/>
                <w:sz w:val="18"/>
                <w:szCs w:val="18"/>
              </w:rPr>
              <w:t>2,250</w:t>
            </w:r>
            <w:r>
              <w:rPr>
                <w:rFonts w:ascii="宋体" w:hAnsi="宋体" w:cs="宋体" w:eastAsia="宋体" w:hint="default"/>
                <w:spacing w:val="-52"/>
                <w:sz w:val="18"/>
                <w:szCs w:val="18"/>
              </w:rPr>
              <w:t> </w:t>
            </w:r>
            <w:r>
              <w:rPr>
                <w:rFonts w:ascii="宋体" w:hAnsi="宋体" w:cs="宋体" w:eastAsia="宋体" w:hint="default"/>
                <w:sz w:val="18"/>
                <w:szCs w:val="18"/>
              </w:rPr>
              <w:t>万元和自有资金</w:t>
            </w:r>
            <w:r>
              <w:rPr>
                <w:rFonts w:ascii="宋体" w:hAnsi="宋体" w:cs="宋体" w:eastAsia="宋体" w:hint="default"/>
                <w:spacing w:val="-52"/>
                <w:sz w:val="18"/>
                <w:szCs w:val="18"/>
              </w:rPr>
              <w:t> </w:t>
            </w:r>
            <w:r>
              <w:rPr>
                <w:rFonts w:ascii="宋体" w:hAnsi="宋体" w:cs="宋体" w:eastAsia="宋体" w:hint="default"/>
                <w:sz w:val="18"/>
                <w:szCs w:val="18"/>
              </w:rPr>
              <w:t>1,967</w:t>
            </w:r>
            <w:r>
              <w:rPr>
                <w:rFonts w:ascii="宋体" w:hAnsi="宋体" w:cs="宋体" w:eastAsia="宋体" w:hint="default"/>
                <w:spacing w:val="-52"/>
                <w:sz w:val="18"/>
                <w:szCs w:val="18"/>
              </w:rPr>
              <w:t> </w:t>
            </w:r>
            <w:r>
              <w:rPr>
                <w:rFonts w:ascii="宋体" w:hAnsi="宋体" w:cs="宋体" w:eastAsia="宋体" w:hint="default"/>
                <w:sz w:val="18"/>
                <w:szCs w:val="18"/>
              </w:rPr>
              <w:t>万元合计</w:t>
            </w:r>
            <w:r>
              <w:rPr>
                <w:rFonts w:ascii="宋体" w:hAnsi="宋体" w:cs="宋体" w:eastAsia="宋体" w:hint="default"/>
                <w:spacing w:val="-52"/>
                <w:sz w:val="18"/>
                <w:szCs w:val="18"/>
              </w:rPr>
              <w:t> </w:t>
            </w:r>
            <w:r>
              <w:rPr>
                <w:rFonts w:ascii="宋体" w:hAnsi="宋体" w:cs="宋体" w:eastAsia="宋体" w:hint="default"/>
                <w:sz w:val="18"/>
                <w:szCs w:val="18"/>
              </w:rPr>
              <w:t>4,217</w:t>
            </w:r>
            <w:r>
              <w:rPr>
                <w:rFonts w:ascii="宋体" w:hAnsi="宋体" w:cs="宋体" w:eastAsia="宋体" w:hint="default"/>
                <w:spacing w:val="-52"/>
                <w:sz w:val="18"/>
                <w:szCs w:val="18"/>
              </w:rPr>
              <w:t> </w:t>
            </w:r>
            <w:r>
              <w:rPr>
                <w:rFonts w:ascii="宋体" w:hAnsi="宋体" w:cs="宋体" w:eastAsia="宋体" w:hint="default"/>
                <w:sz w:val="18"/>
                <w:szCs w:val="18"/>
              </w:rPr>
              <w:t>万元以增资及受让股权的方式获得南京宇能仪 表有限公司</w:t>
            </w:r>
            <w:r>
              <w:rPr>
                <w:rFonts w:ascii="宋体" w:hAnsi="宋体" w:cs="宋体" w:eastAsia="宋体" w:hint="default"/>
                <w:spacing w:val="-46"/>
                <w:sz w:val="18"/>
                <w:szCs w:val="18"/>
              </w:rPr>
              <w:t> </w:t>
            </w:r>
            <w:r>
              <w:rPr>
                <w:rFonts w:ascii="宋体" w:hAnsi="宋体" w:cs="宋体" w:eastAsia="宋体" w:hint="default"/>
                <w:sz w:val="18"/>
                <w:szCs w:val="18"/>
              </w:rPr>
              <w:t>55%</w:t>
            </w:r>
            <w:r>
              <w:rPr>
                <w:rFonts w:ascii="宋体" w:hAnsi="宋体" w:cs="宋体" w:eastAsia="宋体" w:hint="default"/>
                <w:sz w:val="18"/>
                <w:szCs w:val="18"/>
              </w:rPr>
              <w:t>的股权。其中超募资金部分已划转完成。</w:t>
            </w:r>
          </w:p>
          <w:p>
            <w:pPr>
              <w:pStyle w:val="TableParagraph"/>
              <w:spacing w:line="240" w:lineRule="auto" w:before="17"/>
              <w:ind w:left="38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日，公</w:t>
            </w:r>
            <w:r>
              <w:rPr>
                <w:rFonts w:ascii="宋体" w:hAnsi="宋体" w:cs="宋体" w:eastAsia="宋体" w:hint="default"/>
                <w:spacing w:val="1"/>
                <w:sz w:val="18"/>
                <w:szCs w:val="18"/>
              </w:rPr>
              <w:t>司</w:t>
            </w:r>
            <w:r>
              <w:rPr>
                <w:rFonts w:ascii="宋体" w:hAnsi="宋体" w:cs="宋体" w:eastAsia="宋体" w:hint="default"/>
                <w:sz w:val="18"/>
                <w:szCs w:val="18"/>
              </w:rPr>
              <w:t>披露了《关于使用部分超募资金永久补充流动资金的公告</w:t>
            </w:r>
            <w:r>
              <w:rPr>
                <w:rFonts w:ascii="宋体" w:hAnsi="宋体" w:cs="宋体" w:eastAsia="宋体" w:hint="default"/>
                <w:spacing w:val="-90"/>
                <w:sz w:val="18"/>
                <w:szCs w:val="18"/>
              </w:rPr>
              <w:t>》</w:t>
            </w:r>
            <w:r>
              <w:rPr>
                <w:rFonts w:ascii="宋体" w:hAnsi="宋体" w:cs="宋体" w:eastAsia="宋体" w:hint="default"/>
                <w:sz w:val="18"/>
                <w:szCs w:val="18"/>
              </w:rPr>
              <w:t>（公告编</w:t>
            </w:r>
          </w:p>
          <w:p>
            <w:pPr>
              <w:pStyle w:val="TableParagraph"/>
              <w:spacing w:line="316" w:lineRule="auto" w:before="76"/>
              <w:ind w:left="20" w:right="10"/>
              <w:jc w:val="both"/>
              <w:rPr>
                <w:rFonts w:ascii="宋体" w:hAnsi="宋体" w:cs="宋体" w:eastAsia="宋体" w:hint="default"/>
                <w:sz w:val="18"/>
                <w:szCs w:val="18"/>
              </w:rPr>
            </w:pPr>
            <w:r>
              <w:rPr>
                <w:rFonts w:ascii="宋体" w:hAnsi="宋体" w:cs="宋体" w:eastAsia="宋体" w:hint="default"/>
                <w:spacing w:val="-4"/>
                <w:sz w:val="18"/>
                <w:szCs w:val="18"/>
              </w:rPr>
              <w:t>号（</w:t>
            </w:r>
            <w:r>
              <w:rPr>
                <w:rFonts w:ascii="宋体" w:hAnsi="宋体" w:cs="宋体" w:eastAsia="宋体" w:hint="default"/>
                <w:spacing w:val="-4"/>
                <w:sz w:val="18"/>
                <w:szCs w:val="18"/>
              </w:rPr>
              <w:t>2013</w:t>
            </w:r>
            <w:r>
              <w:rPr>
                <w:rFonts w:ascii="宋体" w:hAnsi="宋体" w:cs="宋体" w:eastAsia="宋体" w:hint="default"/>
                <w:spacing w:val="-4"/>
                <w:sz w:val="18"/>
                <w:szCs w:val="18"/>
              </w:rPr>
              <w:t>）</w:t>
            </w:r>
            <w:r>
              <w:rPr>
                <w:rFonts w:ascii="宋体" w:hAnsi="宋体" w:cs="宋体" w:eastAsia="宋体" w:hint="default"/>
                <w:spacing w:val="-4"/>
                <w:sz w:val="18"/>
                <w:szCs w:val="18"/>
              </w:rPr>
              <w:t>1203-054</w:t>
            </w:r>
            <w:r>
              <w:rPr>
                <w:rFonts w:ascii="宋体" w:hAnsi="宋体" w:cs="宋体" w:eastAsia="宋体" w:hint="default"/>
                <w:spacing w:val="-4"/>
                <w:sz w:val="18"/>
                <w:szCs w:val="18"/>
              </w:rPr>
              <w:t>），同意公司使用超募资金 </w:t>
            </w:r>
            <w:r>
              <w:rPr>
                <w:rFonts w:ascii="宋体" w:hAnsi="宋体" w:cs="宋体" w:eastAsia="宋体" w:hint="default"/>
                <w:sz w:val="18"/>
                <w:szCs w:val="18"/>
              </w:rPr>
              <w:t>3,000</w:t>
            </w:r>
            <w:r>
              <w:rPr>
                <w:rFonts w:ascii="宋体" w:hAnsi="宋体" w:cs="宋体" w:eastAsia="宋体" w:hint="default"/>
                <w:spacing w:val="-6"/>
                <w:sz w:val="18"/>
                <w:szCs w:val="18"/>
              </w:rPr>
              <w:t> </w:t>
            </w:r>
            <w:r>
              <w:rPr>
                <w:rFonts w:ascii="宋体" w:hAnsi="宋体" w:cs="宋体" w:eastAsia="宋体" w:hint="default"/>
                <w:spacing w:val="-1"/>
                <w:sz w:val="18"/>
                <w:szCs w:val="18"/>
              </w:rPr>
              <w:t>万元用于永久补充流动资金，公司承诺在永久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补充流动资金后十二个月内不进行证券投资、委托理财、衍生品投资、创业投资等高风险投资。上述</w:t>
            </w:r>
          </w:p>
        </w:tc>
      </w:tr>
    </w:tbl>
    <w:p>
      <w:pPr>
        <w:spacing w:after="0" w:line="316" w:lineRule="auto"/>
        <w:jc w:val="both"/>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5.919998pt;margin-top:71.999985pt;width:480.85pt;height:686.2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7"/>
                  </w:tblGrid>
                  <w:tr>
                    <w:trPr>
                      <w:trHeight w:val="1895" w:hRule="exact"/>
                    </w:trPr>
                    <w:tc>
                      <w:tcPr>
                        <w:tcW w:w="1634"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793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款项公司已划转完成。</w:t>
                        </w:r>
                      </w:p>
                      <w:p>
                        <w:pPr>
                          <w:pStyle w:val="TableParagraph"/>
                          <w:spacing w:line="319" w:lineRule="auto" w:before="76"/>
                          <w:ind w:left="20" w:right="9" w:firstLine="360"/>
                          <w:jc w:val="both"/>
                          <w:rPr>
                            <w:rFonts w:ascii="宋体" w:hAnsi="宋体" w:cs="宋体" w:eastAsia="宋体" w:hint="default"/>
                            <w:sz w:val="18"/>
                            <w:szCs w:val="18"/>
                          </w:rPr>
                        </w:pPr>
                        <w:r>
                          <w:rPr>
                            <w:rFonts w:ascii="宋体" w:hAnsi="宋体" w:cs="宋体" w:eastAsia="宋体" w:hint="default"/>
                            <w:spacing w:val="-5"/>
                            <w:sz w:val="18"/>
                            <w:szCs w:val="18"/>
                          </w:rPr>
                          <w:t>4</w:t>
                        </w:r>
                        <w:r>
                          <w:rPr>
                            <w:rFonts w:ascii="宋体" w:hAnsi="宋体" w:cs="宋体" w:eastAsia="宋体" w:hint="default"/>
                            <w:spacing w:val="-5"/>
                            <w:sz w:val="18"/>
                            <w:szCs w:val="18"/>
                          </w:rPr>
                          <w:t>、</w:t>
                        </w:r>
                        <w:r>
                          <w:rPr>
                            <w:rFonts w:ascii="宋体" w:hAnsi="宋体" w:cs="宋体" w:eastAsia="宋体" w:hint="default"/>
                            <w:spacing w:val="-5"/>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8</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20</w:t>
                        </w:r>
                        <w:r>
                          <w:rPr>
                            <w:rFonts w:ascii="宋体" w:hAnsi="宋体" w:cs="宋体" w:eastAsia="宋体" w:hint="default"/>
                            <w:spacing w:val="-56"/>
                            <w:sz w:val="18"/>
                            <w:szCs w:val="18"/>
                          </w:rPr>
                          <w:t> </w:t>
                        </w:r>
                        <w:r>
                          <w:rPr>
                            <w:rFonts w:ascii="宋体" w:hAnsi="宋体" w:cs="宋体" w:eastAsia="宋体" w:hint="default"/>
                            <w:sz w:val="18"/>
                            <w:szCs w:val="18"/>
                          </w:rPr>
                          <w:t>日，公司披露了《关于使用超募资金支付收购湖北索瑞电气有限公司股权部分 </w:t>
                        </w:r>
                        <w:r>
                          <w:rPr>
                            <w:rFonts w:ascii="宋体" w:hAnsi="宋体" w:cs="宋体" w:eastAsia="宋体" w:hint="default"/>
                            <w:spacing w:val="-5"/>
                            <w:sz w:val="18"/>
                            <w:szCs w:val="18"/>
                          </w:rPr>
                          <w:t>现金对价的公告》（公告编号：（</w:t>
                        </w:r>
                        <w:r>
                          <w:rPr>
                            <w:rFonts w:ascii="宋体" w:hAnsi="宋体" w:cs="宋体" w:eastAsia="宋体" w:hint="default"/>
                            <w:spacing w:val="-5"/>
                            <w:sz w:val="18"/>
                            <w:szCs w:val="18"/>
                          </w:rPr>
                          <w:t>2014</w:t>
                        </w:r>
                        <w:r>
                          <w:rPr>
                            <w:rFonts w:ascii="宋体" w:hAnsi="宋体" w:cs="宋体" w:eastAsia="宋体" w:hint="default"/>
                            <w:spacing w:val="-5"/>
                            <w:sz w:val="18"/>
                            <w:szCs w:val="18"/>
                          </w:rPr>
                          <w:t>）</w:t>
                        </w:r>
                        <w:r>
                          <w:rPr>
                            <w:rFonts w:ascii="宋体" w:hAnsi="宋体" w:cs="宋体" w:eastAsia="宋体" w:hint="default"/>
                            <w:spacing w:val="-5"/>
                            <w:sz w:val="18"/>
                            <w:szCs w:val="18"/>
                          </w:rPr>
                          <w:t>0820-061</w:t>
                        </w:r>
                        <w:r>
                          <w:rPr>
                            <w:rFonts w:ascii="宋体" w:hAnsi="宋体" w:cs="宋体" w:eastAsia="宋体" w:hint="default"/>
                            <w:spacing w:val="-5"/>
                            <w:sz w:val="18"/>
                            <w:szCs w:val="18"/>
                          </w:rPr>
                          <w:t>），公司以发行股份及支付现金的方式购买任昌兆等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33</w:t>
                        </w:r>
                        <w:r>
                          <w:rPr>
                            <w:rFonts w:ascii="宋体" w:hAnsi="宋体" w:cs="宋体" w:eastAsia="宋体" w:hint="default"/>
                            <w:spacing w:val="-44"/>
                            <w:sz w:val="18"/>
                            <w:szCs w:val="18"/>
                          </w:rPr>
                          <w:t> </w:t>
                        </w:r>
                        <w:r>
                          <w:rPr>
                            <w:rFonts w:ascii="宋体" w:hAnsi="宋体" w:cs="宋体" w:eastAsia="宋体" w:hint="default"/>
                            <w:sz w:val="18"/>
                            <w:szCs w:val="18"/>
                          </w:rPr>
                          <w:t>名交易对方持有的湖北索瑞电气有限公司</w:t>
                        </w:r>
                        <w:r>
                          <w:rPr>
                            <w:rFonts w:ascii="宋体" w:hAnsi="宋体" w:cs="宋体" w:eastAsia="宋体" w:hint="default"/>
                            <w:spacing w:val="-44"/>
                            <w:sz w:val="18"/>
                            <w:szCs w:val="18"/>
                          </w:rPr>
                          <w:t> </w:t>
                        </w:r>
                        <w:r>
                          <w:rPr>
                            <w:rFonts w:ascii="宋体" w:hAnsi="宋体" w:cs="宋体" w:eastAsia="宋体" w:hint="default"/>
                            <w:spacing w:val="-3"/>
                            <w:sz w:val="18"/>
                            <w:szCs w:val="18"/>
                          </w:rPr>
                          <w:t>84.82%</w:t>
                        </w:r>
                        <w:r>
                          <w:rPr>
                            <w:rFonts w:ascii="宋体" w:hAnsi="宋体" w:cs="宋体" w:eastAsia="宋体" w:hint="default"/>
                            <w:spacing w:val="-3"/>
                            <w:sz w:val="18"/>
                            <w:szCs w:val="18"/>
                          </w:rPr>
                          <w:t>股权，其中使用超募资金</w:t>
                        </w:r>
                        <w:r>
                          <w:rPr>
                            <w:rFonts w:ascii="宋体" w:hAnsi="宋体" w:cs="宋体" w:eastAsia="宋体" w:hint="default"/>
                            <w:spacing w:val="-44"/>
                            <w:sz w:val="18"/>
                            <w:szCs w:val="18"/>
                          </w:rPr>
                          <w:t> </w:t>
                        </w:r>
                        <w:r>
                          <w:rPr>
                            <w:rFonts w:ascii="宋体" w:hAnsi="宋体" w:cs="宋体" w:eastAsia="宋体" w:hint="default"/>
                            <w:sz w:val="18"/>
                            <w:szCs w:val="18"/>
                          </w:rPr>
                          <w:t>6,779.12</w:t>
                        </w:r>
                        <w:r>
                          <w:rPr>
                            <w:rFonts w:ascii="宋体" w:hAnsi="宋体" w:cs="宋体" w:eastAsia="宋体" w:hint="default"/>
                            <w:spacing w:val="-43"/>
                            <w:sz w:val="18"/>
                            <w:szCs w:val="18"/>
                          </w:rPr>
                          <w:t> </w:t>
                        </w:r>
                        <w:r>
                          <w:rPr>
                            <w:rFonts w:ascii="宋体" w:hAnsi="宋体" w:cs="宋体" w:eastAsia="宋体" w:hint="default"/>
                            <w:sz w:val="18"/>
                            <w:szCs w:val="18"/>
                          </w:rPr>
                          <w:t>万元用于支付 现金对价部分，本次重大资产重组已经中国证券监督管理委员会证监许可</w:t>
                        </w:r>
                        <w:r>
                          <w:rPr>
                            <w:rFonts w:ascii="宋体" w:hAnsi="宋体" w:cs="宋体" w:eastAsia="宋体" w:hint="default"/>
                            <w:sz w:val="18"/>
                            <w:szCs w:val="18"/>
                          </w:rPr>
                          <w:t>[2014]1399</w:t>
                        </w:r>
                        <w:r>
                          <w:rPr>
                            <w:rFonts w:ascii="宋体" w:hAnsi="宋体" w:cs="宋体" w:eastAsia="宋体" w:hint="default"/>
                            <w:spacing w:val="37"/>
                            <w:sz w:val="18"/>
                            <w:szCs w:val="18"/>
                          </w:rPr>
                          <w:t> </w:t>
                        </w:r>
                        <w:r>
                          <w:rPr>
                            <w:rFonts w:ascii="宋体" w:hAnsi="宋体" w:cs="宋体" w:eastAsia="宋体" w:hint="default"/>
                            <w:sz w:val="18"/>
                            <w:szCs w:val="18"/>
                          </w:rPr>
                          <w:t>号核准，截止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日，上述超募资金尚未完成支付划转工作。</w:t>
                        </w:r>
                      </w:p>
                    </w:tc>
                  </w:tr>
                  <w:tr>
                    <w:trPr>
                      <w:trHeight w:val="407" w:hRule="exact"/>
                    </w:trPr>
                    <w:tc>
                      <w:tcPr>
                        <w:tcW w:w="1634"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13" w:right="156"/>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7" w:hRule="exact"/>
                    </w:trPr>
                    <w:tc>
                      <w:tcPr>
                        <w:tcW w:w="1634" w:type="dxa"/>
                        <w:vMerge/>
                        <w:tcBorders>
                          <w:left w:val="single" w:sz="12" w:space="0" w:color="000000"/>
                          <w:right w:val="single" w:sz="6" w:space="0" w:color="000000"/>
                        </w:tcBorders>
                        <w:shd w:val="clear" w:color="auto" w:fill="D2D2D2"/>
                      </w:tcPr>
                      <w:p>
                        <w:pPr/>
                      </w:p>
                    </w:tc>
                    <w:tc>
                      <w:tcPr>
                        <w:tcW w:w="7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43" w:hRule="exact"/>
                    </w:trPr>
                    <w:tc>
                      <w:tcPr>
                        <w:tcW w:w="1634" w:type="dxa"/>
                        <w:vMerge/>
                        <w:tcBorders>
                          <w:left w:val="single" w:sz="12" w:space="0" w:color="000000"/>
                          <w:bottom w:val="single" w:sz="6" w:space="0" w:color="000000"/>
                          <w:right w:val="single" w:sz="6" w:space="0" w:color="000000"/>
                        </w:tcBorders>
                        <w:shd w:val="clear" w:color="auto" w:fill="D2D2D2"/>
                      </w:tcPr>
                      <w:p>
                        <w:pPr/>
                      </w:p>
                    </w:tc>
                    <w:tc>
                      <w:tcPr>
                        <w:tcW w:w="7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宋体" w:hAnsi="宋体" w:cs="宋体" w:eastAsia="宋体" w:hint="default"/>
                            <w:sz w:val="18"/>
                            <w:szCs w:val="18"/>
                          </w:rPr>
                          <w:t>1</w:t>
                        </w:r>
                        <w:r>
                          <w:rPr>
                            <w:rFonts w:ascii="宋体" w:hAnsi="宋体" w:cs="宋体" w:eastAsia="宋体" w:hint="default"/>
                            <w:spacing w:val="-27"/>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宋体" w:hAnsi="宋体" w:cs="宋体" w:eastAsia="宋体" w:hint="default"/>
                            <w:sz w:val="18"/>
                            <w:szCs w:val="18"/>
                          </w:rPr>
                          <w:t>15</w:t>
                        </w:r>
                        <w:r>
                          <w:rPr>
                            <w:rFonts w:ascii="宋体" w:hAnsi="宋体" w:cs="宋体" w:eastAsia="宋体" w:hint="default"/>
                            <w:spacing w:val="-27"/>
                            <w:sz w:val="18"/>
                            <w:szCs w:val="18"/>
                          </w:rPr>
                          <w:t> </w:t>
                        </w:r>
                        <w:r>
                          <w:rPr>
                            <w:rFonts w:ascii="宋体" w:hAnsi="宋体" w:cs="宋体" w:eastAsia="宋体" w:hint="default"/>
                            <w:sz w:val="18"/>
                            <w:szCs w:val="18"/>
                          </w:rPr>
                          <w:t>日，公司披露了《关于变更部分募集资金投资项目实施地点的公告》</w:t>
                        </w:r>
                        <w:r>
                          <w:rPr>
                            <w:rFonts w:ascii="宋体" w:hAnsi="宋体" w:cs="宋体" w:eastAsia="宋体" w:hint="default"/>
                            <w:sz w:val="18"/>
                            <w:szCs w:val="18"/>
                          </w:rPr>
                          <w:t>(</w:t>
                        </w:r>
                        <w:r>
                          <w:rPr>
                            <w:rFonts w:ascii="宋体" w:hAnsi="宋体" w:cs="宋体" w:eastAsia="宋体" w:hint="default"/>
                            <w:sz w:val="18"/>
                            <w:szCs w:val="18"/>
                          </w:rPr>
                          <w:t>公告编号</w:t>
                        </w:r>
                      </w:p>
                      <w:p>
                        <w:pPr>
                          <w:pStyle w:val="TableParagraph"/>
                          <w:spacing w:line="319" w:lineRule="auto" w:before="75"/>
                          <w:ind w:left="20" w:right="1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0111-</w:t>
                        </w:r>
                        <w:r>
                          <w:rPr>
                            <w:rFonts w:ascii="宋体" w:hAnsi="宋体" w:cs="宋体" w:eastAsia="宋体" w:hint="default"/>
                            <w:spacing w:val="-23"/>
                            <w:sz w:val="18"/>
                            <w:szCs w:val="18"/>
                          </w:rPr>
                          <w:t> </w:t>
                        </w:r>
                        <w:r>
                          <w:rPr>
                            <w:rFonts w:ascii="宋体" w:hAnsi="宋体" w:cs="宋体" w:eastAsia="宋体" w:hint="default"/>
                            <w:spacing w:val="-3"/>
                            <w:sz w:val="18"/>
                            <w:szCs w:val="18"/>
                          </w:rPr>
                          <w:t>003</w:t>
                        </w:r>
                        <w:r>
                          <w:rPr>
                            <w:rFonts w:ascii="宋体" w:hAnsi="宋体" w:cs="宋体" w:eastAsia="宋体" w:hint="default"/>
                            <w:spacing w:val="-3"/>
                            <w:sz w:val="18"/>
                            <w:szCs w:val="18"/>
                          </w:rPr>
                          <w:t>），公司募投项目“电力用户用电信息采集系统产能扩大建设项目”的实施地点由</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南京市江宁开发区将军大道以西，福特研发中心以南地块变更为相邻地块，该两宗土地公司均已取得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国有土地使用证。实施地点变更后该项目使用募集资金总投资及建设内容不变。</w:t>
                        </w:r>
                      </w:p>
                    </w:tc>
                  </w:tr>
                  <w:tr>
                    <w:trPr>
                      <w:trHeight w:val="408" w:hRule="exact"/>
                    </w:trPr>
                    <w:tc>
                      <w:tcPr>
                        <w:tcW w:w="1634"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316" w:lineRule="auto"/>
                          <w:ind w:left="13" w:right="156"/>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7" w:hRule="exact"/>
                    </w:trPr>
                    <w:tc>
                      <w:tcPr>
                        <w:tcW w:w="1634" w:type="dxa"/>
                        <w:vMerge/>
                        <w:tcBorders>
                          <w:left w:val="single" w:sz="12" w:space="0" w:color="000000"/>
                          <w:right w:val="single" w:sz="6" w:space="0" w:color="000000"/>
                        </w:tcBorders>
                        <w:shd w:val="clear" w:color="auto" w:fill="D2D2D2"/>
                      </w:tcPr>
                      <w:p>
                        <w:pPr/>
                      </w:p>
                    </w:tc>
                    <w:tc>
                      <w:tcPr>
                        <w:tcW w:w="793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634" w:type="dxa"/>
                        <w:vMerge/>
                        <w:tcBorders>
                          <w:left w:val="single" w:sz="12" w:space="0" w:color="000000"/>
                          <w:bottom w:val="single" w:sz="6" w:space="0" w:color="000000"/>
                          <w:right w:val="single" w:sz="6" w:space="0" w:color="000000"/>
                        </w:tcBorders>
                        <w:shd w:val="clear" w:color="auto" w:fill="D2D2D2"/>
                      </w:tcPr>
                      <w:p>
                        <w:pPr/>
                      </w:p>
                    </w:tc>
                    <w:tc>
                      <w:tcPr>
                        <w:tcW w:w="7937"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634"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3" w:right="156"/>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43" w:hRule="exact"/>
                    </w:trPr>
                    <w:tc>
                      <w:tcPr>
                        <w:tcW w:w="1634" w:type="dxa"/>
                        <w:vMerge/>
                        <w:tcBorders>
                          <w:left w:val="single" w:sz="12" w:space="0" w:color="000000"/>
                          <w:bottom w:val="single" w:sz="6" w:space="0" w:color="000000"/>
                          <w:right w:val="single" w:sz="6" w:space="0" w:color="000000"/>
                        </w:tcBorders>
                        <w:shd w:val="clear" w:color="auto" w:fill="D2D2D2"/>
                      </w:tcPr>
                      <w:p>
                        <w:pPr/>
                      </w:p>
                    </w:tc>
                    <w:tc>
                      <w:tcPr>
                        <w:tcW w:w="7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10</w:t>
                        </w:r>
                        <w:r>
                          <w:rPr>
                            <w:rFonts w:ascii="宋体" w:hAnsi="宋体" w:cs="宋体" w:eastAsia="宋体" w:hint="default"/>
                            <w:spacing w:val="-33"/>
                            <w:sz w:val="18"/>
                            <w:szCs w:val="18"/>
                          </w:rPr>
                          <w:t> </w:t>
                        </w:r>
                        <w:r>
                          <w:rPr>
                            <w:rFonts w:ascii="宋体" w:hAnsi="宋体" w:cs="宋体" w:eastAsia="宋体" w:hint="default"/>
                            <w:sz w:val="18"/>
                            <w:szCs w:val="18"/>
                          </w:rPr>
                          <w:t>月 </w:t>
                        </w:r>
                        <w:r>
                          <w:rPr>
                            <w:rFonts w:ascii="宋体" w:hAnsi="宋体" w:cs="宋体" w:eastAsia="宋体" w:hint="default"/>
                            <w:sz w:val="18"/>
                            <w:szCs w:val="18"/>
                          </w:rPr>
                          <w:t>30</w:t>
                        </w:r>
                        <w:r>
                          <w:rPr>
                            <w:rFonts w:ascii="宋体" w:hAnsi="宋体" w:cs="宋体" w:eastAsia="宋体" w:hint="default"/>
                            <w:spacing w:val="-33"/>
                            <w:sz w:val="18"/>
                            <w:szCs w:val="18"/>
                          </w:rPr>
                          <w:t> </w:t>
                        </w:r>
                        <w:r>
                          <w:rPr>
                            <w:rFonts w:ascii="宋体" w:hAnsi="宋体" w:cs="宋体" w:eastAsia="宋体" w:hint="default"/>
                            <w:sz w:val="18"/>
                            <w:szCs w:val="18"/>
                          </w:rPr>
                          <w:t>日，公司披露了《关于以募集资金置换预先投入募集资金投资项目的自筹资金</w:t>
                        </w:r>
                      </w:p>
                      <w:p>
                        <w:pPr>
                          <w:pStyle w:val="TableParagraph"/>
                          <w:spacing w:line="319" w:lineRule="auto" w:before="75"/>
                          <w:ind w:left="20" w:right="10"/>
                          <w:jc w:val="left"/>
                          <w:rPr>
                            <w:rFonts w:ascii="宋体" w:hAnsi="宋体" w:cs="宋体" w:eastAsia="宋体" w:hint="default"/>
                            <w:sz w:val="18"/>
                            <w:szCs w:val="18"/>
                          </w:rPr>
                        </w:pPr>
                        <w:r>
                          <w:rPr>
                            <w:rFonts w:ascii="宋体" w:hAnsi="宋体" w:cs="宋体" w:eastAsia="宋体" w:hint="default"/>
                            <w:spacing w:val="-10"/>
                            <w:sz w:val="18"/>
                            <w:szCs w:val="18"/>
                          </w:rPr>
                          <w:t>的公告》（公告编号：（</w:t>
                        </w:r>
                        <w:r>
                          <w:rPr>
                            <w:rFonts w:ascii="宋体" w:hAnsi="宋体" w:cs="宋体" w:eastAsia="宋体" w:hint="default"/>
                            <w:spacing w:val="-10"/>
                            <w:sz w:val="18"/>
                            <w:szCs w:val="18"/>
                          </w:rPr>
                          <w:t>2012</w:t>
                        </w:r>
                        <w:r>
                          <w:rPr>
                            <w:rFonts w:ascii="宋体" w:hAnsi="宋体" w:cs="宋体" w:eastAsia="宋体" w:hint="default"/>
                            <w:spacing w:val="-10"/>
                            <w:sz w:val="18"/>
                            <w:szCs w:val="18"/>
                          </w:rPr>
                          <w:t>）</w:t>
                        </w:r>
                        <w:r>
                          <w:rPr>
                            <w:rFonts w:ascii="宋体" w:hAnsi="宋体" w:cs="宋体" w:eastAsia="宋体" w:hint="default"/>
                            <w:spacing w:val="-10"/>
                            <w:sz w:val="18"/>
                            <w:szCs w:val="18"/>
                          </w:rPr>
                          <w:t>1030-009</w:t>
                        </w:r>
                        <w:r>
                          <w:rPr>
                            <w:rFonts w:ascii="宋体" w:hAnsi="宋体" w:cs="宋体" w:eastAsia="宋体" w:hint="default"/>
                            <w:spacing w:val="-10"/>
                            <w:sz w:val="18"/>
                            <w:szCs w:val="18"/>
                          </w:rPr>
                          <w:t>），公司使用募集资金</w:t>
                        </w:r>
                        <w:r>
                          <w:rPr>
                            <w:rFonts w:ascii="宋体" w:hAnsi="宋体" w:cs="宋体" w:eastAsia="宋体" w:hint="default"/>
                            <w:spacing w:val="-36"/>
                            <w:sz w:val="18"/>
                            <w:szCs w:val="18"/>
                          </w:rPr>
                          <w:t> </w:t>
                        </w:r>
                        <w:r>
                          <w:rPr>
                            <w:rFonts w:ascii="宋体" w:hAnsi="宋体" w:cs="宋体" w:eastAsia="宋体" w:hint="default"/>
                            <w:sz w:val="18"/>
                            <w:szCs w:val="18"/>
                          </w:rPr>
                          <w:t>1,189.82</w:t>
                        </w:r>
                        <w:r>
                          <w:rPr>
                            <w:rFonts w:ascii="宋体" w:hAnsi="宋体" w:cs="宋体" w:eastAsia="宋体" w:hint="default"/>
                            <w:spacing w:val="-36"/>
                            <w:sz w:val="18"/>
                            <w:szCs w:val="18"/>
                          </w:rPr>
                          <w:t> </w:t>
                        </w:r>
                        <w:r>
                          <w:rPr>
                            <w:rFonts w:ascii="宋体" w:hAnsi="宋体" w:cs="宋体" w:eastAsia="宋体" w:hint="default"/>
                            <w:sz w:val="18"/>
                            <w:szCs w:val="18"/>
                          </w:rPr>
                          <w:t>万元置换预先已投入募集资金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投资项目的自筹资金，上海众华沪银会计师事务所有限公司出具了沪众会字（</w:t>
                        </w:r>
                        <w:r>
                          <w:rPr>
                            <w:rFonts w:ascii="宋体" w:hAnsi="宋体" w:cs="宋体" w:eastAsia="宋体" w:hint="default"/>
                            <w:spacing w:val="-5"/>
                            <w:sz w:val="18"/>
                            <w:szCs w:val="18"/>
                          </w:rPr>
                          <w:t>2012</w:t>
                        </w:r>
                        <w:r>
                          <w:rPr>
                            <w:rFonts w:ascii="宋体" w:hAnsi="宋体" w:cs="宋体" w:eastAsia="宋体" w:hint="default"/>
                            <w:spacing w:val="-5"/>
                            <w:sz w:val="18"/>
                            <w:szCs w:val="18"/>
                          </w:rPr>
                          <w:t>）</w:t>
                        </w:r>
                        <w:r>
                          <w:rPr>
                            <w:rFonts w:ascii="宋体" w:hAnsi="宋体" w:cs="宋体" w:eastAsia="宋体" w:hint="default"/>
                            <w:spacing w:val="-5"/>
                            <w:sz w:val="18"/>
                            <w:szCs w:val="18"/>
                          </w:rPr>
                          <w:t>3221</w:t>
                        </w:r>
                        <w:r>
                          <w:rPr>
                            <w:rFonts w:ascii="宋体" w:hAnsi="宋体" w:cs="宋体" w:eastAsia="宋体" w:hint="default"/>
                            <w:spacing w:val="-36"/>
                            <w:sz w:val="18"/>
                            <w:szCs w:val="18"/>
                          </w:rPr>
                          <w:t> </w:t>
                        </w:r>
                        <w:r>
                          <w:rPr>
                            <w:rFonts w:ascii="宋体" w:hAnsi="宋体" w:cs="宋体" w:eastAsia="宋体" w:hint="default"/>
                            <w:sz w:val="18"/>
                            <w:szCs w:val="18"/>
                          </w:rPr>
                          <w:t>号鉴证报告</w:t>
                        </w:r>
                        <w:r>
                          <w:rPr>
                            <w:rFonts w:ascii="宋体" w:hAnsi="宋体" w:cs="宋体" w:eastAsia="宋体" w:hint="default"/>
                            <w:spacing w:val="-62"/>
                            <w:sz w:val="18"/>
                            <w:szCs w:val="18"/>
                          </w:rPr>
                          <w:t> </w:t>
                        </w:r>
                        <w:r>
                          <w:rPr>
                            <w:rFonts w:ascii="宋体" w:hAnsi="宋体" w:cs="宋体" w:eastAsia="宋体" w:hint="default"/>
                            <w:sz w:val="18"/>
                            <w:szCs w:val="18"/>
                          </w:rPr>
                          <w:t>对该项情况进行了审验。该项置换工作已划转完成。</w:t>
                        </w:r>
                      </w:p>
                    </w:tc>
                  </w:tr>
                  <w:tr>
                    <w:trPr>
                      <w:trHeight w:val="407" w:hRule="exact"/>
                    </w:trPr>
                    <w:tc>
                      <w:tcPr>
                        <w:tcW w:w="1634"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13" w:right="156"/>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264" w:hRule="exact"/>
                    </w:trPr>
                    <w:tc>
                      <w:tcPr>
                        <w:tcW w:w="1634" w:type="dxa"/>
                        <w:vMerge/>
                        <w:tcBorders>
                          <w:left w:val="single" w:sz="12" w:space="0" w:color="000000"/>
                          <w:bottom w:val="single" w:sz="12" w:space="0" w:color="000000"/>
                          <w:right w:val="single" w:sz="6" w:space="0" w:color="000000"/>
                        </w:tcBorders>
                        <w:shd w:val="clear" w:color="auto" w:fill="D2D2D2"/>
                      </w:tcPr>
                      <w:p>
                        <w:pPr/>
                      </w:p>
                    </w:tc>
                    <w:tc>
                      <w:tcPr>
                        <w:tcW w:w="7937"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11"/>
                          <w:ind w:left="20" w:right="10" w:firstLine="360"/>
                          <w:jc w:val="both"/>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w:t>
                        </w:r>
                        <w:r>
                          <w:rPr>
                            <w:rFonts w:ascii="宋体" w:hAnsi="宋体" w:cs="宋体" w:eastAsia="宋体" w:hint="default"/>
                            <w:spacing w:val="-6"/>
                            <w:sz w:val="18"/>
                            <w:szCs w:val="18"/>
                          </w:rPr>
                          <w:t>2012</w:t>
                        </w:r>
                        <w:r>
                          <w:rPr>
                            <w:rFonts w:ascii="宋体" w:hAnsi="宋体" w:cs="宋体" w:eastAsia="宋体"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pacing w:val="-6"/>
                            <w:sz w:val="18"/>
                            <w:szCs w:val="18"/>
                          </w:rPr>
                          <w:t>日，公司披露了《关于使用部分闲置募集资金暂时补充流动资金的公告》（公</w:t>
                        </w:r>
                        <w:r>
                          <w:rPr>
                            <w:rFonts w:ascii="宋体" w:hAnsi="宋体" w:cs="宋体" w:eastAsia="宋体" w:hint="default"/>
                            <w:sz w:val="18"/>
                            <w:szCs w:val="18"/>
                          </w:rPr>
                          <w:t> </w:t>
                        </w:r>
                        <w:r>
                          <w:rPr>
                            <w:rFonts w:ascii="宋体" w:hAnsi="宋体" w:cs="宋体" w:eastAsia="宋体" w:hint="default"/>
                            <w:spacing w:val="-11"/>
                            <w:sz w:val="18"/>
                            <w:szCs w:val="18"/>
                          </w:rPr>
                          <w:t>告编号：（</w:t>
                        </w:r>
                        <w:r>
                          <w:rPr>
                            <w:rFonts w:ascii="宋体" w:hAnsi="宋体" w:cs="宋体" w:eastAsia="宋体" w:hint="default"/>
                            <w:spacing w:val="-11"/>
                            <w:sz w:val="18"/>
                            <w:szCs w:val="18"/>
                          </w:rPr>
                          <w:t>201</w:t>
                        </w:r>
                        <w:r>
                          <w:rPr>
                            <w:rFonts w:ascii="宋体" w:hAnsi="宋体" w:cs="宋体" w:eastAsia="宋体" w:hint="default"/>
                            <w:spacing w:val="24"/>
                            <w:sz w:val="18"/>
                            <w:szCs w:val="18"/>
                          </w:rPr>
                          <w:t> </w:t>
                        </w:r>
                        <w:r>
                          <w:rPr>
                            <w:rFonts w:ascii="宋体" w:hAnsi="宋体" w:cs="宋体" w:eastAsia="宋体" w:hint="default"/>
                            <w:spacing w:val="-2"/>
                            <w:sz w:val="18"/>
                            <w:szCs w:val="18"/>
                          </w:rPr>
                          <w:t>2</w:t>
                        </w:r>
                        <w:r>
                          <w:rPr>
                            <w:rFonts w:ascii="宋体" w:hAnsi="宋体" w:cs="宋体" w:eastAsia="宋体" w:hint="default"/>
                            <w:spacing w:val="-2"/>
                            <w:sz w:val="18"/>
                            <w:szCs w:val="18"/>
                          </w:rPr>
                          <w:t>）</w:t>
                        </w:r>
                        <w:r>
                          <w:rPr>
                            <w:rFonts w:ascii="宋体" w:hAnsi="宋体" w:cs="宋体" w:eastAsia="宋体" w:hint="default"/>
                            <w:spacing w:val="-2"/>
                            <w:sz w:val="18"/>
                            <w:szCs w:val="18"/>
                          </w:rPr>
                          <w:t>1030-011</w:t>
                        </w:r>
                        <w:r>
                          <w:rPr>
                            <w:rFonts w:ascii="宋体" w:hAnsi="宋体" w:cs="宋体" w:eastAsia="宋体" w:hint="default"/>
                            <w:spacing w:val="-2"/>
                            <w:sz w:val="18"/>
                            <w:szCs w:val="18"/>
                          </w:rPr>
                          <w:t>），公司从“电力用户用电信息采集系统产能扩大建设项目”尚未使用的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闲置募集资金中，使用</w:t>
                        </w:r>
                        <w:r>
                          <w:rPr>
                            <w:rFonts w:ascii="宋体" w:hAnsi="宋体" w:cs="宋体" w:eastAsia="宋体" w:hint="default"/>
                            <w:spacing w:val="-51"/>
                            <w:sz w:val="18"/>
                            <w:szCs w:val="18"/>
                          </w:rPr>
                          <w:t> </w:t>
                        </w:r>
                        <w:r>
                          <w:rPr>
                            <w:rFonts w:ascii="宋体" w:hAnsi="宋体" w:cs="宋体" w:eastAsia="宋体" w:hint="default"/>
                            <w:sz w:val="18"/>
                            <w:szCs w:val="18"/>
                          </w:rPr>
                          <w:t>3,000</w:t>
                        </w:r>
                        <w:r>
                          <w:rPr>
                            <w:rFonts w:ascii="宋体" w:hAnsi="宋体" w:cs="宋体" w:eastAsia="宋体" w:hint="default"/>
                            <w:spacing w:val="-11"/>
                            <w:sz w:val="18"/>
                            <w:szCs w:val="18"/>
                          </w:rPr>
                          <w:t>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pacing w:val="-7"/>
                            <w:sz w:val="18"/>
                            <w:szCs w:val="18"/>
                          </w:rPr>
                          <w:t>个月，到</w:t>
                        </w:r>
                      </w:p>
                      <w:p>
                        <w:pPr>
                          <w:pStyle w:val="TableParagraph"/>
                          <w:spacing w:line="316" w:lineRule="auto" w:before="19"/>
                          <w:ind w:left="20" w:right="11"/>
                          <w:jc w:val="left"/>
                          <w:rPr>
                            <w:rFonts w:ascii="宋体" w:hAnsi="宋体" w:cs="宋体" w:eastAsia="宋体" w:hint="default"/>
                            <w:sz w:val="18"/>
                            <w:szCs w:val="18"/>
                          </w:rPr>
                        </w:pPr>
                        <w:r>
                          <w:rPr>
                            <w:rFonts w:ascii="宋体" w:hAnsi="宋体" w:cs="宋体" w:eastAsia="宋体" w:hint="default"/>
                            <w:spacing w:val="-3"/>
                            <w:sz w:val="18"/>
                            <w:szCs w:val="18"/>
                          </w:rPr>
                          <w:t>期将归还至募集资金专户。上述募集资金已于</w:t>
                        </w:r>
                        <w:r>
                          <w:rPr>
                            <w:rFonts w:ascii="宋体" w:hAnsi="宋体" w:cs="宋体" w:eastAsia="宋体" w:hint="default"/>
                            <w:spacing w:val="-43"/>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日全部归还并存入公司募集资金专用账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户，并披露了《关于归还募集资金的公告》（公告编号：（</w:t>
                        </w:r>
                        <w:r>
                          <w:rPr>
                            <w:rFonts w:ascii="宋体" w:hAnsi="宋体" w:cs="宋体" w:eastAsia="宋体" w:hint="default"/>
                            <w:spacing w:val="-9"/>
                            <w:sz w:val="18"/>
                            <w:szCs w:val="18"/>
                          </w:rPr>
                          <w:t>2013</w:t>
                        </w:r>
                        <w:r>
                          <w:rPr>
                            <w:rFonts w:ascii="宋体" w:hAnsi="宋体" w:cs="宋体" w:eastAsia="宋体" w:hint="default"/>
                            <w:spacing w:val="-9"/>
                            <w:sz w:val="18"/>
                            <w:szCs w:val="18"/>
                          </w:rPr>
                          <w:t>）</w:t>
                        </w:r>
                        <w:r>
                          <w:rPr>
                            <w:rFonts w:ascii="宋体" w:hAnsi="宋体" w:cs="宋体" w:eastAsia="宋体" w:hint="default"/>
                            <w:spacing w:val="-9"/>
                            <w:sz w:val="18"/>
                            <w:szCs w:val="18"/>
                          </w:rPr>
                          <w:t>0418-018</w:t>
                        </w:r>
                        <w:r>
                          <w:rPr>
                            <w:rFonts w:ascii="宋体" w:hAnsi="宋体" w:cs="宋体" w:eastAsia="宋体" w:hint="default"/>
                            <w:spacing w:val="-9"/>
                            <w:sz w:val="18"/>
                            <w:szCs w:val="18"/>
                          </w:rPr>
                          <w:t>）。</w:t>
                        </w:r>
                        <w:r>
                          <w:rPr>
                            <w:rFonts w:ascii="宋体" w:hAnsi="宋体" w:cs="宋体" w:eastAsia="宋体" w:hint="default"/>
                            <w:sz w:val="18"/>
                            <w:szCs w:val="18"/>
                          </w:rPr>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日，公司披露了《关于继续使用部分闲置募集资金暂时补充流动资金的公告</w:t>
                        </w:r>
                      </w:p>
                      <w:p>
                        <w:pPr>
                          <w:pStyle w:val="TableParagraph"/>
                          <w:spacing w:line="316" w:lineRule="auto" w:before="76"/>
                          <w:ind w:left="20" w:right="11"/>
                          <w:jc w:val="left"/>
                          <w:rPr>
                            <w:rFonts w:ascii="宋体" w:hAnsi="宋体" w:cs="宋体" w:eastAsia="宋体" w:hint="default"/>
                            <w:sz w:val="18"/>
                            <w:szCs w:val="18"/>
                          </w:rPr>
                        </w:pPr>
                        <w:r>
                          <w:rPr>
                            <w:rFonts w:ascii="宋体" w:hAnsi="宋体" w:cs="宋体" w:eastAsia="宋体" w:hint="default"/>
                            <w:spacing w:val="-5"/>
                            <w:sz w:val="18"/>
                            <w:szCs w:val="18"/>
                          </w:rPr>
                          <w:t>（公告编号：（</w:t>
                        </w:r>
                        <w:r>
                          <w:rPr>
                            <w:rFonts w:ascii="宋体" w:hAnsi="宋体" w:cs="宋体" w:eastAsia="宋体" w:hint="default"/>
                            <w:spacing w:val="-5"/>
                            <w:sz w:val="18"/>
                            <w:szCs w:val="18"/>
                          </w:rPr>
                          <w:t>2013</w:t>
                        </w:r>
                        <w:r>
                          <w:rPr>
                            <w:rFonts w:ascii="宋体" w:hAnsi="宋体" w:cs="宋体" w:eastAsia="宋体" w:hint="default"/>
                            <w:spacing w:val="-5"/>
                            <w:sz w:val="18"/>
                            <w:szCs w:val="18"/>
                          </w:rPr>
                          <w:t>）</w:t>
                        </w:r>
                        <w:r>
                          <w:rPr>
                            <w:rFonts w:ascii="宋体" w:hAnsi="宋体" w:cs="宋体" w:eastAsia="宋体" w:hint="default"/>
                            <w:spacing w:val="-5"/>
                            <w:sz w:val="18"/>
                            <w:szCs w:val="18"/>
                          </w:rPr>
                          <w:t>0422-021</w:t>
                        </w:r>
                        <w:r>
                          <w:rPr>
                            <w:rFonts w:ascii="宋体" w:hAnsi="宋体" w:cs="宋体" w:eastAsia="宋体" w:hint="default"/>
                            <w:spacing w:val="-5"/>
                            <w:sz w:val="18"/>
                            <w:szCs w:val="18"/>
                          </w:rPr>
                          <w:t>），公司从“电力用户用电信息采集系统产能扩大建设项目”尚未使用</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的闲置募集资金中，使用</w:t>
                        </w:r>
                        <w:r>
                          <w:rPr>
                            <w:rFonts w:ascii="宋体" w:hAnsi="宋体" w:cs="宋体" w:eastAsia="宋体" w:hint="default"/>
                            <w:spacing w:val="-46"/>
                            <w:sz w:val="18"/>
                            <w:szCs w:val="18"/>
                          </w:rPr>
                          <w:t> </w:t>
                        </w:r>
                        <w:r>
                          <w:rPr>
                            <w:rFonts w:ascii="宋体" w:hAnsi="宋体" w:cs="宋体" w:eastAsia="宋体" w:hint="default"/>
                            <w:sz w:val="18"/>
                            <w:szCs w:val="18"/>
                          </w:rPr>
                          <w:t>3,000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p>
                        <w:pPr>
                          <w:pStyle w:val="TableParagraph"/>
                          <w:spacing w:line="316" w:lineRule="auto" w:before="19"/>
                          <w:ind w:left="20" w:right="11"/>
                          <w:jc w:val="left"/>
                          <w:rPr>
                            <w:rFonts w:ascii="宋体" w:hAnsi="宋体" w:cs="宋体" w:eastAsia="宋体" w:hint="default"/>
                            <w:sz w:val="18"/>
                            <w:szCs w:val="18"/>
                          </w:rPr>
                        </w:pPr>
                        <w:r>
                          <w:rPr>
                            <w:rFonts w:ascii="宋体" w:hAnsi="宋体" w:cs="宋体" w:eastAsia="宋体" w:hint="default"/>
                            <w:sz w:val="18"/>
                            <w:szCs w:val="18"/>
                          </w:rPr>
                          <w:t>到期将归还至募集资金专户。上述募集资金已于</w:t>
                        </w:r>
                        <w:r>
                          <w:rPr>
                            <w:rFonts w:ascii="宋体" w:hAnsi="宋体" w:cs="宋体" w:eastAsia="宋体" w:hint="default"/>
                            <w:spacing w:val="-52"/>
                            <w:sz w:val="18"/>
                            <w:szCs w:val="18"/>
                          </w:rPr>
                          <w:t> </w:t>
                        </w: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9</w:t>
                        </w:r>
                        <w:r>
                          <w:rPr>
                            <w:rFonts w:ascii="宋体" w:hAnsi="宋体" w:cs="宋体" w:eastAsia="宋体" w:hint="default"/>
                            <w:spacing w:val="-52"/>
                            <w:sz w:val="18"/>
                            <w:szCs w:val="18"/>
                          </w:rPr>
                          <w:t> </w:t>
                        </w:r>
                        <w:r>
                          <w:rPr>
                            <w:rFonts w:ascii="宋体" w:hAnsi="宋体" w:cs="宋体" w:eastAsia="宋体" w:hint="default"/>
                            <w:sz w:val="18"/>
                            <w:szCs w:val="18"/>
                          </w:rPr>
                          <w:t>日全部归还并存入公司募集资金专用 </w:t>
                        </w:r>
                        <w:r>
                          <w:rPr>
                            <w:rFonts w:ascii="宋体" w:hAnsi="宋体" w:cs="宋体" w:eastAsia="宋体" w:hint="default"/>
                            <w:spacing w:val="-9"/>
                            <w:sz w:val="18"/>
                            <w:szCs w:val="18"/>
                          </w:rPr>
                          <w:t>账户，并披露了《关于归还募集资金的公告》（公告编号：（</w:t>
                        </w:r>
                        <w:r>
                          <w:rPr>
                            <w:rFonts w:ascii="宋体" w:hAnsi="宋体" w:cs="宋体" w:eastAsia="宋体" w:hint="default"/>
                            <w:spacing w:val="-9"/>
                            <w:sz w:val="18"/>
                            <w:szCs w:val="18"/>
                          </w:rPr>
                          <w:t>2013</w:t>
                        </w:r>
                        <w:r>
                          <w:rPr>
                            <w:rFonts w:ascii="宋体" w:hAnsi="宋体" w:cs="宋体" w:eastAsia="宋体" w:hint="default"/>
                            <w:spacing w:val="-9"/>
                            <w:sz w:val="18"/>
                            <w:szCs w:val="18"/>
                          </w:rPr>
                          <w:t>）</w:t>
                        </w:r>
                        <w:r>
                          <w:rPr>
                            <w:rFonts w:ascii="宋体" w:hAnsi="宋体" w:cs="宋体" w:eastAsia="宋体" w:hint="default"/>
                            <w:spacing w:val="-9"/>
                            <w:sz w:val="18"/>
                            <w:szCs w:val="18"/>
                          </w:rPr>
                          <w:t>1009-043</w:t>
                        </w:r>
                        <w:r>
                          <w:rPr>
                            <w:rFonts w:ascii="宋体" w:hAnsi="宋体" w:cs="宋体" w:eastAsia="宋体" w:hint="default"/>
                            <w:spacing w:val="-9"/>
                            <w:sz w:val="18"/>
                            <w:szCs w:val="18"/>
                          </w:rPr>
                          <w:t>）。</w:t>
                        </w:r>
                        <w:r>
                          <w:rPr>
                            <w:rFonts w:ascii="宋体" w:hAnsi="宋体" w:cs="宋体" w:eastAsia="宋体" w:hint="default"/>
                            <w:sz w:val="18"/>
                            <w:szCs w:val="18"/>
                          </w:rPr>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pacing w:val="-5"/>
                            <w:sz w:val="18"/>
                            <w:szCs w:val="18"/>
                          </w:rPr>
                          <w:t>2013</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15</w:t>
                        </w:r>
                        <w:r>
                          <w:rPr>
                            <w:rFonts w:ascii="宋体" w:hAnsi="宋体" w:cs="宋体" w:eastAsia="宋体" w:hint="default"/>
                            <w:spacing w:val="-57"/>
                            <w:sz w:val="18"/>
                            <w:szCs w:val="18"/>
                          </w:rPr>
                          <w:t> </w:t>
                        </w:r>
                        <w:r>
                          <w:rPr>
                            <w:rFonts w:ascii="宋体" w:hAnsi="宋体" w:cs="宋体" w:eastAsia="宋体" w:hint="default"/>
                            <w:sz w:val="18"/>
                            <w:szCs w:val="18"/>
                          </w:rPr>
                          <w:t>日，公司披露了《关于继续使用部分闲置募集资金暂时补充流动资金的公告</w:t>
                        </w:r>
                      </w:p>
                      <w:p>
                        <w:pPr>
                          <w:pStyle w:val="TableParagraph"/>
                          <w:spacing w:line="316" w:lineRule="auto" w:before="76"/>
                          <w:ind w:left="20" w:right="11"/>
                          <w:jc w:val="left"/>
                          <w:rPr>
                            <w:rFonts w:ascii="宋体" w:hAnsi="宋体" w:cs="宋体" w:eastAsia="宋体" w:hint="default"/>
                            <w:sz w:val="18"/>
                            <w:szCs w:val="18"/>
                          </w:rPr>
                        </w:pPr>
                        <w:r>
                          <w:rPr>
                            <w:rFonts w:ascii="宋体" w:hAnsi="宋体" w:cs="宋体" w:eastAsia="宋体" w:hint="default"/>
                            <w:spacing w:val="-5"/>
                            <w:sz w:val="18"/>
                            <w:szCs w:val="18"/>
                          </w:rPr>
                          <w:t>（公告编号：（</w:t>
                        </w:r>
                        <w:r>
                          <w:rPr>
                            <w:rFonts w:ascii="宋体" w:hAnsi="宋体" w:cs="宋体" w:eastAsia="宋体" w:hint="default"/>
                            <w:spacing w:val="-5"/>
                            <w:sz w:val="18"/>
                            <w:szCs w:val="18"/>
                          </w:rPr>
                          <w:t>2013</w:t>
                        </w:r>
                        <w:r>
                          <w:rPr>
                            <w:rFonts w:ascii="宋体" w:hAnsi="宋体" w:cs="宋体" w:eastAsia="宋体" w:hint="default"/>
                            <w:spacing w:val="-5"/>
                            <w:sz w:val="18"/>
                            <w:szCs w:val="18"/>
                          </w:rPr>
                          <w:t>）</w:t>
                        </w:r>
                        <w:r>
                          <w:rPr>
                            <w:rFonts w:ascii="宋体" w:hAnsi="宋体" w:cs="宋体" w:eastAsia="宋体" w:hint="default"/>
                            <w:spacing w:val="-5"/>
                            <w:sz w:val="18"/>
                            <w:szCs w:val="18"/>
                          </w:rPr>
                          <w:t>1015-046</w:t>
                        </w:r>
                        <w:r>
                          <w:rPr>
                            <w:rFonts w:ascii="宋体" w:hAnsi="宋体" w:cs="宋体" w:eastAsia="宋体" w:hint="default"/>
                            <w:spacing w:val="-5"/>
                            <w:sz w:val="18"/>
                            <w:szCs w:val="18"/>
                          </w:rPr>
                          <w:t>），公司继续从“电力用户用电信息采集系统产能扩大建设项目”尚未</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使用的闲置募集资金中，使用 </w:t>
                        </w:r>
                        <w:r>
                          <w:rPr>
                            <w:rFonts w:ascii="宋体" w:hAnsi="宋体" w:cs="宋体" w:eastAsia="宋体" w:hint="default"/>
                            <w:sz w:val="18"/>
                            <w:szCs w:val="18"/>
                          </w:rPr>
                          <w:t>3,000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41"/>
                            <w:sz w:val="18"/>
                            <w:szCs w:val="18"/>
                          </w:rPr>
                          <w:t> </w:t>
                        </w:r>
                        <w:r>
                          <w:rPr>
                            <w:rFonts w:ascii="宋体" w:hAnsi="宋体" w:cs="宋体" w:eastAsia="宋体" w:hint="default"/>
                            <w:sz w:val="18"/>
                            <w:szCs w:val="18"/>
                          </w:rPr>
                          <w:t>6</w:t>
                        </w:r>
                      </w:p>
                      <w:p>
                        <w:pPr>
                          <w:pStyle w:val="TableParagraph"/>
                          <w:spacing w:line="316" w:lineRule="auto" w:before="19"/>
                          <w:ind w:left="20" w:right="11"/>
                          <w:jc w:val="left"/>
                          <w:rPr>
                            <w:rFonts w:ascii="宋体" w:hAnsi="宋体" w:cs="宋体" w:eastAsia="宋体" w:hint="default"/>
                            <w:sz w:val="18"/>
                            <w:szCs w:val="18"/>
                          </w:rPr>
                        </w:pPr>
                        <w:r>
                          <w:rPr>
                            <w:rFonts w:ascii="宋体" w:hAnsi="宋体" w:cs="宋体" w:eastAsia="宋体" w:hint="default"/>
                            <w:sz w:val="18"/>
                            <w:szCs w:val="18"/>
                          </w:rPr>
                          <w:t>个月，到期将归还至募集资金专户。该项工作已划转完成，并于</w:t>
                        </w:r>
                        <w:r>
                          <w:rPr>
                            <w:rFonts w:ascii="宋体" w:hAnsi="宋体" w:cs="宋体" w:eastAsia="宋体" w:hint="default"/>
                            <w:spacing w:val="-37"/>
                            <w:sz w:val="18"/>
                            <w:szCs w:val="18"/>
                          </w:rPr>
                          <w:t> </w:t>
                        </w:r>
                        <w:r>
                          <w:rPr>
                            <w:rFonts w:ascii="宋体" w:hAnsi="宋体" w:cs="宋体" w:eastAsia="宋体" w:hint="default"/>
                            <w:sz w:val="18"/>
                            <w:szCs w:val="18"/>
                          </w:rPr>
                          <w:t>2014</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4</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4</w:t>
                        </w:r>
                        <w:r>
                          <w:rPr>
                            <w:rFonts w:ascii="宋体" w:hAnsi="宋体" w:cs="宋体" w:eastAsia="宋体" w:hint="default"/>
                            <w:spacing w:val="-37"/>
                            <w:sz w:val="18"/>
                            <w:szCs w:val="18"/>
                          </w:rPr>
                          <w:t> </w:t>
                        </w:r>
                        <w:r>
                          <w:rPr>
                            <w:rFonts w:ascii="宋体" w:hAnsi="宋体" w:cs="宋体" w:eastAsia="宋体" w:hint="default"/>
                            <w:sz w:val="18"/>
                            <w:szCs w:val="18"/>
                          </w:rPr>
                          <w:t>日已经全部归还并存 </w:t>
                        </w:r>
                        <w:r>
                          <w:rPr>
                            <w:rFonts w:ascii="宋体" w:hAnsi="宋体" w:cs="宋体" w:eastAsia="宋体" w:hint="default"/>
                            <w:spacing w:val="-8"/>
                            <w:sz w:val="18"/>
                            <w:szCs w:val="18"/>
                          </w:rPr>
                          <w:t>入公司募集资金专用账户，并披露《关于归还募集资金的公告》（公告编号：（</w:t>
                        </w:r>
                        <w:r>
                          <w:rPr>
                            <w:rFonts w:ascii="宋体" w:hAnsi="宋体" w:cs="宋体" w:eastAsia="宋体" w:hint="default"/>
                            <w:spacing w:val="-8"/>
                            <w:sz w:val="18"/>
                            <w:szCs w:val="18"/>
                          </w:rPr>
                          <w:t>2014</w:t>
                        </w:r>
                        <w:r>
                          <w:rPr>
                            <w:rFonts w:ascii="宋体" w:hAnsi="宋体" w:cs="宋体" w:eastAsia="宋体" w:hint="default"/>
                            <w:spacing w:val="-8"/>
                            <w:sz w:val="18"/>
                            <w:szCs w:val="18"/>
                          </w:rPr>
                          <w:t>）</w:t>
                        </w:r>
                        <w:r>
                          <w:rPr>
                            <w:rFonts w:ascii="宋体" w:hAnsi="宋体" w:cs="宋体" w:eastAsia="宋体" w:hint="default"/>
                            <w:spacing w:val="-8"/>
                            <w:sz w:val="18"/>
                            <w:szCs w:val="18"/>
                          </w:rPr>
                          <w:t>0404-013</w:t>
                        </w:r>
                        <w:r>
                          <w:rPr>
                            <w:rFonts w:ascii="宋体" w:hAnsi="宋体" w:cs="宋体" w:eastAsia="宋体" w:hint="default"/>
                            <w:spacing w:val="-8"/>
                            <w:sz w:val="18"/>
                            <w:szCs w:val="18"/>
                          </w:rPr>
                          <w:t>）。</w:t>
                        </w:r>
                        <w:r>
                          <w:rPr>
                            <w:rFonts w:ascii="宋体" w:hAnsi="宋体" w:cs="宋体" w:eastAsia="宋体" w:hint="default"/>
                            <w:sz w:val="18"/>
                            <w:szCs w:val="18"/>
                          </w:rPr>
                        </w:r>
                      </w:p>
                      <w:p>
                        <w:pPr>
                          <w:pStyle w:val="TableParagraph"/>
                          <w:spacing w:line="240" w:lineRule="auto" w:before="19"/>
                          <w:ind w:left="38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日，公司披露了《关于继续使用部分闲置募集资金暂时补充流动资金的公告</w:t>
                        </w:r>
                      </w:p>
                      <w:p>
                        <w:pPr>
                          <w:pStyle w:val="TableParagraph"/>
                          <w:spacing w:line="316" w:lineRule="auto" w:before="77"/>
                          <w:ind w:left="20" w:right="11"/>
                          <w:jc w:val="left"/>
                          <w:rPr>
                            <w:rFonts w:ascii="宋体" w:hAnsi="宋体" w:cs="宋体" w:eastAsia="宋体" w:hint="default"/>
                            <w:sz w:val="18"/>
                            <w:szCs w:val="18"/>
                          </w:rPr>
                        </w:pPr>
                        <w:r>
                          <w:rPr>
                            <w:rFonts w:ascii="宋体" w:hAnsi="宋体" w:cs="宋体" w:eastAsia="宋体" w:hint="default"/>
                            <w:spacing w:val="-5"/>
                            <w:sz w:val="18"/>
                            <w:szCs w:val="18"/>
                          </w:rPr>
                          <w:t>（公告编号：（</w:t>
                        </w:r>
                        <w:r>
                          <w:rPr>
                            <w:rFonts w:ascii="宋体" w:hAnsi="宋体" w:cs="宋体" w:eastAsia="宋体" w:hint="default"/>
                            <w:spacing w:val="-5"/>
                            <w:sz w:val="18"/>
                            <w:szCs w:val="18"/>
                          </w:rPr>
                          <w:t>2014</w:t>
                        </w:r>
                        <w:r>
                          <w:rPr>
                            <w:rFonts w:ascii="宋体" w:hAnsi="宋体" w:cs="宋体" w:eastAsia="宋体" w:hint="default"/>
                            <w:spacing w:val="-5"/>
                            <w:sz w:val="18"/>
                            <w:szCs w:val="18"/>
                          </w:rPr>
                          <w:t>）</w:t>
                        </w:r>
                        <w:r>
                          <w:rPr>
                            <w:rFonts w:ascii="宋体" w:hAnsi="宋体" w:cs="宋体" w:eastAsia="宋体" w:hint="default"/>
                            <w:spacing w:val="-5"/>
                            <w:sz w:val="18"/>
                            <w:szCs w:val="18"/>
                          </w:rPr>
                          <w:t>0410-019</w:t>
                        </w:r>
                        <w:r>
                          <w:rPr>
                            <w:rFonts w:ascii="宋体" w:hAnsi="宋体" w:cs="宋体" w:eastAsia="宋体" w:hint="default"/>
                            <w:spacing w:val="-5"/>
                            <w:sz w:val="18"/>
                            <w:szCs w:val="18"/>
                          </w:rPr>
                          <w:t>），公司继续从“电力用户用电信息采集系统产能扩大建设项目”尚未</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使用的闲置募集资金中，使用 </w:t>
                        </w:r>
                        <w:r>
                          <w:rPr>
                            <w:rFonts w:ascii="宋体" w:hAnsi="宋体" w:cs="宋体" w:eastAsia="宋体" w:hint="default"/>
                            <w:sz w:val="18"/>
                            <w:szCs w:val="18"/>
                          </w:rPr>
                          <w:t>3,000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41"/>
                            <w:sz w:val="18"/>
                            <w:szCs w:val="18"/>
                          </w:rPr>
                          <w:t> </w:t>
                        </w:r>
                        <w:r>
                          <w:rPr>
                            <w:rFonts w:ascii="宋体" w:hAnsi="宋体" w:cs="宋体" w:eastAsia="宋体" w:hint="default"/>
                            <w:sz w:val="18"/>
                            <w:szCs w:val="18"/>
                          </w:rPr>
                          <w:t>6</w:t>
                        </w:r>
                      </w:p>
                      <w:p>
                        <w:pPr>
                          <w:pStyle w:val="TableParagraph"/>
                          <w:spacing w:line="316" w:lineRule="auto" w:before="19"/>
                          <w:ind w:left="20" w:right="11"/>
                          <w:jc w:val="left"/>
                          <w:rPr>
                            <w:rFonts w:ascii="宋体" w:hAnsi="宋体" w:cs="宋体" w:eastAsia="宋体" w:hint="default"/>
                            <w:sz w:val="18"/>
                            <w:szCs w:val="18"/>
                          </w:rPr>
                        </w:pPr>
                        <w:r>
                          <w:rPr>
                            <w:rFonts w:ascii="宋体" w:hAnsi="宋体" w:cs="宋体" w:eastAsia="宋体" w:hint="default"/>
                            <w:sz w:val="18"/>
                            <w:szCs w:val="18"/>
                          </w:rPr>
                          <w:t>个月，到期将归还至募集资金专户。该项工作已划转完成，上述募集资金已于</w:t>
                        </w:r>
                        <w:r>
                          <w:rPr>
                            <w:rFonts w:ascii="宋体" w:hAnsi="宋体" w:cs="宋体" w:eastAsia="宋体" w:hint="default"/>
                            <w:spacing w:val="-53"/>
                            <w:sz w:val="18"/>
                            <w:szCs w:val="18"/>
                          </w:rPr>
                          <w:t> </w:t>
                        </w: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8</w:t>
                        </w:r>
                        <w:r>
                          <w:rPr>
                            <w:rFonts w:ascii="宋体" w:hAnsi="宋体" w:cs="宋体" w:eastAsia="宋体" w:hint="default"/>
                            <w:spacing w:val="-53"/>
                            <w:sz w:val="18"/>
                            <w:szCs w:val="18"/>
                          </w:rPr>
                          <w:t> </w:t>
                        </w:r>
                        <w:r>
                          <w:rPr>
                            <w:rFonts w:ascii="宋体" w:hAnsi="宋体" w:cs="宋体" w:eastAsia="宋体" w:hint="default"/>
                            <w:sz w:val="18"/>
                            <w:szCs w:val="18"/>
                          </w:rPr>
                          <w:t>日全部 </w:t>
                        </w:r>
                        <w:r>
                          <w:rPr>
                            <w:rFonts w:ascii="宋体" w:hAnsi="宋体" w:cs="宋体" w:eastAsia="宋体" w:hint="default"/>
                            <w:spacing w:val="2"/>
                            <w:sz w:val="18"/>
                            <w:szCs w:val="18"/>
                          </w:rPr>
                          <w:t>归还并存入公司募集资金专用账户，并披露了《关于归还募集资金的公告》（公告编号：（</w:t>
                        </w:r>
                        <w:r>
                          <w:rPr>
                            <w:rFonts w:ascii="宋体" w:hAnsi="宋体" w:cs="宋体" w:eastAsia="宋体" w:hint="default"/>
                            <w:spacing w:val="2"/>
                            <w:sz w:val="18"/>
                            <w:szCs w:val="18"/>
                          </w:rPr>
                          <w:t>2014</w:t>
                        </w:r>
                        <w:r>
                          <w:rPr>
                            <w:rFonts w:ascii="宋体" w:hAnsi="宋体" w:cs="宋体" w:eastAsia="宋体" w:hint="default"/>
                            <w:spacing w:val="2"/>
                            <w:sz w:val="18"/>
                            <w:szCs w:val="18"/>
                          </w:rPr>
                          <w:t>）</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6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0" w:right="157" w:firstLine="0"/>
        <w:jc w:val="right"/>
        <w:rPr>
          <w:rFonts w:ascii="宋体" w:hAnsi="宋体" w:cs="宋体" w:eastAsia="宋体" w:hint="default"/>
          <w:sz w:val="18"/>
          <w:szCs w:val="18"/>
        </w:rPr>
      </w:pPr>
      <w:r>
        <w:rPr/>
        <w:pict>
          <v:shape style="position:absolute;margin-left:55.919998pt;margin-top:-17.628252pt;width:480.85pt;height:251.2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7"/>
                  </w:tblGrid>
                  <w:tr>
                    <w:trPr>
                      <w:trHeight w:val="1895" w:hRule="exact"/>
                    </w:trPr>
                    <w:tc>
                      <w:tcPr>
                        <w:tcW w:w="1634"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793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1008-075</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76"/>
                          <w:ind w:left="380" w:right="0"/>
                          <w:jc w:val="left"/>
                          <w:rPr>
                            <w:rFonts w:ascii="宋体" w:hAnsi="宋体" w:cs="宋体" w:eastAsia="宋体" w:hint="default"/>
                            <w:sz w:val="18"/>
                            <w:szCs w:val="18"/>
                          </w:rPr>
                        </w:pPr>
                        <w:r>
                          <w:rPr>
                            <w:rFonts w:ascii="宋体" w:hAnsi="宋体" w:cs="宋体" w:eastAsia="宋体" w:hint="default"/>
                            <w:spacing w:val="-5"/>
                            <w:sz w:val="18"/>
                            <w:szCs w:val="18"/>
                          </w:rPr>
                          <w:t>5</w:t>
                        </w:r>
                        <w:r>
                          <w:rPr>
                            <w:rFonts w:ascii="宋体" w:hAnsi="宋体" w:cs="宋体" w:eastAsia="宋体" w:hint="default"/>
                            <w:spacing w:val="-5"/>
                            <w:sz w:val="18"/>
                            <w:szCs w:val="18"/>
                          </w:rPr>
                          <w:t>、</w:t>
                        </w:r>
                        <w:r>
                          <w:rPr>
                            <w:rFonts w:ascii="宋体" w:hAnsi="宋体" w:cs="宋体" w:eastAsia="宋体" w:hint="default"/>
                            <w:spacing w:val="-5"/>
                            <w:sz w:val="18"/>
                            <w:szCs w:val="18"/>
                          </w:rPr>
                          <w:t>2014</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10</w:t>
                        </w:r>
                        <w:r>
                          <w:rPr>
                            <w:rFonts w:ascii="宋体" w:hAnsi="宋体" w:cs="宋体" w:eastAsia="宋体" w:hint="default"/>
                            <w:spacing w:val="-57"/>
                            <w:sz w:val="18"/>
                            <w:szCs w:val="18"/>
                          </w:rPr>
                          <w:t> </w:t>
                        </w:r>
                        <w:r>
                          <w:rPr>
                            <w:rFonts w:ascii="宋体" w:hAnsi="宋体" w:cs="宋体" w:eastAsia="宋体" w:hint="default"/>
                            <w:sz w:val="18"/>
                            <w:szCs w:val="18"/>
                          </w:rPr>
                          <w:t>日，公司披露了《关于继续使用部分闲置募集资金暂时补充流动资金的公告</w:t>
                        </w:r>
                      </w:p>
                      <w:p>
                        <w:pPr>
                          <w:pStyle w:val="TableParagraph"/>
                          <w:spacing w:line="316" w:lineRule="auto" w:before="76"/>
                          <w:ind w:left="20" w:right="11"/>
                          <w:jc w:val="left"/>
                          <w:rPr>
                            <w:rFonts w:ascii="宋体" w:hAnsi="宋体" w:cs="宋体" w:eastAsia="宋体" w:hint="default"/>
                            <w:sz w:val="18"/>
                            <w:szCs w:val="18"/>
                          </w:rPr>
                        </w:pPr>
                        <w:r>
                          <w:rPr>
                            <w:rFonts w:ascii="宋体" w:hAnsi="宋体" w:cs="宋体" w:eastAsia="宋体" w:hint="default"/>
                            <w:spacing w:val="-5"/>
                            <w:sz w:val="18"/>
                            <w:szCs w:val="18"/>
                          </w:rPr>
                          <w:t>（公告编号：（</w:t>
                        </w:r>
                        <w:r>
                          <w:rPr>
                            <w:rFonts w:ascii="宋体" w:hAnsi="宋体" w:cs="宋体" w:eastAsia="宋体" w:hint="default"/>
                            <w:spacing w:val="-5"/>
                            <w:sz w:val="18"/>
                            <w:szCs w:val="18"/>
                          </w:rPr>
                          <w:t>2014</w:t>
                        </w:r>
                        <w:r>
                          <w:rPr>
                            <w:rFonts w:ascii="宋体" w:hAnsi="宋体" w:cs="宋体" w:eastAsia="宋体" w:hint="default"/>
                            <w:spacing w:val="-5"/>
                            <w:sz w:val="18"/>
                            <w:szCs w:val="18"/>
                          </w:rPr>
                          <w:t>）</w:t>
                        </w:r>
                        <w:r>
                          <w:rPr>
                            <w:rFonts w:ascii="宋体" w:hAnsi="宋体" w:cs="宋体" w:eastAsia="宋体" w:hint="default"/>
                            <w:spacing w:val="-5"/>
                            <w:sz w:val="18"/>
                            <w:szCs w:val="18"/>
                          </w:rPr>
                          <w:t>1010-077</w:t>
                        </w:r>
                        <w:r>
                          <w:rPr>
                            <w:rFonts w:ascii="宋体" w:hAnsi="宋体" w:cs="宋体" w:eastAsia="宋体" w:hint="default"/>
                            <w:spacing w:val="-5"/>
                            <w:sz w:val="18"/>
                            <w:szCs w:val="18"/>
                          </w:rPr>
                          <w:t>），公司继续从“电力用户用电信息采集系统产能扩大建设项目”尚未</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使用的闲置募集资金中，使用 </w:t>
                        </w:r>
                        <w:r>
                          <w:rPr>
                            <w:rFonts w:ascii="宋体" w:hAnsi="宋体" w:cs="宋体" w:eastAsia="宋体" w:hint="default"/>
                            <w:sz w:val="18"/>
                            <w:szCs w:val="18"/>
                          </w:rPr>
                          <w:t>3,000 </w:t>
                        </w:r>
                        <w:r>
                          <w:rPr>
                            <w:rFonts w:ascii="宋体" w:hAnsi="宋体" w:cs="宋体" w:eastAsia="宋体" w:hint="default"/>
                            <w:sz w:val="18"/>
                            <w:szCs w:val="18"/>
                          </w:rPr>
                          <w:t>万元用于暂时补充流动资金，期限不超过董事会批准之日起</w:t>
                        </w:r>
                        <w:r>
                          <w:rPr>
                            <w:rFonts w:ascii="宋体" w:hAnsi="宋体" w:cs="宋体" w:eastAsia="宋体" w:hint="default"/>
                            <w:spacing w:val="41"/>
                            <w:sz w:val="18"/>
                            <w:szCs w:val="18"/>
                          </w:rPr>
                          <w:t> </w:t>
                        </w:r>
                        <w:r>
                          <w:rPr>
                            <w:rFonts w:ascii="宋体" w:hAnsi="宋体" w:cs="宋体" w:eastAsia="宋体" w:hint="default"/>
                            <w:sz w:val="18"/>
                            <w:szCs w:val="18"/>
                          </w:rPr>
                          <w:t>6</w:t>
                        </w:r>
                      </w:p>
                      <w:p>
                        <w:pPr>
                          <w:pStyle w:val="TableParagraph"/>
                          <w:spacing w:line="316" w:lineRule="auto" w:before="19"/>
                          <w:ind w:left="20" w:right="11"/>
                          <w:jc w:val="left"/>
                          <w:rPr>
                            <w:rFonts w:ascii="宋体" w:hAnsi="宋体" w:cs="宋体" w:eastAsia="宋体" w:hint="default"/>
                            <w:sz w:val="18"/>
                            <w:szCs w:val="18"/>
                          </w:rPr>
                        </w:pPr>
                        <w:r>
                          <w:rPr>
                            <w:rFonts w:ascii="宋体" w:hAnsi="宋体" w:cs="宋体" w:eastAsia="宋体" w:hint="default"/>
                            <w:sz w:val="18"/>
                            <w:szCs w:val="18"/>
                          </w:rPr>
                          <w:t>个月，到期将归还至募集资金专户。该项工作已划转完成，上述募集资金已于</w:t>
                        </w:r>
                        <w:r>
                          <w:rPr>
                            <w:rFonts w:ascii="宋体" w:hAnsi="宋体" w:cs="宋体" w:eastAsia="宋体" w:hint="default"/>
                            <w:spacing w:val="-37"/>
                            <w:sz w:val="18"/>
                            <w:szCs w:val="18"/>
                          </w:rPr>
                          <w:t> </w:t>
                        </w:r>
                        <w:r>
                          <w:rPr>
                            <w:rFonts w:ascii="宋体" w:hAnsi="宋体" w:cs="宋体" w:eastAsia="宋体" w:hint="default"/>
                            <w:sz w:val="18"/>
                            <w:szCs w:val="18"/>
                          </w:rPr>
                          <w:t>2015</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4</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37"/>
                            <w:sz w:val="18"/>
                            <w:szCs w:val="18"/>
                          </w:rPr>
                          <w:t> </w:t>
                        </w:r>
                        <w:r>
                          <w:rPr>
                            <w:rFonts w:ascii="宋体" w:hAnsi="宋体" w:cs="宋体" w:eastAsia="宋体" w:hint="default"/>
                            <w:sz w:val="18"/>
                            <w:szCs w:val="18"/>
                          </w:rPr>
                          <w:t>日全部 </w:t>
                        </w:r>
                        <w:r>
                          <w:rPr>
                            <w:rFonts w:ascii="宋体" w:hAnsi="宋体" w:cs="宋体" w:eastAsia="宋体" w:hint="default"/>
                            <w:spacing w:val="-3"/>
                            <w:sz w:val="18"/>
                            <w:szCs w:val="18"/>
                          </w:rPr>
                          <w:t>归还并存入公司募集资金专用账户，并披露了《关于归还募集资金的公告》（公告编号</w:t>
                        </w:r>
                        <w:r>
                          <w:rPr>
                            <w:rFonts w:ascii="宋体" w:hAnsi="宋体" w:cs="宋体" w:eastAsia="宋体" w:hint="default"/>
                            <w:spacing w:val="-21"/>
                            <w:sz w:val="18"/>
                            <w:szCs w:val="18"/>
                          </w:rPr>
                          <w:t> </w:t>
                        </w:r>
                        <w:r>
                          <w:rPr>
                            <w:rFonts w:ascii="宋体" w:hAnsi="宋体" w:cs="宋体" w:eastAsia="宋体" w:hint="default"/>
                            <w:spacing w:val="-18"/>
                            <w:sz w:val="18"/>
                            <w:szCs w:val="18"/>
                          </w:rPr>
                          <w:t>2015-013</w:t>
                        </w:r>
                        <w:r>
                          <w:rPr>
                            <w:rFonts w:ascii="宋体" w:hAnsi="宋体" w:cs="宋体" w:eastAsia="宋体" w:hint="default"/>
                            <w:spacing w:val="-18"/>
                            <w:sz w:val="18"/>
                            <w:szCs w:val="18"/>
                          </w:rPr>
                          <w:t>）。</w:t>
                        </w:r>
                        <w:r>
                          <w:rPr>
                            <w:rFonts w:ascii="宋体" w:hAnsi="宋体" w:cs="宋体" w:eastAsia="宋体" w:hint="default"/>
                            <w:sz w:val="18"/>
                            <w:szCs w:val="18"/>
                          </w:rPr>
                        </w:r>
                      </w:p>
                    </w:tc>
                  </w:tr>
                  <w:tr>
                    <w:trPr>
                      <w:trHeight w:val="407" w:hRule="exact"/>
                    </w:trPr>
                    <w:tc>
                      <w:tcPr>
                        <w:tcW w:w="1634" w:type="dxa"/>
                        <w:vMerge w:val="restart"/>
                        <w:tcBorders>
                          <w:top w:val="single" w:sz="6" w:space="0" w:color="000000"/>
                          <w:left w:val="single" w:sz="12" w:space="0" w:color="000000"/>
                          <w:right w:val="single" w:sz="6" w:space="0" w:color="000000"/>
                        </w:tcBorders>
                        <w:shd w:val="clear" w:color="auto" w:fill="D2D2D2"/>
                      </w:tcPr>
                      <w:p>
                        <w:pPr>
                          <w:pStyle w:val="TableParagraph"/>
                          <w:spacing w:line="319" w:lineRule="auto" w:before="51"/>
                          <w:ind w:left="13" w:right="156"/>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12" w:space="0" w:color="000000"/>
                          <w:bottom w:val="single" w:sz="6" w:space="0" w:color="000000"/>
                          <w:right w:val="single" w:sz="6" w:space="0" w:color="000000"/>
                        </w:tcBorders>
                        <w:shd w:val="clear" w:color="auto" w:fill="D2D2D2"/>
                      </w:tcPr>
                      <w:p>
                        <w:pPr/>
                      </w:p>
                    </w:tc>
                    <w:tc>
                      <w:tcPr>
                        <w:tcW w:w="7937"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163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 w:right="156"/>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0" w:right="13" w:firstLine="360"/>
                          <w:jc w:val="both"/>
                          <w:rPr>
                            <w:rFonts w:ascii="宋体" w:hAnsi="宋体" w:cs="宋体" w:eastAsia="宋体" w:hint="default"/>
                            <w:sz w:val="18"/>
                            <w:szCs w:val="18"/>
                          </w:rPr>
                        </w:pPr>
                        <w:r>
                          <w:rPr>
                            <w:rFonts w:ascii="宋体" w:hAnsi="宋体" w:cs="宋体" w:eastAsia="宋体" w:hint="default"/>
                            <w:spacing w:val="-1"/>
                            <w:sz w:val="18"/>
                            <w:szCs w:val="18"/>
                          </w:rPr>
                          <w:t>公司尚未使用的募集资金将用于募投项目后续资金支付，募集资金存放于公司在招商银行股份有</w:t>
                        </w:r>
                        <w:r>
                          <w:rPr>
                            <w:rFonts w:ascii="宋体" w:hAnsi="宋体" w:cs="宋体" w:eastAsia="宋体" w:hint="default"/>
                            <w:sz w:val="18"/>
                            <w:szCs w:val="18"/>
                          </w:rPr>
                          <w:t> </w:t>
                        </w:r>
                        <w:r>
                          <w:rPr>
                            <w:rFonts w:ascii="宋体" w:hAnsi="宋体" w:cs="宋体" w:eastAsia="宋体" w:hint="default"/>
                            <w:spacing w:val="-1"/>
                            <w:sz w:val="18"/>
                            <w:szCs w:val="18"/>
                          </w:rPr>
                          <w:t>限公司南京月牙湖支行、南京银行股份有限公司城南支行以及中信银行股份有限公司苏州分行营业部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设立的募集资金专用账户。</w:t>
                        </w:r>
                      </w:p>
                    </w:tc>
                  </w:tr>
                  <w:tr>
                    <w:trPr>
                      <w:trHeight w:val="1039" w:hRule="exact"/>
                    </w:trPr>
                    <w:tc>
                      <w:tcPr>
                        <w:tcW w:w="163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2"/>
                          <w:ind w:left="13" w:right="156"/>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 w:right="-27"/>
                          <w:jc w:val="left"/>
                          <w:rPr>
                            <w:rFonts w:ascii="宋体" w:hAnsi="宋体" w:cs="宋体" w:eastAsia="宋体" w:hint="default"/>
                            <w:sz w:val="18"/>
                            <w:szCs w:val="18"/>
                          </w:rPr>
                        </w:pPr>
                        <w:r>
                          <w:rPr>
                            <w:rFonts w:ascii="宋体" w:hAnsi="宋体" w:cs="宋体" w:eastAsia="宋体" w:hint="default"/>
                            <w:sz w:val="18"/>
                            <w:szCs w:val="18"/>
                          </w:rPr>
                          <w:t>报告期内，公司募集资金不存在未按规定使用以及相关信息未及时、真实、准确、完整披露的情况。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35"/>
        <w:ind w:left="154" w:right="0"/>
        <w:jc w:val="left"/>
      </w:pPr>
      <w:r>
        <w:rPr>
          <w:rFonts w:ascii="宋体" w:hAnsi="宋体" w:cs="宋体" w:eastAsia="宋体" w:hint="default"/>
        </w:rPr>
        <w:t>4</w:t>
      </w:r>
      <w:r>
        <w:rPr/>
        <w:t>）募集资金变更项目情况</w:t>
      </w:r>
    </w:p>
    <w:p>
      <w:pPr>
        <w:spacing w:line="240" w:lineRule="auto" w:before="12"/>
        <w:rPr>
          <w:rFonts w:ascii="宋体" w:hAnsi="宋体" w:cs="宋体" w:eastAsia="宋体" w:hint="default"/>
          <w:sz w:val="17"/>
          <w:szCs w:val="17"/>
        </w:rPr>
      </w:pPr>
    </w:p>
    <w:p>
      <w:pPr>
        <w:pStyle w:val="BodyText"/>
        <w:spacing w:line="444" w:lineRule="auto" w:before="0"/>
        <w:ind w:left="154" w:right="5782"/>
        <w:jc w:val="left"/>
      </w:pPr>
      <w:r>
        <w:rPr/>
        <w:t>□ 适用 √</w:t>
      </w:r>
      <w:r>
        <w:rPr>
          <w:spacing w:val="-1"/>
        </w:rPr>
        <w:t> </w:t>
      </w:r>
      <w:r>
        <w:rPr/>
        <w:t>不适用</w:t>
      </w:r>
      <w:r>
        <w:rPr/>
        <w:t> 公司报告期不存在募集资金变更项目情况。 </w:t>
      </w:r>
      <w:r>
        <w:rPr>
          <w:rFonts w:ascii="宋体" w:hAnsi="宋体" w:cs="宋体" w:eastAsia="宋体" w:hint="default"/>
        </w:rPr>
        <w:t>5</w:t>
      </w:r>
      <w:r>
        <w:rPr/>
        <w:t>）非募集资金投资的重大项目情况</w:t>
      </w:r>
    </w:p>
    <w:p>
      <w:pPr>
        <w:pStyle w:val="BodyText"/>
        <w:spacing w:line="240" w:lineRule="auto" w:before="54"/>
        <w:ind w:left="154" w:right="0"/>
        <w:jc w:val="left"/>
      </w:pPr>
      <w:r>
        <w:rPr/>
        <w:t>√ 适用 □</w:t>
      </w:r>
      <w:r>
        <w:rPr>
          <w:spacing w:val="-1"/>
        </w:rPr>
        <w:t> </w:t>
      </w:r>
      <w:r>
        <w:rPr/>
        <w:t>不适用</w:t>
      </w:r>
    </w:p>
    <w:p>
      <w:pPr>
        <w:spacing w:line="240" w:lineRule="auto" w:before="5"/>
        <w:rPr>
          <w:rFonts w:ascii="宋体" w:hAnsi="宋体" w:cs="宋体" w:eastAsia="宋体" w:hint="default"/>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199"/>
        <w:gridCol w:w="1194"/>
        <w:gridCol w:w="1196"/>
        <w:gridCol w:w="1197"/>
        <w:gridCol w:w="1195"/>
        <w:gridCol w:w="1392"/>
        <w:gridCol w:w="1001"/>
        <w:gridCol w:w="1195"/>
      </w:tblGrid>
      <w:tr>
        <w:trPr>
          <w:trHeight w:val="1037" w:hRule="exact"/>
        </w:trPr>
        <w:tc>
          <w:tcPr>
            <w:tcW w:w="119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1" w:right="48"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50" w:right="51"/>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0"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3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8" w:right="57" w:hanging="90"/>
              <w:jc w:val="left"/>
              <w:rPr>
                <w:rFonts w:ascii="宋体" w:hAnsi="宋体" w:cs="宋体" w:eastAsia="宋体" w:hint="default"/>
                <w:sz w:val="18"/>
                <w:szCs w:val="18"/>
              </w:rPr>
            </w:pPr>
            <w:r>
              <w:rPr>
                <w:rFonts w:ascii="宋体" w:hAnsi="宋体" w:cs="宋体" w:eastAsia="宋体" w:hint="default"/>
                <w:sz w:val="18"/>
                <w:szCs w:val="18"/>
              </w:rPr>
              <w:t>截止报告期末累 计实现的收益</w:t>
            </w:r>
          </w:p>
        </w:tc>
        <w:tc>
          <w:tcPr>
            <w:tcW w:w="10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117"/>
              <w:ind w:left="1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19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117"/>
              <w:ind w:left="230"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720" w:hRule="exact"/>
        </w:trPr>
        <w:tc>
          <w:tcPr>
            <w:tcW w:w="119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81"/>
              <w:jc w:val="left"/>
              <w:rPr>
                <w:rFonts w:ascii="宋体" w:hAnsi="宋体" w:cs="宋体" w:eastAsia="宋体" w:hint="default"/>
                <w:sz w:val="18"/>
                <w:szCs w:val="18"/>
              </w:rPr>
            </w:pPr>
            <w:r>
              <w:rPr>
                <w:rFonts w:ascii="宋体" w:hAnsi="宋体" w:cs="宋体" w:eastAsia="宋体" w:hint="default"/>
                <w:sz w:val="18"/>
                <w:szCs w:val="18"/>
              </w:rPr>
              <w:t>生产与中试基 地</w:t>
            </w:r>
            <w:r>
              <w:rPr>
                <w:rFonts w:ascii="宋体" w:hAnsi="宋体" w:cs="宋体" w:eastAsia="宋体" w:hint="default"/>
                <w:sz w:val="18"/>
                <w:szCs w:val="18"/>
              </w:rPr>
              <w:t>/</w:t>
            </w:r>
            <w:r>
              <w:rPr>
                <w:rFonts w:ascii="宋体" w:hAnsi="宋体" w:cs="宋体" w:eastAsia="宋体" w:hint="default"/>
                <w:sz w:val="18"/>
                <w:szCs w:val="18"/>
              </w:rPr>
              <w:t>综合楼</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13,200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6,966</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7,534.8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57.08%</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19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81"/>
              <w:jc w:val="left"/>
              <w:rPr>
                <w:rFonts w:ascii="宋体" w:hAnsi="宋体" w:cs="宋体" w:eastAsia="宋体" w:hint="default"/>
                <w:sz w:val="18"/>
                <w:szCs w:val="18"/>
              </w:rPr>
            </w:pPr>
            <w:r>
              <w:rPr>
                <w:rFonts w:ascii="宋体" w:hAnsi="宋体" w:cs="宋体" w:eastAsia="宋体" w:hint="default"/>
                <w:sz w:val="18"/>
                <w:szCs w:val="18"/>
              </w:rPr>
              <w:t>山源科技公司 二期工程</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1,680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436.3</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436.3</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25.97%</w:t>
            </w:r>
          </w:p>
        </w:tc>
        <w:tc>
          <w:tcPr>
            <w:tcW w:w="1392"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199"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81"/>
              <w:jc w:val="left"/>
              <w:rPr>
                <w:rFonts w:ascii="宋体" w:hAnsi="宋体" w:cs="宋体" w:eastAsia="宋体" w:hint="default"/>
                <w:sz w:val="18"/>
                <w:szCs w:val="18"/>
              </w:rPr>
            </w:pPr>
            <w:r>
              <w:rPr>
                <w:rFonts w:ascii="宋体" w:hAnsi="宋体" w:cs="宋体" w:eastAsia="宋体" w:hint="default"/>
                <w:sz w:val="18"/>
                <w:szCs w:val="18"/>
              </w:rPr>
              <w:t>睿博公司一期 工程</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1,986</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1,298.29</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1,298.29</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65.37%</w:t>
            </w:r>
          </w:p>
        </w:tc>
        <w:tc>
          <w:tcPr>
            <w:tcW w:w="1392"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19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16,866</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8,700.59</w:t>
            </w:r>
          </w:p>
        </w:tc>
        <w:tc>
          <w:tcPr>
            <w:tcW w:w="11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9,269.39</w:t>
            </w:r>
          </w:p>
        </w:tc>
        <w:tc>
          <w:tcPr>
            <w:tcW w:w="119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392" w:type="dxa"/>
            <w:tcBorders>
              <w:top w:val="single" w:sz="6" w:space="0" w:color="000000"/>
              <w:left w:val="single" w:sz="9" w:space="0" w:color="D2D2D2"/>
              <w:bottom w:val="single" w:sz="12" w:space="0" w:color="000000"/>
              <w:right w:val="single" w:sz="9"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0</w:t>
            </w:r>
          </w:p>
        </w:tc>
        <w:tc>
          <w:tcPr>
            <w:tcW w:w="1001"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95"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r>
    </w:tbl>
    <w:p>
      <w:pPr>
        <w:pStyle w:val="BodyText"/>
        <w:spacing w:line="240" w:lineRule="auto" w:before="63"/>
        <w:ind w:left="154" w:right="0"/>
        <w:jc w:val="left"/>
      </w:pPr>
      <w:r>
        <w:rPr>
          <w:rFonts w:ascii="宋体" w:hAnsi="宋体" w:cs="宋体" w:eastAsia="宋体" w:hint="default"/>
        </w:rPr>
        <w:t>6</w:t>
      </w:r>
      <w:r>
        <w:rPr/>
        <w:t>）持有其他上市公司股权情况</w:t>
      </w:r>
    </w:p>
    <w:p>
      <w:pPr>
        <w:spacing w:line="240" w:lineRule="auto" w:before="10"/>
        <w:rPr>
          <w:rFonts w:ascii="宋体" w:hAnsi="宋体" w:cs="宋体" w:eastAsia="宋体" w:hint="default"/>
          <w:sz w:val="14"/>
          <w:szCs w:val="14"/>
        </w:rPr>
      </w:pPr>
    </w:p>
    <w:p>
      <w:pPr>
        <w:pStyle w:val="BodyText"/>
        <w:spacing w:line="408" w:lineRule="auto" w:before="0"/>
        <w:ind w:left="154" w:right="7357"/>
        <w:jc w:val="left"/>
      </w:pPr>
      <w:r>
        <w:rPr/>
        <w:t>□ 适用 √</w:t>
      </w:r>
      <w:r>
        <w:rPr>
          <w:spacing w:val="-1"/>
        </w:rPr>
        <w:t> </w:t>
      </w:r>
      <w:r>
        <w:rPr/>
        <w:t>不适用</w:t>
      </w:r>
      <w:r>
        <w:rPr/>
        <w:t> </w:t>
      </w:r>
      <w:r>
        <w:rPr>
          <w:rFonts w:ascii="宋体" w:hAnsi="宋体" w:cs="宋体" w:eastAsia="宋体" w:hint="default"/>
        </w:rPr>
        <w:t>7</w:t>
      </w:r>
      <w:r>
        <w:rPr/>
        <w:t>）持有金融企业股权情况</w:t>
      </w:r>
    </w:p>
    <w:p>
      <w:pPr>
        <w:pStyle w:val="BodyText"/>
        <w:spacing w:line="408" w:lineRule="auto"/>
        <w:ind w:left="154" w:right="6622"/>
        <w:jc w:val="left"/>
      </w:pPr>
      <w:r>
        <w:rPr/>
        <w:t>□ 适用 √</w:t>
      </w:r>
      <w:r>
        <w:rPr>
          <w:spacing w:val="-1"/>
        </w:rPr>
        <w:t> </w:t>
      </w:r>
      <w:r>
        <w:rPr/>
        <w:t>不适用</w:t>
      </w:r>
      <w:r>
        <w:rPr/>
        <w:t> 公司报告期未持有金融企业股权。</w:t>
      </w:r>
    </w:p>
    <w:p>
      <w:pPr>
        <w:spacing w:after="0" w:line="408"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left="833" w:right="0"/>
        <w:jc w:val="left"/>
      </w:pPr>
      <w:r>
        <w:rPr>
          <w:rFonts w:ascii="宋体" w:hAnsi="宋体" w:cs="宋体" w:eastAsia="宋体" w:hint="default"/>
        </w:rPr>
        <w:t>8</w:t>
      </w:r>
      <w:r>
        <w:rPr/>
        <w:t>）买卖其他上市公司股份的情况</w:t>
      </w:r>
    </w:p>
    <w:p>
      <w:pPr>
        <w:spacing w:line="240" w:lineRule="auto" w:before="10"/>
        <w:rPr>
          <w:rFonts w:ascii="宋体" w:hAnsi="宋体" w:cs="宋体" w:eastAsia="宋体" w:hint="default"/>
          <w:sz w:val="14"/>
          <w:szCs w:val="14"/>
        </w:rPr>
      </w:pPr>
    </w:p>
    <w:p>
      <w:pPr>
        <w:pStyle w:val="BodyText"/>
        <w:spacing w:line="408" w:lineRule="auto" w:before="0"/>
        <w:ind w:left="834" w:right="7637"/>
        <w:jc w:val="left"/>
      </w:pPr>
      <w:r>
        <w:rPr/>
        <w:t>□ 适用 √</w:t>
      </w:r>
      <w:r>
        <w:rPr>
          <w:spacing w:val="-1"/>
        </w:rPr>
        <w:t> </w:t>
      </w:r>
      <w:r>
        <w:rPr/>
        <w:t>不适用</w:t>
      </w:r>
      <w:r>
        <w:rPr/>
        <w:t> </w:t>
      </w:r>
      <w:r>
        <w:rPr>
          <w:rFonts w:ascii="宋体" w:hAnsi="宋体" w:cs="宋体" w:eastAsia="宋体" w:hint="default"/>
        </w:rPr>
        <w:t>9</w:t>
      </w:r>
      <w:r>
        <w:rPr/>
        <w:t>）以公允价值计量的金融资产</w:t>
      </w:r>
    </w:p>
    <w:p>
      <w:pPr>
        <w:pStyle w:val="BodyText"/>
        <w:spacing w:line="240" w:lineRule="auto"/>
        <w:ind w:left="833"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left="834" w:right="0"/>
        <w:jc w:val="left"/>
        <w:rPr>
          <w:b w:val="0"/>
          <w:bCs w:val="0"/>
        </w:rPr>
      </w:pPr>
      <w:bookmarkStart w:name="（6）主要控股参股公司分析" w:id="27"/>
      <w:bookmarkEnd w:id="27"/>
      <w:r>
        <w:rPr>
          <w:b w:val="0"/>
          <w:bCs w:val="0"/>
        </w:rPr>
      </w:r>
      <w:r>
        <w:rPr/>
        <w:t>（</w:t>
      </w:r>
      <w:r>
        <w:rPr>
          <w:rFonts w:ascii="宋体" w:hAnsi="宋体" w:cs="宋体" w:eastAsia="宋体" w:hint="default"/>
        </w:rPr>
        <w:t>6</w:t>
      </w:r>
      <w:r>
        <w:rPr/>
        <w:t>）主要控股参股公司分析</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834" w:right="7952"/>
        <w:jc w:val="left"/>
      </w:pPr>
      <w:r>
        <w:rPr/>
        <w:t>√ 适用 □</w:t>
      </w:r>
      <w:r>
        <w:rPr>
          <w:spacing w:val="-1"/>
        </w:rPr>
        <w:t> </w:t>
      </w:r>
      <w:r>
        <w:rPr/>
        <w:t>不适用</w:t>
      </w:r>
      <w:r>
        <w:rPr/>
        <w:t> 主要子公司、参股公司情况</w:t>
      </w:r>
    </w:p>
    <w:p>
      <w:pPr>
        <w:spacing w:before="34"/>
        <w:ind w:left="0" w:right="8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51"/>
        <w:gridCol w:w="710"/>
        <w:gridCol w:w="708"/>
        <w:gridCol w:w="709"/>
        <w:gridCol w:w="1276"/>
        <w:gridCol w:w="1418"/>
        <w:gridCol w:w="1277"/>
        <w:gridCol w:w="1276"/>
        <w:gridCol w:w="1417"/>
        <w:gridCol w:w="1417"/>
      </w:tblGrid>
      <w:tr>
        <w:trPr>
          <w:trHeight w:val="1037" w:hRule="exact"/>
        </w:trPr>
        <w:tc>
          <w:tcPr>
            <w:tcW w:w="8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168" w:right="165"/>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70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166" w:right="164"/>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77" w:right="74"/>
              <w:jc w:val="center"/>
              <w:rPr>
                <w:rFonts w:ascii="宋体" w:hAnsi="宋体" w:cs="宋体" w:eastAsia="宋体" w:hint="default"/>
                <w:sz w:val="18"/>
                <w:szCs w:val="18"/>
              </w:rPr>
            </w:pPr>
            <w:r>
              <w:rPr>
                <w:rFonts w:ascii="宋体" w:hAnsi="宋体" w:cs="宋体" w:eastAsia="宋体" w:hint="default"/>
                <w:sz w:val="18"/>
                <w:szCs w:val="18"/>
              </w:rPr>
              <w:t>主要产 品或服 务</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1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655" w:hRule="exact"/>
        </w:trPr>
        <w:tc>
          <w:tcPr>
            <w:tcW w:w="8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3" w:right="95"/>
              <w:jc w:val="both"/>
              <w:rPr>
                <w:rFonts w:ascii="宋体" w:hAnsi="宋体" w:cs="宋体" w:eastAsia="宋体" w:hint="default"/>
                <w:sz w:val="18"/>
                <w:szCs w:val="18"/>
              </w:rPr>
            </w:pPr>
            <w:r>
              <w:rPr>
                <w:rFonts w:ascii="宋体" w:hAnsi="宋体" w:cs="宋体" w:eastAsia="宋体" w:hint="default"/>
                <w:sz w:val="18"/>
                <w:szCs w:val="18"/>
              </w:rPr>
              <w:t>江苏苏源 光一科技 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1" w:right="131"/>
              <w:jc w:val="left"/>
              <w:rPr>
                <w:rFonts w:ascii="宋体" w:hAnsi="宋体" w:cs="宋体" w:eastAsia="宋体" w:hint="default"/>
                <w:sz w:val="18"/>
                <w:szCs w:val="18"/>
              </w:rPr>
            </w:pPr>
            <w:r>
              <w:rPr>
                <w:rFonts w:ascii="宋体" w:hAnsi="宋体" w:cs="宋体" w:eastAsia="宋体" w:hint="default"/>
                <w:sz w:val="18"/>
                <w:szCs w:val="18"/>
              </w:rPr>
              <w:t>电力设 备行业</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41"/>
              <w:jc w:val="left"/>
              <w:rPr>
                <w:rFonts w:ascii="宋体" w:hAnsi="宋体" w:cs="宋体" w:eastAsia="宋体" w:hint="default"/>
                <w:sz w:val="18"/>
                <w:szCs w:val="18"/>
              </w:rPr>
            </w:pPr>
            <w:r>
              <w:rPr>
                <w:rFonts w:ascii="宋体" w:hAnsi="宋体" w:cs="宋体" w:eastAsia="宋体" w:hint="default"/>
                <w:sz w:val="18"/>
                <w:szCs w:val="18"/>
              </w:rPr>
              <w:t>用电信 息采集 终端软</w:t>
            </w:r>
            <w:r>
              <w:rPr>
                <w:rFonts w:ascii="宋体" w:hAnsi="宋体" w:cs="宋体" w:eastAsia="宋体" w:hint="default"/>
                <w:sz w:val="18"/>
                <w:szCs w:val="18"/>
              </w:rPr>
              <w:t>\ </w:t>
            </w:r>
            <w:r>
              <w:rPr>
                <w:rFonts w:ascii="宋体" w:hAnsi="宋体" w:cs="宋体" w:eastAsia="宋体" w:hint="default"/>
                <w:sz w:val="18"/>
                <w:szCs w:val="18"/>
              </w:rPr>
              <w:t>硬件研 发生产</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宋体"/>
                <w:sz w:val="18"/>
              </w:rPr>
              <w:t>30,000,000.00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center"/>
              <w:rPr>
                <w:rFonts w:ascii="宋体" w:hAnsi="宋体" w:cs="宋体" w:eastAsia="宋体" w:hint="default"/>
                <w:sz w:val="18"/>
                <w:szCs w:val="18"/>
              </w:rPr>
            </w:pPr>
            <w:r>
              <w:rPr>
                <w:rFonts w:ascii="宋体"/>
                <w:sz w:val="18"/>
              </w:rPr>
              <w:t>100,347,823.35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95,245,268.87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31,640,967.53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17,733,339.13</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0" w:right="0"/>
              <w:jc w:val="center"/>
              <w:rPr>
                <w:rFonts w:ascii="宋体" w:hAnsi="宋体" w:cs="宋体" w:eastAsia="宋体" w:hint="default"/>
                <w:sz w:val="18"/>
                <w:szCs w:val="18"/>
              </w:rPr>
            </w:pPr>
            <w:r>
              <w:rPr>
                <w:rFonts w:ascii="宋体"/>
                <w:sz w:val="18"/>
              </w:rPr>
              <w:t>17,353,897.45</w:t>
            </w:r>
          </w:p>
        </w:tc>
      </w:tr>
      <w:tr>
        <w:trPr>
          <w:trHeight w:val="1664" w:hRule="exact"/>
        </w:trPr>
        <w:tc>
          <w:tcPr>
            <w:tcW w:w="85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13" w:right="95"/>
              <w:jc w:val="both"/>
              <w:rPr>
                <w:rFonts w:ascii="宋体" w:hAnsi="宋体" w:cs="宋体" w:eastAsia="宋体" w:hint="default"/>
                <w:sz w:val="18"/>
                <w:szCs w:val="18"/>
              </w:rPr>
            </w:pPr>
            <w:r>
              <w:rPr>
                <w:rFonts w:ascii="宋体" w:hAnsi="宋体" w:cs="宋体" w:eastAsia="宋体" w:hint="default"/>
                <w:sz w:val="18"/>
                <w:szCs w:val="18"/>
              </w:rPr>
              <w:t>南京宇能 仪表有限 公司</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1" w:right="131"/>
              <w:jc w:val="left"/>
              <w:rPr>
                <w:rFonts w:ascii="宋体" w:hAnsi="宋体" w:cs="宋体" w:eastAsia="宋体" w:hint="default"/>
                <w:sz w:val="18"/>
                <w:szCs w:val="18"/>
              </w:rPr>
            </w:pPr>
            <w:r>
              <w:rPr>
                <w:rFonts w:ascii="宋体" w:hAnsi="宋体" w:cs="宋体" w:eastAsia="宋体" w:hint="default"/>
                <w:sz w:val="18"/>
                <w:szCs w:val="18"/>
              </w:rPr>
              <w:t>电力设 备行业</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52"/>
              <w:ind w:left="21" w:right="131"/>
              <w:jc w:val="both"/>
              <w:rPr>
                <w:rFonts w:ascii="宋体" w:hAnsi="宋体" w:cs="宋体" w:eastAsia="宋体" w:hint="default"/>
                <w:sz w:val="18"/>
                <w:szCs w:val="18"/>
              </w:rPr>
            </w:pPr>
            <w:r>
              <w:rPr>
                <w:rFonts w:ascii="宋体" w:hAnsi="宋体" w:cs="宋体" w:eastAsia="宋体" w:hint="default"/>
                <w:sz w:val="18"/>
                <w:szCs w:val="18"/>
              </w:rPr>
              <w:t>电子和 电力仪 器仪表 的生产 和销售</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宋体"/>
                <w:sz w:val="18"/>
              </w:rPr>
              <w:t>50,000,000.00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center"/>
              <w:rPr>
                <w:rFonts w:ascii="宋体" w:hAnsi="宋体" w:cs="宋体" w:eastAsia="宋体" w:hint="default"/>
                <w:sz w:val="18"/>
                <w:szCs w:val="18"/>
              </w:rPr>
            </w:pPr>
            <w:r>
              <w:rPr>
                <w:rFonts w:ascii="宋体"/>
                <w:sz w:val="18"/>
              </w:rPr>
              <w:t>177,715,925.08</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7,970,178.25</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7,275,131.67</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-13,310,996.01</w:t>
            </w:r>
          </w:p>
        </w:tc>
        <w:tc>
          <w:tcPr>
            <w:tcW w:w="14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center"/>
              <w:rPr>
                <w:rFonts w:ascii="宋体" w:hAnsi="宋体" w:cs="宋体" w:eastAsia="宋体" w:hint="default"/>
                <w:sz w:val="18"/>
                <w:szCs w:val="18"/>
              </w:rPr>
            </w:pPr>
            <w:r>
              <w:rPr>
                <w:rFonts w:ascii="宋体"/>
                <w:sz w:val="18"/>
              </w:rPr>
              <w:t>-13,240,312.17</w:t>
            </w:r>
          </w:p>
        </w:tc>
      </w:tr>
    </w:tbl>
    <w:p>
      <w:pPr>
        <w:pStyle w:val="BodyText"/>
        <w:spacing w:line="240" w:lineRule="auto" w:before="63"/>
        <w:ind w:left="834" w:right="0"/>
        <w:jc w:val="left"/>
      </w:pPr>
      <w:r>
        <w:rPr/>
        <w:t>主要子公司、参股公司情况说明</w:t>
      </w:r>
    </w:p>
    <w:p>
      <w:pPr>
        <w:spacing w:line="240" w:lineRule="auto" w:before="10"/>
        <w:rPr>
          <w:rFonts w:ascii="宋体" w:hAnsi="宋体" w:cs="宋体" w:eastAsia="宋体" w:hint="default"/>
          <w:sz w:val="14"/>
          <w:szCs w:val="14"/>
        </w:rPr>
      </w:pPr>
    </w:p>
    <w:p>
      <w:pPr>
        <w:pStyle w:val="BodyText"/>
        <w:spacing w:line="408" w:lineRule="auto" w:before="0"/>
        <w:ind w:left="834" w:right="830" w:firstLine="420"/>
        <w:jc w:val="both"/>
      </w:pPr>
      <w:r>
        <w:rPr/>
        <w:t>①江苏苏源光一科技有限公司系公司全资子公司，于</w:t>
      </w:r>
      <w:r>
        <w:rPr>
          <w:spacing w:val="-53"/>
        </w:rPr>
        <w:t> </w:t>
      </w:r>
      <w:r>
        <w:rPr>
          <w:rFonts w:ascii="宋体" w:hAnsi="宋体" w:cs="宋体" w:eastAsia="宋体" w:hint="default"/>
        </w:rPr>
        <w:t>2003</w:t>
      </w:r>
      <w:r>
        <w:rPr>
          <w:rFonts w:ascii="宋体" w:hAnsi="宋体" w:cs="宋体" w:eastAsia="宋体" w:hint="default"/>
          <w:spacing w:val="-55"/>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日成立，注册资本</w:t>
      </w:r>
      <w:r>
        <w:rPr>
          <w:spacing w:val="-53"/>
        </w:rPr>
        <w:t> </w:t>
      </w:r>
      <w:r>
        <w:rPr>
          <w:rFonts w:ascii="宋体" w:hAnsi="宋体" w:cs="宋体" w:eastAsia="宋体" w:hint="default"/>
        </w:rPr>
        <w:t>3,000</w:t>
      </w:r>
      <w:r>
        <w:rPr>
          <w:rFonts w:ascii="宋体" w:hAnsi="宋体" w:cs="宋体" w:eastAsia="宋体" w:hint="default"/>
          <w:spacing w:val="-54"/>
        </w:rPr>
        <w:t> </w:t>
      </w:r>
      <w:r>
        <w:rPr/>
        <w:t>万元， </w:t>
      </w:r>
      <w:r>
        <w:rPr>
          <w:spacing w:val="-1"/>
        </w:rPr>
        <w:t>经营范围：电子产品、机电产品、电子计算机应用系统、网络工程的开发、转让工程安装服务；电子计算</w:t>
      </w:r>
      <w:r>
        <w:rPr>
          <w:spacing w:val="-83"/>
        </w:rPr>
        <w:t> </w:t>
      </w:r>
      <w:r>
        <w:rPr>
          <w:spacing w:val="-83"/>
        </w:rPr>
      </w:r>
      <w:r>
        <w:rPr>
          <w:spacing w:val="-1"/>
        </w:rPr>
        <w:t>机软件系统开发、生产、销售；电子系统产品开发、研制、销售与工程服务；计算机及配件、家电及配件</w:t>
      </w:r>
      <w:r>
        <w:rPr>
          <w:spacing w:val="-85"/>
        </w:rPr>
        <w:t> </w:t>
      </w:r>
      <w:r>
        <w:rPr>
          <w:spacing w:val="-85"/>
        </w:rPr>
      </w:r>
      <w:r>
        <w:rPr/>
        <w:t>销售；为技术合同签定方代购器材、设备；电力负荷管理终端、配变监测终端生产。</w:t>
      </w:r>
    </w:p>
    <w:p>
      <w:pPr>
        <w:pStyle w:val="BodyText"/>
        <w:spacing w:line="408" w:lineRule="auto"/>
        <w:ind w:left="834" w:right="851" w:firstLine="420"/>
        <w:jc w:val="both"/>
      </w:pPr>
      <w:r>
        <w:rPr/>
        <w:t>②南京宇能仪表有限公司原系公司控股子公司，注册资本</w:t>
      </w:r>
      <w:r>
        <w:rPr>
          <w:spacing w:val="-64"/>
        </w:rPr>
        <w:t> </w:t>
      </w:r>
      <w:r>
        <w:rPr>
          <w:rFonts w:ascii="宋体" w:hAnsi="宋体" w:cs="宋体" w:eastAsia="宋体" w:hint="default"/>
        </w:rPr>
        <w:t>5,000</w:t>
      </w:r>
      <w:r>
        <w:rPr>
          <w:rFonts w:ascii="宋体" w:hAnsi="宋体" w:cs="宋体" w:eastAsia="宋体" w:hint="default"/>
          <w:spacing w:val="-64"/>
        </w:rPr>
        <w:t> </w:t>
      </w:r>
      <w:r>
        <w:rPr/>
        <w:t>万元，经营范围：电子和电力仪器仪 </w:t>
      </w:r>
      <w:r>
        <w:rPr>
          <w:spacing w:val="-1"/>
        </w:rPr>
        <w:t>表的生产和销售；销售自产产品（产品</w:t>
      </w:r>
      <w:r>
        <w:rPr>
          <w:spacing w:val="-41"/>
        </w:rPr>
        <w:t> </w:t>
      </w:r>
      <w:r>
        <w:rPr>
          <w:rFonts w:ascii="宋体" w:hAnsi="宋体" w:cs="宋体" w:eastAsia="宋体" w:hint="default"/>
          <w:spacing w:val="-12"/>
        </w:rPr>
        <w:t>30%</w:t>
      </w:r>
      <w:r>
        <w:rPr>
          <w:spacing w:val="-12"/>
        </w:rPr>
        <w:t>出口）；</w:t>
      </w:r>
      <w:r>
        <w:rPr>
          <w:rFonts w:ascii="宋体" w:hAnsi="宋体" w:cs="宋体" w:eastAsia="宋体" w:hint="default"/>
          <w:spacing w:val="-12"/>
        </w:rPr>
        <w:t>LED</w:t>
      </w:r>
      <w:r>
        <w:rPr>
          <w:rFonts w:ascii="宋体" w:hAnsi="宋体" w:cs="宋体" w:eastAsia="宋体" w:hint="default"/>
          <w:spacing w:val="-41"/>
        </w:rPr>
        <w:t> </w:t>
      </w:r>
      <w:r>
        <w:rPr>
          <w:spacing w:val="-1"/>
        </w:rPr>
        <w:t>照明与通讯产品的生产与销售；电器装置设备的生</w:t>
      </w:r>
      <w:r>
        <w:rPr>
          <w:spacing w:val="-103"/>
        </w:rPr>
        <w:t> </w:t>
      </w:r>
      <w:r>
        <w:rPr>
          <w:spacing w:val="-103"/>
        </w:rPr>
      </w:r>
      <w:r>
        <w:rPr>
          <w:spacing w:val="-1"/>
        </w:rPr>
        <w:t>产与销售，流量仪表的生产与销售；光纤与光纤通讯设备的生产与销售；风力发电设备、太阳能电池、并</w:t>
      </w:r>
      <w:r>
        <w:rPr>
          <w:spacing w:val="-83"/>
        </w:rPr>
        <w:t> </w:t>
      </w:r>
      <w:r>
        <w:rPr>
          <w:spacing w:val="-83"/>
        </w:rPr>
      </w:r>
      <w:r>
        <w:rPr>
          <w:spacing w:val="-1"/>
        </w:rPr>
        <w:t>网系统产品的生产与销售。为降低公司对外投资风险、保护公司及股东的合法权益免受损失，维护上市公</w:t>
      </w:r>
      <w:r>
        <w:rPr>
          <w:spacing w:val="-83"/>
        </w:rPr>
        <w:t> </w:t>
      </w:r>
      <w:r>
        <w:rPr>
          <w:spacing w:val="-83"/>
        </w:rPr>
      </w:r>
      <w:r>
        <w:rPr/>
        <w:t>司和非关联股东特别是中小股东的利益，经公司第二届董事会第十一次会议及 </w:t>
      </w:r>
      <w:r>
        <w:rPr>
          <w:rFonts w:ascii="宋体" w:hAnsi="宋体" w:cs="宋体" w:eastAsia="宋体" w:hint="default"/>
        </w:rPr>
        <w:t>2014</w:t>
      </w:r>
      <w:r>
        <w:rPr>
          <w:rFonts w:ascii="宋体" w:hAnsi="宋体" w:cs="宋体" w:eastAsia="宋体" w:hint="default"/>
          <w:spacing w:val="-24"/>
        </w:rPr>
        <w:t> </w:t>
      </w:r>
      <w:r>
        <w:rPr/>
        <w:t>年第二次临时股东大 会审议通过，公司将所持有的南京宇能</w:t>
      </w:r>
      <w:r>
        <w:rPr>
          <w:spacing w:val="-23"/>
        </w:rPr>
        <w:t> </w:t>
      </w:r>
      <w:r>
        <w:rPr>
          <w:rFonts w:ascii="宋体" w:hAnsi="宋体" w:cs="宋体" w:eastAsia="宋体" w:hint="default"/>
        </w:rPr>
        <w:t>55%</w:t>
      </w:r>
      <w:r>
        <w:rPr/>
        <w:t>的股权、全部债权及相应权利整体转让给公司控股股东光一投 资。报告期末，南京宇能已不再是公司控股子公司。</w:t>
      </w:r>
    </w:p>
    <w:p>
      <w:pPr>
        <w:spacing w:after="0" w:line="408" w:lineRule="auto"/>
        <w:jc w:val="both"/>
        <w:sectPr>
          <w:pgSz w:w="11910" w:h="16840"/>
          <w:pgMar w:header="747" w:footer="1000" w:top="1040" w:bottom="1180" w:left="300" w:right="2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0"/>
        <w:jc w:val="left"/>
      </w:pPr>
      <w:r>
        <w:rPr/>
        <w:t>报告期内取得和处置子公司的情况</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pict>
          <v:group style="position:absolute;margin-left:347.679993pt;margin-top:72.763649pt;width:66.5pt;height:20.7pt;mso-position-horizontal-relative:page;mso-position-vertical-relative:paragraph;z-index:-914464" coordorigin="6954,1455" coordsize="1330,414">
            <v:group style="position:absolute;left:6964;top:1466;width:2;height:393" coordorigin="6964,1466" coordsize="2,393">
              <v:shape style="position:absolute;left:6964;top:1466;width:2;height:393" coordorigin="6964,1466" coordsize="0,393" path="m6964,1466l6964,1858e" filled="false" stroked="true" strokeweight="1.08pt" strokecolor="#ffffff">
                <v:path arrowok="t"/>
              </v:shape>
            </v:group>
            <v:group style="position:absolute;left:6975;top:1466;width:1309;height:393" coordorigin="6975,1466" coordsize="1309,393">
              <v:shape style="position:absolute;left:6975;top:1466;width:1309;height:393" coordorigin="6975,1466" coordsize="1309,393" path="m6975,1858l8284,1858,8284,1466,6975,1466,6975,1858xe" filled="true" fillcolor="#ffffff" stroked="false">
                <v:path arrowok="t"/>
                <v:fill type="solid"/>
              </v:shape>
            </v:group>
            <w10:wrap type="none"/>
          </v:group>
        </w:pict>
      </w: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695"/>
        <w:gridCol w:w="3118"/>
        <w:gridCol w:w="1365"/>
        <w:gridCol w:w="2391"/>
      </w:tblGrid>
      <w:tr>
        <w:trPr>
          <w:trHeight w:val="727"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136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45" w:right="42"/>
              <w:jc w:val="left"/>
              <w:rPr>
                <w:rFonts w:ascii="宋体" w:hAnsi="宋体" w:cs="宋体" w:eastAsia="宋体" w:hint="default"/>
                <w:sz w:val="18"/>
                <w:szCs w:val="18"/>
              </w:rPr>
            </w:pPr>
            <w:r>
              <w:rPr>
                <w:rFonts w:ascii="宋体" w:hAnsi="宋体" w:cs="宋体" w:eastAsia="宋体" w:hint="default"/>
                <w:sz w:val="18"/>
                <w:szCs w:val="18"/>
              </w:rPr>
              <w:t>报告期内取得和 处置子公司方式</w:t>
            </w:r>
          </w:p>
        </w:tc>
        <w:tc>
          <w:tcPr>
            <w:tcW w:w="23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031"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
              <w:jc w:val="center"/>
              <w:rPr>
                <w:rFonts w:ascii="宋体" w:hAnsi="宋体" w:cs="宋体" w:eastAsia="宋体" w:hint="default"/>
                <w:sz w:val="18"/>
                <w:szCs w:val="18"/>
              </w:rPr>
            </w:pPr>
            <w:r>
              <w:rPr>
                <w:rFonts w:ascii="宋体" w:hAnsi="宋体" w:cs="宋体" w:eastAsia="宋体" w:hint="default"/>
                <w:sz w:val="18"/>
                <w:szCs w:val="18"/>
              </w:rPr>
              <w:t>南京智友尚云信息技术有限公司</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0" w:right="-37"/>
              <w:jc w:val="left"/>
              <w:rPr>
                <w:rFonts w:ascii="宋体" w:hAnsi="宋体" w:cs="宋体" w:eastAsia="宋体" w:hint="default"/>
                <w:sz w:val="18"/>
                <w:szCs w:val="18"/>
              </w:rPr>
            </w:pPr>
            <w:r>
              <w:rPr>
                <w:rFonts w:ascii="宋体" w:hAnsi="宋体" w:cs="宋体" w:eastAsia="宋体" w:hint="default"/>
                <w:sz w:val="18"/>
                <w:szCs w:val="18"/>
              </w:rPr>
              <w:t>进一步促进公司软件技术开发，提高技 </w:t>
            </w:r>
            <w:r>
              <w:rPr>
                <w:rFonts w:ascii="宋体" w:hAnsi="宋体" w:cs="宋体" w:eastAsia="宋体" w:hint="default"/>
                <w:spacing w:val="-7"/>
                <w:sz w:val="18"/>
                <w:szCs w:val="18"/>
              </w:rPr>
              <w:t>术服务水平，更好的推动对外业务拓展，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增强公司的发展实力。</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现金出资设立</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 w:right="12"/>
              <w:jc w:val="left"/>
              <w:rPr>
                <w:rFonts w:ascii="宋体" w:hAnsi="宋体" w:cs="宋体" w:eastAsia="宋体" w:hint="default"/>
                <w:sz w:val="18"/>
                <w:szCs w:val="18"/>
              </w:rPr>
            </w:pPr>
            <w:r>
              <w:rPr>
                <w:rFonts w:ascii="宋体" w:hAnsi="宋体" w:cs="宋体" w:eastAsia="宋体" w:hint="default"/>
                <w:spacing w:val="14"/>
                <w:sz w:val="18"/>
                <w:szCs w:val="18"/>
              </w:rPr>
              <w:t>对公司生产和业绩产生积极</w:t>
            </w:r>
            <w:r>
              <w:rPr>
                <w:rFonts w:ascii="宋体" w:hAnsi="宋体" w:cs="宋体" w:eastAsia="宋体" w:hint="default"/>
                <w:sz w:val="18"/>
                <w:szCs w:val="18"/>
              </w:rPr>
              <w:t> 影响</w:t>
            </w:r>
          </w:p>
        </w:tc>
      </w:tr>
      <w:tr>
        <w:trPr>
          <w:trHeight w:val="1031"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
              <w:jc w:val="center"/>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0" w:right="21"/>
              <w:jc w:val="both"/>
              <w:rPr>
                <w:rFonts w:ascii="宋体" w:hAnsi="宋体" w:cs="宋体" w:eastAsia="宋体" w:hint="default"/>
                <w:sz w:val="18"/>
                <w:szCs w:val="18"/>
              </w:rPr>
            </w:pPr>
            <w:r>
              <w:rPr>
                <w:rFonts w:ascii="宋体" w:hAnsi="宋体" w:cs="宋体" w:eastAsia="宋体" w:hint="default"/>
                <w:sz w:val="18"/>
                <w:szCs w:val="18"/>
              </w:rPr>
              <w:t>拓展新市场，为公司增加新的利润增长 点奠定良好基础，使公司业务模式向互 联网更纵深领域发展。</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 w:right="246"/>
              <w:jc w:val="left"/>
              <w:rPr>
                <w:rFonts w:ascii="宋体" w:hAnsi="宋体" w:cs="宋体" w:eastAsia="宋体" w:hint="default"/>
                <w:sz w:val="18"/>
                <w:szCs w:val="18"/>
              </w:rPr>
            </w:pPr>
            <w:r>
              <w:rPr>
                <w:rFonts w:ascii="宋体" w:hAnsi="宋体" w:cs="宋体" w:eastAsia="宋体" w:hint="default"/>
                <w:sz w:val="18"/>
                <w:szCs w:val="18"/>
              </w:rPr>
              <w:t>自有资金收购 </w:t>
            </w:r>
            <w:r>
              <w:rPr>
                <w:rFonts w:ascii="宋体" w:hAnsi="宋体" w:cs="宋体" w:eastAsia="宋体" w:hint="default"/>
                <w:sz w:val="18"/>
                <w:szCs w:val="18"/>
              </w:rPr>
              <w:t>51%</w:t>
            </w:r>
            <w:r>
              <w:rPr>
                <w:rFonts w:ascii="宋体" w:hAnsi="宋体" w:cs="宋体" w:eastAsia="宋体" w:hint="default"/>
                <w:sz w:val="18"/>
                <w:szCs w:val="18"/>
              </w:rPr>
              <w:t>股权</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 w:right="12"/>
              <w:jc w:val="left"/>
              <w:rPr>
                <w:rFonts w:ascii="宋体" w:hAnsi="宋体" w:cs="宋体" w:eastAsia="宋体" w:hint="default"/>
                <w:sz w:val="18"/>
                <w:szCs w:val="18"/>
              </w:rPr>
            </w:pPr>
            <w:r>
              <w:rPr>
                <w:rFonts w:ascii="宋体" w:hAnsi="宋体" w:cs="宋体" w:eastAsia="宋体" w:hint="default"/>
                <w:spacing w:val="14"/>
                <w:sz w:val="18"/>
                <w:szCs w:val="18"/>
              </w:rPr>
              <w:t>对公司未来业绩产生积极影</w:t>
            </w:r>
            <w:r>
              <w:rPr>
                <w:rFonts w:ascii="宋体" w:hAnsi="宋体" w:cs="宋体" w:eastAsia="宋体" w:hint="default"/>
                <w:sz w:val="18"/>
                <w:szCs w:val="18"/>
              </w:rPr>
              <w:t> 响</w:t>
            </w:r>
          </w:p>
        </w:tc>
      </w:tr>
      <w:tr>
        <w:trPr>
          <w:trHeight w:val="1343"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 w:right="21"/>
              <w:jc w:val="both"/>
              <w:rPr>
                <w:rFonts w:ascii="宋体" w:hAnsi="宋体" w:cs="宋体" w:eastAsia="宋体" w:hint="default"/>
                <w:sz w:val="18"/>
                <w:szCs w:val="18"/>
              </w:rPr>
            </w:pPr>
            <w:r>
              <w:rPr>
                <w:rFonts w:ascii="宋体" w:hAnsi="宋体" w:cs="宋体" w:eastAsia="宋体" w:hint="default"/>
                <w:sz w:val="18"/>
                <w:szCs w:val="18"/>
              </w:rPr>
              <w:t>实现双方优势互补，在发展战略、品牌 宣传、技术开发、销售渠道资源、融资 渠道资源等方面整合、优化。</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1" w:right="22"/>
              <w:jc w:val="both"/>
              <w:rPr>
                <w:rFonts w:ascii="宋体" w:hAnsi="宋体" w:cs="宋体" w:eastAsia="宋体" w:hint="default"/>
                <w:sz w:val="18"/>
                <w:szCs w:val="18"/>
              </w:rPr>
            </w:pPr>
            <w:r>
              <w:rPr>
                <w:rFonts w:ascii="宋体" w:hAnsi="宋体" w:cs="宋体" w:eastAsia="宋体" w:hint="default"/>
                <w:sz w:val="18"/>
                <w:szCs w:val="18"/>
              </w:rPr>
              <w:t>以支付现金购买 资金方式控股索 瑞电气</w:t>
            </w:r>
            <w:r>
              <w:rPr>
                <w:rFonts w:ascii="宋体" w:hAnsi="宋体" w:cs="宋体" w:eastAsia="宋体" w:hint="default"/>
                <w:spacing w:val="-46"/>
                <w:sz w:val="18"/>
                <w:szCs w:val="18"/>
              </w:rPr>
              <w:t> </w:t>
            </w:r>
            <w:r>
              <w:rPr>
                <w:rFonts w:ascii="宋体" w:hAnsi="宋体" w:cs="宋体" w:eastAsia="宋体" w:hint="default"/>
                <w:sz w:val="18"/>
                <w:szCs w:val="18"/>
              </w:rPr>
              <w:t>84.82%</w:t>
            </w:r>
            <w:r>
              <w:rPr>
                <w:rFonts w:ascii="宋体" w:hAnsi="宋体" w:cs="宋体" w:eastAsia="宋体" w:hint="default"/>
                <w:sz w:val="18"/>
                <w:szCs w:val="18"/>
              </w:rPr>
              <w:t>的 股权</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 w:right="12"/>
              <w:jc w:val="left"/>
              <w:rPr>
                <w:rFonts w:ascii="宋体" w:hAnsi="宋体" w:cs="宋体" w:eastAsia="宋体" w:hint="default"/>
                <w:sz w:val="18"/>
                <w:szCs w:val="18"/>
              </w:rPr>
            </w:pPr>
            <w:r>
              <w:rPr>
                <w:rFonts w:ascii="宋体" w:hAnsi="宋体" w:cs="宋体" w:eastAsia="宋体" w:hint="default"/>
                <w:spacing w:val="14"/>
                <w:sz w:val="18"/>
                <w:szCs w:val="18"/>
              </w:rPr>
              <w:t>对公司生产和业绩将产生积</w:t>
            </w:r>
            <w:r>
              <w:rPr>
                <w:rFonts w:ascii="宋体" w:hAnsi="宋体" w:cs="宋体" w:eastAsia="宋体" w:hint="default"/>
                <w:sz w:val="18"/>
                <w:szCs w:val="18"/>
              </w:rPr>
              <w:t> 极影响</w:t>
            </w:r>
          </w:p>
        </w:tc>
      </w:tr>
      <w:tr>
        <w:trPr>
          <w:trHeight w:val="1351" w:hRule="exact"/>
        </w:trPr>
        <w:tc>
          <w:tcPr>
            <w:tcW w:w="26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南京宇能仪表有限公司</w:t>
            </w:r>
          </w:p>
        </w:tc>
        <w:tc>
          <w:tcPr>
            <w:tcW w:w="311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0" w:right="21"/>
              <w:jc w:val="both"/>
              <w:rPr>
                <w:rFonts w:ascii="宋体" w:hAnsi="宋体" w:cs="宋体" w:eastAsia="宋体" w:hint="default"/>
                <w:sz w:val="18"/>
                <w:szCs w:val="18"/>
              </w:rPr>
            </w:pPr>
            <w:r>
              <w:rPr>
                <w:rFonts w:ascii="宋体" w:hAnsi="宋体" w:cs="宋体" w:eastAsia="宋体" w:hint="default"/>
                <w:sz w:val="18"/>
                <w:szCs w:val="18"/>
              </w:rPr>
              <w:t>降低公司对外投资风险、保护公司及股 东的合法权益免受损失，将南京宇能股 权、债权和相应合同权利全部转让给控 股股东光一投资。</w:t>
            </w:r>
          </w:p>
        </w:tc>
        <w:tc>
          <w:tcPr>
            <w:tcW w:w="13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 w:right="66"/>
              <w:jc w:val="both"/>
              <w:rPr>
                <w:rFonts w:ascii="宋体" w:hAnsi="宋体" w:cs="宋体" w:eastAsia="宋体" w:hint="default"/>
                <w:sz w:val="18"/>
                <w:szCs w:val="18"/>
              </w:rPr>
            </w:pPr>
            <w:r>
              <w:rPr>
                <w:rFonts w:ascii="宋体" w:hAnsi="宋体" w:cs="宋体" w:eastAsia="宋体" w:hint="default"/>
                <w:sz w:val="18"/>
                <w:szCs w:val="18"/>
              </w:rPr>
              <w:t>股权、债权和相 应合同权利一并 转让</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0" w:right="11"/>
              <w:jc w:val="left"/>
              <w:rPr>
                <w:rFonts w:ascii="宋体" w:hAnsi="宋体" w:cs="宋体" w:eastAsia="宋体" w:hint="default"/>
                <w:sz w:val="18"/>
                <w:szCs w:val="18"/>
              </w:rPr>
            </w:pPr>
            <w:r>
              <w:rPr>
                <w:rFonts w:ascii="宋体" w:hAnsi="宋体" w:cs="宋体" w:eastAsia="宋体" w:hint="default"/>
                <w:sz w:val="18"/>
                <w:szCs w:val="18"/>
              </w:rPr>
              <w:t>消除对公司业绩、规范运作的 不利影响</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7）公司控制的特殊目的主体情况" w:id="28"/>
      <w:bookmarkEnd w:id="28"/>
      <w:r>
        <w:rPr>
          <w:b w:val="0"/>
          <w:bCs w:val="0"/>
        </w:rPr>
      </w:r>
      <w:r>
        <w:rPr/>
        <w:t>（</w:t>
      </w:r>
      <w:r>
        <w:rPr>
          <w:rFonts w:ascii="宋体" w:hAnsi="宋体" w:cs="宋体" w:eastAsia="宋体" w:hint="default"/>
        </w:rPr>
        <w:t>7</w:t>
      </w:r>
      <w:r>
        <w:rPr/>
        <w:t>）公司控制的特殊目的主体情况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3"/>
        <w:ind w:left="154"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31"/>
        <w:ind w:left="154" w:right="0"/>
        <w:jc w:val="left"/>
        <w:rPr>
          <w:b w:val="0"/>
          <w:bCs w:val="0"/>
        </w:rPr>
      </w:pPr>
      <w:bookmarkStart w:name="二、公司未来发展的展望" w:id="29"/>
      <w:bookmarkEnd w:id="29"/>
      <w:r>
        <w:rPr>
          <w:b w:val="0"/>
          <w:bCs w:val="0"/>
        </w:rPr>
      </w:r>
      <w:r>
        <w:rPr/>
        <w:t>二、公司未来发展的展望</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49" w:firstLine="420"/>
        <w:jc w:val="both"/>
      </w:pPr>
      <w:r>
        <w:rPr/>
        <w:t>按照公司</w:t>
      </w:r>
      <w:r>
        <w:rPr>
          <w:spacing w:val="-13"/>
        </w:rPr>
        <w:t> </w:t>
      </w:r>
      <w:r>
        <w:rPr>
          <w:spacing w:val="-3"/>
        </w:rPr>
        <w:t>“一个中心、一个基础、一个体系、网内与网外、国内与国外，服务与制造，建设与营运”</w:t>
      </w:r>
      <w:r>
        <w:rPr/>
        <w:t> 的</w:t>
      </w:r>
      <w:r>
        <w:rPr>
          <w:rFonts w:ascii="宋体" w:hAnsi="宋体" w:cs="宋体" w:eastAsia="宋体" w:hint="default"/>
        </w:rPr>
        <w:t>3+4</w:t>
      </w:r>
      <w:r>
        <w:rPr/>
        <w:t>的战略架构及“以智能电网业务为基石，积极向健康管理、版权云项目、食品溯源三个领域发展”</w:t>
      </w:r>
      <w:r>
        <w:rPr>
          <w:spacing w:val="-27"/>
        </w:rPr>
        <w:t> </w:t>
      </w:r>
      <w:r>
        <w:rPr>
          <w:spacing w:val="-27"/>
        </w:rPr>
      </w:r>
      <w:r>
        <w:rPr/>
        <w:t>的</w:t>
      </w:r>
      <w:r>
        <w:rPr>
          <w:rFonts w:ascii="宋体" w:hAnsi="宋体" w:cs="宋体" w:eastAsia="宋体" w:hint="default"/>
        </w:rPr>
        <w:t>1+3</w:t>
      </w:r>
      <w:r>
        <w:rPr/>
        <w:t>发展规划，公司商业模式正从单一产品供应向建设与运营转变，业务从传统的电力向信息系统建设</w:t>
      </w:r>
      <w:r>
        <w:rPr>
          <w:spacing w:val="-35"/>
        </w:rPr>
        <w:t> </w:t>
      </w:r>
      <w:r>
        <w:rPr>
          <w:spacing w:val="-35"/>
        </w:rPr>
      </w:r>
      <w:r>
        <w:rPr>
          <w:spacing w:val="-1"/>
        </w:rPr>
        <w:t>运营拓展。</w:t>
      </w:r>
      <w:r>
        <w:rPr>
          <w:rFonts w:ascii="宋体" w:hAnsi="宋体" w:cs="宋体" w:eastAsia="宋体" w:hint="default"/>
          <w:spacing w:val="-1"/>
        </w:rPr>
        <w:t>2015</w:t>
      </w:r>
      <w:r>
        <w:rPr>
          <w:spacing w:val="-1"/>
        </w:rPr>
        <w:t>年公司将积极探索多个经营实体下的企业经营与管理模式的创新，调整业务结构及部门设</w:t>
      </w:r>
      <w:r>
        <w:rPr>
          <w:spacing w:val="-81"/>
        </w:rPr>
        <w:t> </w:t>
      </w:r>
      <w:r>
        <w:rPr>
          <w:spacing w:val="-81"/>
        </w:rPr>
      </w:r>
      <w:r>
        <w:rPr/>
        <w:t>置，实现“内生式增长”与“外延式扩展”的有机融合，为公司的健康发展打下坚实基础。</w:t>
      </w:r>
    </w:p>
    <w:p>
      <w:pPr>
        <w:pStyle w:val="BodyText"/>
        <w:spacing w:line="240" w:lineRule="auto"/>
        <w:ind w:left="573" w:right="0"/>
        <w:jc w:val="left"/>
      </w:pPr>
      <w:r>
        <w:rPr>
          <w:rFonts w:ascii="宋体" w:hAnsi="宋体" w:cs="宋体" w:eastAsia="宋体" w:hint="default"/>
        </w:rPr>
        <w:t>1</w:t>
      </w:r>
      <w:r>
        <w:rPr/>
        <w:t>、电力行业业务</w:t>
      </w:r>
    </w:p>
    <w:p>
      <w:pPr>
        <w:spacing w:line="240" w:lineRule="auto" w:before="10"/>
        <w:rPr>
          <w:rFonts w:ascii="宋体" w:hAnsi="宋体" w:cs="宋体" w:eastAsia="宋体" w:hint="default"/>
          <w:sz w:val="14"/>
          <w:szCs w:val="14"/>
        </w:rPr>
      </w:pPr>
    </w:p>
    <w:p>
      <w:pPr>
        <w:pStyle w:val="BodyText"/>
        <w:spacing w:line="408" w:lineRule="auto" w:before="0"/>
        <w:ind w:right="130" w:firstLine="420"/>
        <w:jc w:val="both"/>
      </w:pPr>
      <w:r>
        <w:rPr>
          <w:rFonts w:ascii="宋体" w:hAnsi="宋体" w:cs="宋体" w:eastAsia="宋体" w:hint="default"/>
        </w:rPr>
        <w:t>2015</w:t>
      </w:r>
      <w:r>
        <w:rPr/>
        <w:t>年，是公司传统电力业务充满挑战的一年，也是公司结合自身优势在电力行业广泛求索的一年。 </w:t>
      </w:r>
      <w:r>
        <w:rPr>
          <w:spacing w:val="-1"/>
        </w:rPr>
        <w:t>一方面随着国网集中招标次数减少，招标规模降低，产品覆盖工作接近完成，用电信息采集市场形势日益</w:t>
      </w:r>
      <w:r>
        <w:rPr>
          <w:spacing w:val="-83"/>
        </w:rPr>
        <w:t> </w:t>
      </w:r>
      <w:r>
        <w:rPr>
          <w:spacing w:val="-83"/>
        </w:rPr>
      </w:r>
      <w:r>
        <w:rPr>
          <w:spacing w:val="-1"/>
        </w:rPr>
        <w:t>严峻；另一方面，电力行业作为国家大力发展和重点投入的行业，随着电力改革持续推进以及能源互联网</w:t>
      </w:r>
      <w:r>
        <w:rPr>
          <w:spacing w:val="-83"/>
        </w:rPr>
        <w:t> </w:t>
      </w:r>
      <w:r>
        <w:rPr>
          <w:spacing w:val="-83"/>
        </w:rPr>
      </w:r>
      <w:r>
        <w:rPr>
          <w:spacing w:val="-1"/>
        </w:rPr>
        <w:t>的日渐兴起，电力行业中的产业机会巨大。公司深耕电力行业十余年，具有良好的品牌口碑和深厚的行业</w:t>
      </w:r>
      <w:r>
        <w:rPr>
          <w:spacing w:val="-83"/>
        </w:rPr>
        <w:t> </w:t>
      </w:r>
      <w:r>
        <w:rPr>
          <w:spacing w:val="-83"/>
        </w:rPr>
      </w:r>
      <w:r>
        <w:rPr>
          <w:spacing w:val="-5"/>
        </w:rPr>
        <w:t>经验，在电力业务方面，公司审时度势，提出了“以目标管理求创新，以产业链求规模，以新产品求发展”</w:t>
      </w:r>
    </w:p>
    <w:p>
      <w:pPr>
        <w:spacing w:after="0" w:line="408" w:lineRule="auto"/>
        <w:jc w:val="both"/>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89"/>
        <w:jc w:val="both"/>
      </w:pPr>
      <w:r>
        <w:rPr/>
        <w:t>的经营方针，以现有业务为基础，紧跟电力改革步伐和行业发展趋势，逐步向电力设计、电力工程施工、 </w:t>
      </w:r>
      <w:r>
        <w:rPr>
          <w:spacing w:val="-1"/>
        </w:rPr>
        <w:t>一次二次设备、能效检测与节能服务方向发展，建立完整的电力业务产业链。同时，紧密跟踪能源互联网</w:t>
      </w:r>
      <w:r>
        <w:rPr>
          <w:spacing w:val="-86"/>
        </w:rPr>
        <w:t> </w:t>
      </w:r>
      <w:r>
        <w:rPr>
          <w:spacing w:val="-86"/>
        </w:rPr>
      </w:r>
      <w:r>
        <w:rPr/>
        <w:t>中用电信息采集的市场机会，从技术开发和产业结合两方面积极寻求创造新的产业机会。</w:t>
      </w:r>
    </w:p>
    <w:p>
      <w:pPr>
        <w:pStyle w:val="BodyText"/>
        <w:spacing w:line="408" w:lineRule="auto"/>
        <w:ind w:right="98" w:firstLine="420"/>
        <w:jc w:val="left"/>
      </w:pPr>
      <w:r>
        <w:rPr>
          <w:spacing w:val="-3"/>
        </w:rPr>
        <w:t>在电务业务执行层面，根据市场细分调整业务结构和部门设置，进一步明确终端事业部、工程事业部、</w:t>
      </w:r>
      <w:r>
        <w:rPr/>
        <w:t> 技术研究院、索瑞电气的目标定位和发展方向。其中：终端事业部将在专注用电信息采集细分市场、巩固 现有市场份额的基础上，一方面对用电信息采集的深化应用及未来产品方向进行研究以开辟新市场，另一 方面围绕用电信息采集核心技术开发同类产品以增加产品品类以获取更多市场份额；工程事业部将在进一 步提高江苏用电信息采集相关技术服务工程份额基础上，提升内部管理水平，积极引进人才，申请电力工 程更高资质，在用电信息采集技术服务工程基础上实现向标准化用户工程和电力其它工程转型；技术研究 院作为公司电力业务产品及系统的引擎，负责电力业务产品及系统开发的立项、研发、资质、前期市场等 </w:t>
      </w:r>
      <w:r>
        <w:rPr>
          <w:spacing w:val="-3"/>
        </w:rPr>
        <w:t>工作，除定向的产品及系统开发外，将关注电力与互联网融合的最新动态和技术，寻找适合的市场切入点，</w:t>
      </w:r>
      <w:r>
        <w:rPr>
          <w:spacing w:val="-90"/>
        </w:rPr>
        <w:t> </w:t>
      </w:r>
      <w:r>
        <w:rPr>
          <w:spacing w:val="-90"/>
        </w:rPr>
      </w:r>
      <w:r>
        <w:rPr/>
        <w:t>关注电力改革中出现的新的市场机会，并从技术层面对新业务的开发做支持，目前公司与东南大学联合进</w:t>
      </w:r>
      <w:r>
        <w:rPr/>
        <w:t> 行“微电网的电量控制”与“能效管理系统”项目开发已进入联调阶段，项目成熟后将作为未来商业应用 的储备；索瑞电气将充分发挥其生产制造优势，巩固和提升主营业务的市场占有率，并努力拓展新市场， 同时加大新产品市场开发力度，快速把新科研成果转化为市场订单，形成新的利润增长点。</w:t>
      </w:r>
    </w:p>
    <w:p>
      <w:pPr>
        <w:pStyle w:val="BodyText"/>
        <w:spacing w:line="408" w:lineRule="auto"/>
        <w:ind w:left="574" w:right="102"/>
        <w:jc w:val="left"/>
      </w:pPr>
      <w:r>
        <w:rPr>
          <w:rFonts w:ascii="宋体" w:hAnsi="宋体" w:cs="宋体" w:eastAsia="宋体" w:hint="default"/>
        </w:rPr>
        <w:t>2</w:t>
      </w:r>
      <w:r>
        <w:rPr/>
        <w:t>、版权云项目 </w:t>
      </w:r>
      <w:r>
        <w:rPr>
          <w:spacing w:val="-1"/>
        </w:rPr>
        <w:t>随着互联网科技迅速发展，数字化音视频因其文化承载优势，借助互联网发展机遇，迎来了迅猛发展</w:t>
      </w:r>
    </w:p>
    <w:p>
      <w:pPr>
        <w:pStyle w:val="BodyText"/>
        <w:spacing w:line="408" w:lineRule="auto"/>
        <w:ind w:right="104"/>
        <w:jc w:val="left"/>
      </w:pPr>
      <w:r>
        <w:rPr>
          <w:spacing w:val="-3"/>
        </w:rPr>
        <w:t>的时代，近年来，版权产业对中国经济的贡献率增长高于同时期国家平均增长近一倍。但与此同时，盗版、</w:t>
      </w:r>
      <w:r>
        <w:rPr>
          <w:spacing w:val="-96"/>
        </w:rPr>
        <w:t> </w:t>
      </w:r>
      <w:r>
        <w:rPr>
          <w:spacing w:val="-96"/>
        </w:rPr>
      </w:r>
      <w:r>
        <w:rPr/>
        <w:t>涉黄等非法的数字化音视频内容也日益猖獗，严重影响了数字音像产业自身的健康发展，损害了音像制品</w:t>
      </w:r>
      <w:r>
        <w:rPr/>
        <w:t> 创作人自身的利益诉求，亟需建立起适应环境要求、技术特点的传播监管、服务体系，才能更好的服务于 中国数字音像产业的良性发展。</w:t>
      </w:r>
      <w:r>
        <w:rPr>
          <w:rFonts w:ascii="宋体" w:hAnsi="宋体" w:cs="宋体" w:eastAsia="宋体" w:hint="default"/>
        </w:rPr>
        <w:t>2011</w:t>
      </w:r>
      <w:r>
        <w:rPr/>
        <w:t>年</w:t>
      </w:r>
      <w:r>
        <w:rPr>
          <w:rFonts w:ascii="宋体" w:hAnsi="宋体" w:cs="宋体" w:eastAsia="宋体" w:hint="default"/>
        </w:rPr>
        <w:t>12</w:t>
      </w:r>
      <w:r>
        <w:rPr/>
        <w:t>月，中共中央办公厅、国务院办公厅印发《国家“十二五”时期 文化改革发展规划纲要》，就文化市场技术监管平台建设提出“运用先进手段提升监管水平，重点建设互 联网及其服务场所、娱乐场所、数字音像传播、数字出版内容集成、版权交易等监管平台，推动文化市场 健康有序发展。”2014年</w:t>
      </w:r>
      <w:r>
        <w:rPr>
          <w:rFonts w:ascii="宋体" w:hAnsi="宋体" w:cs="宋体" w:eastAsia="宋体" w:hint="default"/>
        </w:rPr>
        <w:t>2</w:t>
      </w:r>
      <w:r>
        <w:rPr/>
        <w:t>月</w:t>
      </w:r>
      <w:r>
        <w:rPr>
          <w:rFonts w:ascii="宋体" w:hAnsi="宋体" w:cs="宋体" w:eastAsia="宋体" w:hint="default"/>
        </w:rPr>
        <w:t>27</w:t>
      </w:r>
      <w:r>
        <w:rPr/>
        <w:t>日，中央网络安全和信息化领导小组成立，中共中央总书记习近平亲自担</w:t>
      </w:r>
      <w:r>
        <w:rPr>
          <w:spacing w:val="-35"/>
        </w:rPr>
        <w:t> </w:t>
      </w:r>
      <w:r>
        <w:rPr>
          <w:spacing w:val="-35"/>
        </w:rPr>
      </w:r>
      <w:r>
        <w:rPr/>
        <w:t>任组长、由扫黄打非办公室、国家互联网信息办公室、工业和信息化部、公安部持续开展的“净网行动”</w:t>
      </w:r>
      <w:r>
        <w:rPr/>
        <w:t> 等措施都表明中央对于网络健康、安全的管控力度不断加大，营造良性、有序的市场发展环境，成为推动 数字音视频行业的必然选择。</w:t>
      </w:r>
    </w:p>
    <w:p>
      <w:pPr>
        <w:pStyle w:val="BodyText"/>
        <w:spacing w:line="408" w:lineRule="auto"/>
        <w:ind w:left="154" w:right="190" w:firstLine="420"/>
        <w:jc w:val="both"/>
      </w:pPr>
      <w:r>
        <w:rPr/>
        <w:t>数字音像传播服务监管平台将采用先进技术，形成多元互动，动态聚合的数字及数据产品服务系统； </w:t>
      </w:r>
      <w:r>
        <w:rPr>
          <w:spacing w:val="-1"/>
        </w:rPr>
        <w:t>充分利用多种网络传播渠道，形成不同类型数字内容投送能力；改善数字内容及数据消费服务方式，打造</w:t>
      </w:r>
      <w:r>
        <w:rPr>
          <w:spacing w:val="-83"/>
        </w:rPr>
        <w:t> </w:t>
      </w:r>
      <w:r>
        <w:rPr>
          <w:spacing w:val="-83"/>
        </w:rPr>
      </w:r>
      <w:r>
        <w:rPr/>
        <w:t>多主体参与的数字版权产业新格局，鼓励各类市场主体积极参与，形成统筹规划、优势互补、良性竞争、</w:t>
      </w:r>
    </w:p>
    <w:p>
      <w:pPr>
        <w:spacing w:after="0" w:line="408" w:lineRule="auto"/>
        <w:jc w:val="both"/>
        <w:sectPr>
          <w:footerReference w:type="default" r:id="rId13"/>
          <w:pgSz w:w="11910" w:h="16840"/>
          <w:pgMar w:footer="1000" w:header="747" w:top="1040" w:bottom="1180" w:left="980" w:right="920"/>
          <w:pgNumType w:start="27"/>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210"/>
        <w:jc w:val="both"/>
      </w:pPr>
      <w:r>
        <w:rPr>
          <w:spacing w:val="-1"/>
        </w:rPr>
        <w:t>服务规范、有序发展的产业格局，建立健全市场准入机制，规范数字版权产业各环节间的业务合作，正确</w:t>
      </w:r>
      <w:r>
        <w:rPr>
          <w:spacing w:val="-86"/>
        </w:rPr>
        <w:t> </w:t>
      </w:r>
      <w:r>
        <w:rPr>
          <w:spacing w:val="-86"/>
        </w:rPr>
      </w:r>
      <w:r>
        <w:rPr>
          <w:spacing w:val="-1"/>
        </w:rPr>
        <w:t>引导大众阅读及收视收听取向，打击侵权盗版等违法违规行为，营造健康有序的市场环境，切实推进数字</w:t>
      </w:r>
      <w:r>
        <w:rPr>
          <w:spacing w:val="-83"/>
        </w:rPr>
        <w:t> </w:t>
      </w:r>
      <w:r>
        <w:rPr>
          <w:spacing w:val="-83"/>
        </w:rPr>
      </w:r>
      <w:r>
        <w:rPr>
          <w:spacing w:val="-1"/>
        </w:rPr>
        <w:t>版权产业健康、快速和可持续发展。报告期内，公司与贵州省相关政府部门及商会共同签署了《建设国家</w:t>
      </w:r>
      <w:r>
        <w:rPr>
          <w:spacing w:val="-86"/>
        </w:rPr>
        <w:t> </w:t>
      </w:r>
      <w:r>
        <w:rPr>
          <w:spacing w:val="-86"/>
        </w:rPr>
      </w:r>
      <w:r>
        <w:rPr>
          <w:spacing w:val="-1"/>
        </w:rPr>
        <w:t>级数字音像出版等系列项目战略合作协议》，进入数字版权监管服务领域，建立数字音像传播服务监管平</w:t>
      </w:r>
      <w:r>
        <w:rPr>
          <w:spacing w:val="-83"/>
        </w:rPr>
        <w:t> </w:t>
      </w:r>
      <w:r>
        <w:rPr>
          <w:spacing w:val="-83"/>
        </w:rPr>
      </w:r>
      <w:r>
        <w:rPr>
          <w:spacing w:val="-1"/>
        </w:rPr>
        <w:t>台。该平台计划由监测子平台、运营子平台、交易保障子平台及大数据中心构成。</w:t>
      </w:r>
      <w:r>
        <w:rPr>
          <w:rFonts w:ascii="宋体" w:hAnsi="宋体" w:cs="宋体" w:eastAsia="宋体" w:hint="default"/>
          <w:spacing w:val="-1"/>
        </w:rPr>
        <w:t>2015</w:t>
      </w:r>
      <w:r>
        <w:rPr>
          <w:spacing w:val="-1"/>
        </w:rPr>
        <w:t>年初，公司以参股</w:t>
      </w:r>
      <w:r>
        <w:rPr>
          <w:spacing w:val="-81"/>
        </w:rPr>
        <w:t> </w:t>
      </w:r>
      <w:r>
        <w:rPr>
          <w:spacing w:val="-81"/>
        </w:rPr>
      </w:r>
      <w:r>
        <w:rPr>
          <w:spacing w:val="-1"/>
        </w:rPr>
        <w:t>方式出资设立中云文化大数据科技有限公司，该公司将承载数字音像传播服务监管平台的建设和运营，包</w:t>
      </w:r>
      <w:r>
        <w:rPr>
          <w:spacing w:val="-80"/>
        </w:rPr>
        <w:t> </w:t>
      </w:r>
      <w:r>
        <w:rPr>
          <w:spacing w:val="-80"/>
        </w:rPr>
      </w:r>
      <w:r>
        <w:rPr>
          <w:spacing w:val="-1"/>
        </w:rPr>
        <w:t>括数据中心、版权库、内容库及特征比对库、支撑从版权登记到正版内容投放、运营的运行系统体系，是</w:t>
      </w:r>
      <w:r>
        <w:rPr>
          <w:spacing w:val="-83"/>
        </w:rPr>
        <w:t> </w:t>
      </w:r>
      <w:r>
        <w:rPr>
          <w:spacing w:val="-83"/>
        </w:rPr>
      </w:r>
      <w:r>
        <w:rPr>
          <w:spacing w:val="-1"/>
        </w:rPr>
        <w:t>构建围绕正版影音资源开发、管理、使用和消费产业链的支撑平台。</w:t>
      </w:r>
      <w:r>
        <w:rPr>
          <w:rFonts w:ascii="宋体" w:hAnsi="宋体" w:cs="宋体" w:eastAsia="宋体" w:hint="default"/>
          <w:spacing w:val="-1"/>
        </w:rPr>
        <w:t>2015</w:t>
      </w:r>
      <w:r>
        <w:rPr>
          <w:spacing w:val="-1"/>
        </w:rPr>
        <w:t>年，大数据中心的基础建设工程</w:t>
      </w:r>
      <w:r>
        <w:rPr>
          <w:spacing w:val="-83"/>
        </w:rPr>
        <w:t> </w:t>
      </w:r>
      <w:r>
        <w:rPr>
          <w:spacing w:val="-83"/>
        </w:rPr>
      </w:r>
      <w:r>
        <w:rPr>
          <w:spacing w:val="-1"/>
        </w:rPr>
        <w:t>将在贵州开工建设，力争版权和内容资源收储、投放等系统投入运营，为正版数字音像制品的流转提供内</w:t>
      </w:r>
      <w:r>
        <w:rPr>
          <w:spacing w:val="-83"/>
        </w:rPr>
        <w:t> </w:t>
      </w:r>
      <w:r>
        <w:rPr>
          <w:spacing w:val="-83"/>
        </w:rPr>
      </w:r>
      <w:r>
        <w:rPr/>
        <w:t>容仓储和传输通道，推动数字音像产业向良性、健康、可持续发展的方向迈进。</w:t>
      </w:r>
    </w:p>
    <w:p>
      <w:pPr>
        <w:pStyle w:val="BodyText"/>
        <w:spacing w:line="408" w:lineRule="auto"/>
        <w:ind w:left="573" w:right="102"/>
        <w:jc w:val="left"/>
      </w:pPr>
      <w:r>
        <w:rPr>
          <w:rFonts w:ascii="宋体" w:hAnsi="宋体" w:cs="宋体" w:eastAsia="宋体" w:hint="default"/>
        </w:rPr>
        <w:t>3</w:t>
      </w:r>
      <w:r>
        <w:rPr/>
        <w:t>、健康管理业务 </w:t>
      </w:r>
      <w:r>
        <w:rPr>
          <w:spacing w:val="-1"/>
        </w:rPr>
        <w:t>公司的健康医疗业务主要以控股子公司云商天下为运行主体，以“智慧健康解决方案提供商”为发展</w:t>
      </w:r>
    </w:p>
    <w:p>
      <w:pPr>
        <w:pStyle w:val="BodyText"/>
        <w:spacing w:line="408" w:lineRule="auto"/>
        <w:ind w:right="104"/>
        <w:jc w:val="left"/>
      </w:pPr>
      <w:r>
        <w:rPr>
          <w:spacing w:val="-3"/>
        </w:rPr>
        <w:t>目标定位，对云管端资源进行有效整合，包括建立智慧健康大数据集成平台（云），掌健识信息服务系统、</w:t>
      </w:r>
      <w:r>
        <w:rPr>
          <w:spacing w:val="-94"/>
        </w:rPr>
        <w:t> </w:t>
      </w:r>
      <w:r>
        <w:rPr>
          <w:spacing w:val="-94"/>
        </w:rPr>
      </w:r>
      <w:r>
        <w:rPr/>
        <w:t>基于</w:t>
      </w:r>
      <w:r>
        <w:rPr>
          <w:rFonts w:ascii="宋体" w:hAnsi="宋体" w:cs="宋体" w:eastAsia="宋体" w:hint="default"/>
        </w:rPr>
        <w:t>IOS</w:t>
      </w:r>
      <w:r>
        <w:rPr/>
        <w:t>、</w:t>
      </w:r>
      <w:r>
        <w:rPr>
          <w:rFonts w:ascii="宋体" w:hAnsi="宋体" w:cs="宋体" w:eastAsia="宋体" w:hint="default"/>
        </w:rPr>
        <w:t>Android</w:t>
      </w:r>
      <w:r>
        <w:rPr/>
        <w:t>手机端软件、基于</w:t>
      </w:r>
      <w:r>
        <w:rPr>
          <w:rFonts w:ascii="宋体" w:hAnsi="宋体" w:cs="宋体" w:eastAsia="宋体" w:hint="default"/>
        </w:rPr>
        <w:t>Android</w:t>
      </w:r>
      <w:r>
        <w:rPr/>
        <w:t>机顶盒、智能电视端软件、基于</w:t>
      </w:r>
      <w:r>
        <w:rPr>
          <w:rFonts w:ascii="宋体" w:hAnsi="宋体" w:cs="宋体" w:eastAsia="宋体" w:hint="default"/>
        </w:rPr>
        <w:t>PC Web</w:t>
      </w:r>
      <w:r>
        <w:rPr/>
        <w:t>端软件以及基于微信</w:t>
      </w:r>
      <w:r>
        <w:rPr>
          <w:spacing w:val="-30"/>
        </w:rPr>
        <w:t> </w:t>
      </w:r>
      <w:r>
        <w:rPr>
          <w:spacing w:val="-30"/>
        </w:rPr>
      </w:r>
      <w:r>
        <w:rPr/>
        <w:t>公众号（管），可穿戴式设备、智能体检一体机等（端），为高血压、糖尿病、亚健康等用户提供血压、 血糖、血氧、运动量等健康生理数据采集、传输、存储、分析。</w:t>
      </w:r>
    </w:p>
    <w:p>
      <w:pPr>
        <w:pStyle w:val="BodyText"/>
        <w:spacing w:line="408" w:lineRule="auto"/>
        <w:ind w:right="212" w:firstLine="420"/>
        <w:jc w:val="both"/>
      </w:pPr>
      <w:r>
        <w:rPr>
          <w:spacing w:val="-1"/>
        </w:rPr>
        <w:t>报告期内，云商天下已完成基于广电网络（</w:t>
      </w:r>
      <w:r>
        <w:rPr>
          <w:rFonts w:ascii="宋体" w:hAnsi="宋体" w:cs="宋体" w:eastAsia="宋体" w:hint="default"/>
          <w:spacing w:val="-1"/>
        </w:rPr>
        <w:t>DVB+OTT)</w:t>
      </w:r>
      <w:r>
        <w:rPr>
          <w:spacing w:val="-1"/>
        </w:rPr>
        <w:t>健康管理云平台的项目开发和部署，并与贵州广</w:t>
      </w:r>
      <w:r>
        <w:rPr/>
        <w:t> 电合作完成了系统的内测。</w:t>
      </w:r>
    </w:p>
    <w:p>
      <w:pPr>
        <w:pStyle w:val="BodyText"/>
        <w:spacing w:line="408" w:lineRule="auto"/>
        <w:ind w:right="211" w:firstLine="420"/>
        <w:jc w:val="both"/>
      </w:pPr>
      <w:r>
        <w:rPr>
          <w:rFonts w:ascii="宋体" w:hAnsi="宋体" w:cs="宋体" w:eastAsia="宋体" w:hint="default"/>
          <w:spacing w:val="-1"/>
        </w:rPr>
        <w:t>2015</w:t>
      </w:r>
      <w:r>
        <w:rPr>
          <w:spacing w:val="-1"/>
        </w:rPr>
        <w:t>年，在市场开拓方面，公司拟与多家广电公司探讨合作方式，推广健康管理业务，同时，公司拟</w:t>
      </w:r>
      <w:r>
        <w:rPr/>
        <w:t> </w:t>
      </w:r>
      <w:r>
        <w:rPr>
          <w:spacing w:val="-1"/>
        </w:rPr>
        <w:t>开发与通信运营商的合作，采用可穿戴设备</w:t>
      </w:r>
      <w:r>
        <w:rPr>
          <w:rFonts w:ascii="宋体" w:hAnsi="宋体" w:cs="宋体" w:eastAsia="宋体" w:hint="default"/>
          <w:spacing w:val="-1"/>
        </w:rPr>
        <w:t>+APP</w:t>
      </w:r>
      <w:r>
        <w:rPr>
          <w:spacing w:val="-1"/>
        </w:rPr>
        <w:t>的方式覆盖客户，实现对用户信息数据的实时采集，构建</w:t>
      </w:r>
      <w:r>
        <w:rPr>
          <w:spacing w:val="-83"/>
        </w:rPr>
        <w:t> </w:t>
      </w:r>
      <w:r>
        <w:rPr>
          <w:spacing w:val="-83"/>
        </w:rPr>
      </w:r>
      <w:r>
        <w:rPr>
          <w:spacing w:val="-1"/>
        </w:rPr>
        <w:t>用户个人健康档案；在产品研发方面，除了既有的检测设备外，公司拟和其他科研单位合作开发具有无线</w:t>
      </w:r>
      <w:r>
        <w:rPr>
          <w:spacing w:val="-83"/>
        </w:rPr>
        <w:t> </w:t>
      </w:r>
      <w:r>
        <w:rPr>
          <w:spacing w:val="-83"/>
        </w:rPr>
      </w:r>
      <w:r>
        <w:rPr>
          <w:spacing w:val="-1"/>
        </w:rPr>
        <w:t>传输生理数据监测功能的智能衣，可持续监测生理数据，以及合作开发可监测生理数据和运动量的智能手</w:t>
      </w:r>
      <w:r>
        <w:rPr>
          <w:spacing w:val="-81"/>
        </w:rPr>
        <w:t> </w:t>
      </w:r>
      <w:r>
        <w:rPr>
          <w:spacing w:val="-81"/>
        </w:rPr>
      </w:r>
      <w:r>
        <w:rPr/>
        <w:t>表。</w:t>
      </w:r>
    </w:p>
    <w:p>
      <w:pPr>
        <w:pStyle w:val="BodyText"/>
        <w:spacing w:line="240" w:lineRule="auto"/>
        <w:ind w:left="574" w:right="102"/>
        <w:jc w:val="left"/>
      </w:pPr>
      <w:r>
        <w:rPr>
          <w:rFonts w:ascii="宋体" w:hAnsi="宋体" w:cs="宋体" w:eastAsia="宋体" w:hint="default"/>
        </w:rPr>
        <w:t>2015</w:t>
      </w:r>
      <w:r>
        <w:rPr/>
        <w:t>年，公司将围绕既定的战略部署和产业架构，稳步有序推进各项业务发展。</w:t>
      </w:r>
    </w:p>
    <w:p>
      <w:pPr>
        <w:spacing w:line="240" w:lineRule="auto" w:before="0"/>
        <w:rPr>
          <w:rFonts w:ascii="宋体" w:hAnsi="宋体" w:cs="宋体" w:eastAsia="宋体" w:hint="default"/>
          <w:sz w:val="20"/>
          <w:szCs w:val="20"/>
        </w:rPr>
      </w:pPr>
    </w:p>
    <w:p>
      <w:pPr>
        <w:pStyle w:val="Heading2"/>
        <w:spacing w:line="240" w:lineRule="auto" w:before="131"/>
        <w:ind w:right="102"/>
        <w:jc w:val="left"/>
        <w:rPr>
          <w:b w:val="0"/>
          <w:bCs w:val="0"/>
        </w:rPr>
      </w:pPr>
      <w:bookmarkStart w:name="三、董事会、监事会对会计师事务所本报告期“非标准审计报告”的说明" w:id="30"/>
      <w:bookmarkEnd w:id="30"/>
      <w:r>
        <w:rPr>
          <w:b w:val="0"/>
          <w:bCs w:val="0"/>
        </w:rPr>
      </w:r>
      <w:r>
        <w:rPr/>
        <w:t>三、董事会、监事会对会计师事务所本报告期“非标准审计报告”的说明</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right="102"/>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32"/>
        <w:ind w:left="154" w:right="102"/>
        <w:jc w:val="left"/>
        <w:rPr>
          <w:b w:val="0"/>
          <w:bCs w:val="0"/>
        </w:rPr>
      </w:pPr>
      <w:bookmarkStart w:name="四、董事会关于报告期会计政策、会计估计变更或重要前期差错更正的说明" w:id="31"/>
      <w:bookmarkEnd w:id="31"/>
      <w:r>
        <w:rPr>
          <w:b w:val="0"/>
          <w:bCs w:val="0"/>
        </w:rPr>
      </w:r>
      <w:r>
        <w:rPr/>
        <w:t>四、董事会关于报告期会计政策、会计估计变更或重要前期差错更正的说明</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right="102"/>
        <w:jc w:val="left"/>
      </w:pPr>
      <w:r>
        <w:rPr/>
        <w:t>□ 适用 √</w:t>
      </w:r>
      <w:r>
        <w:rPr>
          <w:spacing w:val="-1"/>
        </w:rPr>
        <w:t> </w:t>
      </w:r>
      <w:r>
        <w:rPr/>
        <w:t>不适用</w:t>
      </w:r>
    </w:p>
    <w:p>
      <w:pPr>
        <w:spacing w:after="0" w:line="240" w:lineRule="auto"/>
        <w:jc w:val="left"/>
        <w:sectPr>
          <w:footerReference w:type="default" r:id="rId14"/>
          <w:pgSz w:w="11910" w:h="16840"/>
          <w:pgMar w:footer="1000" w:header="747" w:top="1040" w:bottom="1180" w:left="980" w:right="920"/>
          <w:pgNumType w:start="28"/>
        </w:sectPr>
      </w:pP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bookmarkStart w:name="五、公司利润分配及分红派息情况" w:id="32"/>
      <w:bookmarkEnd w:id="32"/>
      <w:r>
        <w:rPr>
          <w:b w:val="0"/>
          <w:bCs w:val="0"/>
        </w:rPr>
      </w:r>
      <w:r>
        <w:rPr/>
        <w:t>五、公司利润分配及分红派息情况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right="0"/>
        <w:jc w:val="left"/>
      </w:pPr>
      <w:r>
        <w:rPr/>
        <w:t>报告期内利润分配政策特别是现金分红政策的制定、执行或调整情况</w:t>
      </w:r>
    </w:p>
    <w:p>
      <w:pPr>
        <w:spacing w:line="240" w:lineRule="auto" w:before="10"/>
        <w:rPr>
          <w:rFonts w:ascii="宋体" w:hAnsi="宋体" w:cs="宋体" w:eastAsia="宋体" w:hint="default"/>
          <w:sz w:val="14"/>
          <w:szCs w:val="14"/>
        </w:rPr>
      </w:pPr>
    </w:p>
    <w:p>
      <w:pPr>
        <w:pStyle w:val="BodyText"/>
        <w:spacing w:line="408" w:lineRule="auto" w:before="0"/>
        <w:ind w:left="528" w:right="143" w:hanging="375"/>
        <w:jc w:val="left"/>
      </w:pPr>
      <w:r>
        <w:rPr/>
        <w:t>√ 适用 □</w:t>
      </w:r>
      <w:r>
        <w:rPr>
          <w:spacing w:val="-1"/>
        </w:rPr>
        <w:t> </w:t>
      </w:r>
      <w:r>
        <w:rPr/>
        <w:t>不适用</w:t>
      </w:r>
      <w:r>
        <w:rPr/>
        <w:t> </w:t>
      </w:r>
      <w:r>
        <w:rPr>
          <w:spacing w:val="-2"/>
        </w:rPr>
        <w:t>报告期内，根据《上市公司监管指引第</w:t>
      </w:r>
      <w:r>
        <w:rPr>
          <w:rFonts w:ascii="宋体" w:hAnsi="宋体" w:cs="宋体" w:eastAsia="宋体" w:hint="default"/>
          <w:spacing w:val="-2"/>
        </w:rPr>
        <w:t>3</w:t>
      </w:r>
      <w:r>
        <w:rPr>
          <w:spacing w:val="-2"/>
        </w:rPr>
        <w:t>号—上市公司现金分红》的规定，经公司第二届董事会第九次</w:t>
      </w:r>
    </w:p>
    <w:p>
      <w:pPr>
        <w:pStyle w:val="BodyText"/>
        <w:spacing w:line="408" w:lineRule="auto"/>
        <w:ind w:right="0"/>
        <w:jc w:val="left"/>
      </w:pPr>
      <w:r>
        <w:rPr>
          <w:spacing w:val="-1"/>
        </w:rPr>
        <w:t>会议及</w:t>
      </w:r>
      <w:r>
        <w:rPr>
          <w:rFonts w:ascii="宋体" w:hAnsi="宋体" w:cs="宋体" w:eastAsia="宋体" w:hint="default"/>
          <w:spacing w:val="-1"/>
        </w:rPr>
        <w:t>2013</w:t>
      </w:r>
      <w:r>
        <w:rPr>
          <w:spacing w:val="-1"/>
        </w:rPr>
        <w:t>年度股东大会审议通过，对《公司章程》中关于利润分配的条款进行了修订，进一步明确了现</w:t>
      </w:r>
      <w:r>
        <w:rPr>
          <w:spacing w:val="-84"/>
        </w:rPr>
        <w:t> </w:t>
      </w:r>
      <w:r>
        <w:rPr>
          <w:spacing w:val="-84"/>
        </w:rPr>
      </w:r>
      <w:r>
        <w:rPr/>
        <w:t>金分红的标准和比例，增强现金分红透明度，完善相关决策程序和机制。</w:t>
      </w:r>
    </w:p>
    <w:p>
      <w:pPr>
        <w:pStyle w:val="BodyText"/>
        <w:spacing w:line="408" w:lineRule="auto"/>
        <w:ind w:left="154" w:right="151" w:firstLine="374"/>
        <w:jc w:val="both"/>
      </w:pPr>
      <w:r>
        <w:rPr/>
        <w:t>报告期内，公司严格按照《公司章程》中相关利润分配政策和审议程序执行利润分配方案，分红标准 </w:t>
      </w:r>
      <w:r>
        <w:rPr>
          <w:spacing w:val="-1"/>
        </w:rPr>
        <w:t>和分红比例明确清晰，在分配预案拟定和决策时，独立董事尽职履责发表了独立意见。公司以详细公告形</w:t>
      </w:r>
      <w:r>
        <w:rPr>
          <w:spacing w:val="-83"/>
        </w:rPr>
        <w:t> </w:t>
      </w:r>
      <w:r>
        <w:rPr>
          <w:spacing w:val="-83"/>
        </w:rPr>
      </w:r>
      <w:r>
        <w:rPr>
          <w:spacing w:val="-1"/>
        </w:rPr>
        <w:t>式向全体股东发出股东大会通知，并提供网络投票方式，中小股东有充分表达意见和诉求的机会，股东大</w:t>
      </w:r>
      <w:r>
        <w:rPr>
          <w:spacing w:val="-83"/>
        </w:rPr>
        <w:t> </w:t>
      </w:r>
      <w:r>
        <w:rPr>
          <w:spacing w:val="-83"/>
        </w:rPr>
      </w:r>
      <w:r>
        <w:rPr/>
        <w:t>会审议通过后公司在规定时间内实施了权益分派，切实保证了全体股东的利益。</w:t>
      </w:r>
    </w:p>
    <w:tbl>
      <w:tblPr>
        <w:tblW w:w="0" w:type="auto"/>
        <w:jc w:val="left"/>
        <w:tblInd w:w="145" w:type="dxa"/>
        <w:tblLayout w:type="fixed"/>
        <w:tblCellMar>
          <w:top w:w="0" w:type="dxa"/>
          <w:left w:w="0" w:type="dxa"/>
          <w:bottom w:w="0" w:type="dxa"/>
          <w:right w:w="0" w:type="dxa"/>
        </w:tblCellMar>
        <w:tblLook w:val="01E0"/>
      </w:tblPr>
      <w:tblGrid>
        <w:gridCol w:w="4768"/>
        <w:gridCol w:w="4794"/>
      </w:tblGrid>
      <w:tr>
        <w:trPr>
          <w:trHeight w:val="407" w:hRule="exact"/>
        </w:trPr>
        <w:tc>
          <w:tcPr>
            <w:tcW w:w="9562" w:type="dxa"/>
            <w:gridSpan w:val="2"/>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34"/>
              <w:ind w:right="4"/>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15" w:hRule="exact"/>
        </w:trPr>
        <w:tc>
          <w:tcPr>
            <w:tcW w:w="47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1"/>
              <w:ind w:left="6"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1"/>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47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6"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34"/>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47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35"/>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47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left="6"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35"/>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476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5"/>
              <w:ind w:left="6"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4"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6" w:hRule="exact"/>
        </w:trPr>
        <w:tc>
          <w:tcPr>
            <w:tcW w:w="476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34"/>
              <w:ind w:left="6"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4"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87"/>
        <w:ind w:left="154" w:right="0"/>
        <w:jc w:val="left"/>
      </w:pPr>
      <w:r>
        <w:rPr/>
        <w:t>公司报告期利润分配预案及资本公积金转增股本预案与公司章程和分红管理办法等的相关规定一致</w:t>
      </w:r>
    </w:p>
    <w:p>
      <w:pPr>
        <w:spacing w:line="240" w:lineRule="auto" w:before="10"/>
        <w:rPr>
          <w:rFonts w:ascii="宋体" w:hAnsi="宋体" w:cs="宋体" w:eastAsia="宋体" w:hint="default"/>
          <w:sz w:val="17"/>
          <w:szCs w:val="17"/>
        </w:rPr>
      </w:pPr>
    </w:p>
    <w:p>
      <w:pPr>
        <w:pStyle w:val="BodyText"/>
        <w:spacing w:line="444" w:lineRule="auto" w:before="0"/>
        <w:ind w:right="2213"/>
        <w:jc w:val="left"/>
      </w:pPr>
      <w:r>
        <w:rPr/>
        <w:t>√ 是 □ 否 □</w:t>
      </w:r>
      <w:r>
        <w:rPr>
          <w:spacing w:val="-1"/>
        </w:rPr>
        <w:t> </w:t>
      </w:r>
      <w:r>
        <w:rPr/>
        <w:t>不适用</w:t>
      </w:r>
      <w:r>
        <w:rPr/>
        <w:t> 公司报告期利润分配预案及资本公积金转增股本预案符合公司章程等的相关规定。 本年度利润分配及资本公积金转增股本预案</w:t>
      </w:r>
    </w:p>
    <w:tbl>
      <w:tblPr>
        <w:tblW w:w="0" w:type="auto"/>
        <w:jc w:val="left"/>
        <w:tblInd w:w="145" w:type="dxa"/>
        <w:tblLayout w:type="fixed"/>
        <w:tblCellMar>
          <w:top w:w="0" w:type="dxa"/>
          <w:left w:w="0" w:type="dxa"/>
          <w:bottom w:w="0" w:type="dxa"/>
          <w:right w:w="0" w:type="dxa"/>
        </w:tblCellMar>
        <w:tblLook w:val="01E0"/>
      </w:tblPr>
      <w:tblGrid>
        <w:gridCol w:w="3701"/>
        <w:gridCol w:w="5861"/>
      </w:tblGrid>
      <w:tr>
        <w:trPr>
          <w:trHeight w:val="415" w:hRule="exact"/>
        </w:trPr>
        <w:tc>
          <w:tcPr>
            <w:tcW w:w="370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1"/>
              <w:ind w:left="6"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61" w:type="dxa"/>
            <w:tcBorders>
              <w:top w:val="single" w:sz="12" w:space="0" w:color="000000"/>
              <w:left w:val="single" w:sz="14" w:space="0" w:color="D2D2D2"/>
              <w:bottom w:val="single" w:sz="6" w:space="0" w:color="000000"/>
              <w:right w:val="single" w:sz="12"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0</w:t>
            </w:r>
          </w:p>
        </w:tc>
      </w:tr>
      <w:tr>
        <w:trPr>
          <w:trHeight w:val="407" w:hRule="exact"/>
        </w:trPr>
        <w:tc>
          <w:tcPr>
            <w:tcW w:w="37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0"/>
              <w:ind w:left="6"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0"/>
              <w:ind w:right="11"/>
              <w:jc w:val="right"/>
              <w:rPr>
                <w:rFonts w:ascii="宋体" w:hAnsi="宋体" w:cs="宋体" w:eastAsia="宋体" w:hint="default"/>
                <w:sz w:val="18"/>
                <w:szCs w:val="18"/>
              </w:rPr>
            </w:pPr>
            <w:r>
              <w:rPr>
                <w:rFonts w:ascii="宋体"/>
                <w:sz w:val="18"/>
              </w:rPr>
              <w:t>0.40</w:t>
            </w:r>
          </w:p>
        </w:tc>
      </w:tr>
      <w:tr>
        <w:trPr>
          <w:trHeight w:val="407" w:hRule="exact"/>
        </w:trPr>
        <w:tc>
          <w:tcPr>
            <w:tcW w:w="37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2"/>
              <w:ind w:left="6"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6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2"/>
              <w:ind w:right="11"/>
              <w:jc w:val="right"/>
              <w:rPr>
                <w:rFonts w:ascii="宋体" w:hAnsi="宋体" w:cs="宋体" w:eastAsia="宋体" w:hint="default"/>
                <w:sz w:val="18"/>
                <w:szCs w:val="18"/>
              </w:rPr>
            </w:pPr>
            <w:r>
              <w:rPr>
                <w:rFonts w:ascii="宋体"/>
                <w:sz w:val="18"/>
              </w:rPr>
              <w:t>0</w:t>
            </w:r>
          </w:p>
        </w:tc>
      </w:tr>
      <w:tr>
        <w:trPr>
          <w:trHeight w:val="407" w:hRule="exact"/>
        </w:trPr>
        <w:tc>
          <w:tcPr>
            <w:tcW w:w="37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2"/>
              <w:ind w:left="6"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2"/>
              <w:ind w:right="11"/>
              <w:jc w:val="right"/>
              <w:rPr>
                <w:rFonts w:ascii="宋体" w:hAnsi="宋体" w:cs="宋体" w:eastAsia="宋体" w:hint="default"/>
                <w:sz w:val="18"/>
                <w:szCs w:val="18"/>
              </w:rPr>
            </w:pPr>
            <w:r>
              <w:rPr>
                <w:rFonts w:ascii="宋体"/>
                <w:sz w:val="18"/>
              </w:rPr>
              <w:t>161,221,848</w:t>
            </w:r>
          </w:p>
        </w:tc>
      </w:tr>
      <w:tr>
        <w:trPr>
          <w:trHeight w:val="408" w:hRule="exact"/>
        </w:trPr>
        <w:tc>
          <w:tcPr>
            <w:tcW w:w="37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2"/>
              <w:ind w:left="6"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2"/>
              <w:ind w:right="11"/>
              <w:jc w:val="right"/>
              <w:rPr>
                <w:rFonts w:ascii="宋体" w:hAnsi="宋体" w:cs="宋体" w:eastAsia="宋体" w:hint="default"/>
                <w:sz w:val="18"/>
                <w:szCs w:val="18"/>
              </w:rPr>
            </w:pPr>
            <w:r>
              <w:rPr>
                <w:rFonts w:ascii="宋体"/>
                <w:sz w:val="18"/>
              </w:rPr>
              <w:t>6,448,873.92</w:t>
            </w:r>
          </w:p>
        </w:tc>
      </w:tr>
      <w:tr>
        <w:trPr>
          <w:trHeight w:val="407" w:hRule="exact"/>
        </w:trPr>
        <w:tc>
          <w:tcPr>
            <w:tcW w:w="37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1"/>
              <w:ind w:left="6"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131,809,340.18</w:t>
            </w:r>
          </w:p>
        </w:tc>
      </w:tr>
      <w:tr>
        <w:trPr>
          <w:trHeight w:val="407" w:hRule="exact"/>
        </w:trPr>
        <w:tc>
          <w:tcPr>
            <w:tcW w:w="37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40"/>
              <w:ind w:left="6"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1"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40"/>
              <w:ind w:right="11"/>
              <w:jc w:val="right"/>
              <w:rPr>
                <w:rFonts w:ascii="宋体" w:hAnsi="宋体" w:cs="宋体" w:eastAsia="宋体" w:hint="default"/>
                <w:sz w:val="18"/>
                <w:szCs w:val="18"/>
              </w:rPr>
            </w:pPr>
            <w:r>
              <w:rPr>
                <w:rFonts w:ascii="宋体"/>
                <w:sz w:val="18"/>
              </w:rPr>
              <w:t>100.00%</w:t>
            </w:r>
          </w:p>
        </w:tc>
      </w:tr>
      <w:tr>
        <w:trPr>
          <w:trHeight w:val="414" w:hRule="exact"/>
        </w:trPr>
        <w:tc>
          <w:tcPr>
            <w:tcW w:w="9562" w:type="dxa"/>
            <w:gridSpan w:val="2"/>
            <w:tcBorders>
              <w:top w:val="single" w:sz="6" w:space="0" w:color="000000"/>
              <w:left w:val="single" w:sz="12" w:space="0" w:color="000000"/>
              <w:bottom w:val="single" w:sz="12" w:space="0" w:color="000000"/>
              <w:right w:val="single" w:sz="12" w:space="0" w:color="000000"/>
            </w:tcBorders>
            <w:shd w:val="clear" w:color="auto" w:fill="D2D2D2"/>
          </w:tcPr>
          <w:p>
            <w:pPr>
              <w:pStyle w:val="TableParagraph"/>
              <w:spacing w:line="240" w:lineRule="auto" w:before="40"/>
              <w:ind w:right="4"/>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44"/>
        <w:ind w:left="0" w:right="220" w:firstLine="0"/>
        <w:jc w:val="right"/>
        <w:rPr>
          <w:rFonts w:ascii="宋体" w:hAnsi="宋体" w:cs="宋体" w:eastAsia="宋体" w:hint="default"/>
          <w:sz w:val="18"/>
          <w:szCs w:val="18"/>
        </w:rPr>
      </w:pPr>
      <w:r>
        <w:rPr/>
        <w:pict>
          <v:shape style="position:absolute;margin-left:55.919998pt;margin-top:-73.76828pt;width:480.7pt;height:110.1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9"/>
                  </w:tblGrid>
                  <w:tr>
                    <w:trPr>
                      <w:trHeight w:val="415" w:hRule="exact"/>
                    </w:trPr>
                    <w:tc>
                      <w:tcPr>
                        <w:tcW w:w="9569" w:type="dxa"/>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r>
                  <w:tr>
                    <w:trPr>
                      <w:trHeight w:val="406" w:hRule="exact"/>
                    </w:trPr>
                    <w:tc>
                      <w:tcPr>
                        <w:tcW w:w="9569" w:type="dxa"/>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51" w:hRule="exact"/>
                    </w:trPr>
                    <w:tc>
                      <w:tcPr>
                        <w:tcW w:w="9569"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pacing w:val="-3"/>
                            <w:sz w:val="18"/>
                            <w:szCs w:val="18"/>
                          </w:rPr>
                          <w:t>经众华会计师事务所（特殊普通合伙）审计，按母公司</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年度实现净利润</w:t>
                        </w:r>
                        <w:r>
                          <w:rPr>
                            <w:rFonts w:ascii="宋体" w:hAnsi="宋体" w:cs="宋体" w:eastAsia="宋体" w:hint="default"/>
                            <w:spacing w:val="-46"/>
                            <w:sz w:val="18"/>
                            <w:szCs w:val="18"/>
                          </w:rPr>
                          <w:t> </w:t>
                        </w:r>
                        <w:r>
                          <w:rPr>
                            <w:rFonts w:ascii="宋体" w:hAnsi="宋体" w:cs="宋体" w:eastAsia="宋体" w:hint="default"/>
                            <w:sz w:val="18"/>
                            <w:szCs w:val="18"/>
                          </w:rPr>
                          <w:t>26,946,090.41</w:t>
                        </w:r>
                        <w:r>
                          <w:rPr>
                            <w:rFonts w:ascii="宋体" w:hAnsi="宋体" w:cs="宋体" w:eastAsia="宋体" w:hint="default"/>
                            <w:spacing w:val="-46"/>
                            <w:sz w:val="18"/>
                            <w:szCs w:val="18"/>
                          </w:rPr>
                          <w:t> </w:t>
                        </w:r>
                        <w:r>
                          <w:rPr>
                            <w:rFonts w:ascii="宋体" w:hAnsi="宋体" w:cs="宋体" w:eastAsia="宋体" w:hint="default"/>
                            <w:sz w:val="18"/>
                            <w:szCs w:val="18"/>
                          </w:rPr>
                          <w:t>元提取</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的法定盈余公</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积金</w:t>
                        </w:r>
                        <w:r>
                          <w:rPr>
                            <w:rFonts w:ascii="宋体" w:hAnsi="宋体" w:cs="宋体" w:eastAsia="宋体" w:hint="default"/>
                            <w:spacing w:val="-24"/>
                            <w:sz w:val="18"/>
                            <w:szCs w:val="18"/>
                          </w:rPr>
                          <w:t> </w:t>
                        </w:r>
                        <w:r>
                          <w:rPr>
                            <w:rFonts w:ascii="宋体" w:hAnsi="宋体" w:cs="宋体" w:eastAsia="宋体" w:hint="default"/>
                            <w:sz w:val="18"/>
                            <w:szCs w:val="18"/>
                          </w:rPr>
                          <w:t>2,694,609.04</w:t>
                        </w:r>
                        <w:r>
                          <w:rPr>
                            <w:rFonts w:ascii="宋体" w:hAnsi="宋体" w:cs="宋体" w:eastAsia="宋体" w:hint="default"/>
                            <w:spacing w:val="-24"/>
                            <w:sz w:val="18"/>
                            <w:szCs w:val="18"/>
                          </w:rPr>
                          <w:t> </w:t>
                        </w:r>
                        <w:r>
                          <w:rPr>
                            <w:rFonts w:ascii="宋体" w:hAnsi="宋体" w:cs="宋体" w:eastAsia="宋体" w:hint="default"/>
                            <w:sz w:val="18"/>
                            <w:szCs w:val="18"/>
                          </w:rPr>
                          <w:t>元后，加上以前年度未分配利润</w:t>
                        </w:r>
                        <w:r>
                          <w:rPr>
                            <w:rFonts w:ascii="宋体" w:hAnsi="宋体" w:cs="宋体" w:eastAsia="宋体" w:hint="default"/>
                            <w:spacing w:val="-24"/>
                            <w:sz w:val="18"/>
                            <w:szCs w:val="18"/>
                          </w:rPr>
                          <w:t> </w:t>
                        </w:r>
                        <w:r>
                          <w:rPr>
                            <w:rFonts w:ascii="宋体" w:hAnsi="宋体" w:cs="宋体" w:eastAsia="宋体" w:hint="default"/>
                            <w:sz w:val="18"/>
                            <w:szCs w:val="18"/>
                          </w:rPr>
                          <w:t>107,557,858.81</w:t>
                        </w:r>
                        <w:r>
                          <w:rPr>
                            <w:rFonts w:ascii="宋体" w:hAnsi="宋体" w:cs="宋体" w:eastAsia="宋体" w:hint="default"/>
                            <w:spacing w:val="-24"/>
                            <w:sz w:val="18"/>
                            <w:szCs w:val="18"/>
                          </w:rPr>
                          <w:t> </w:t>
                        </w:r>
                        <w:r>
                          <w:rPr>
                            <w:rFonts w:ascii="宋体" w:hAnsi="宋体" w:cs="宋体" w:eastAsia="宋体" w:hint="default"/>
                            <w:sz w:val="18"/>
                            <w:szCs w:val="18"/>
                          </w:rPr>
                          <w:t>元，本年度实际可供分配的利润为</w:t>
                        </w:r>
                        <w:r>
                          <w:rPr>
                            <w:rFonts w:ascii="宋体" w:hAnsi="宋体" w:cs="宋体" w:eastAsia="宋体" w:hint="default"/>
                            <w:spacing w:val="-24"/>
                            <w:sz w:val="18"/>
                            <w:szCs w:val="18"/>
                          </w:rPr>
                          <w:t> </w:t>
                        </w:r>
                        <w:r>
                          <w:rPr>
                            <w:rFonts w:ascii="宋体" w:hAnsi="宋体" w:cs="宋体" w:eastAsia="宋体" w:hint="default"/>
                            <w:sz w:val="18"/>
                            <w:szCs w:val="18"/>
                          </w:rPr>
                          <w:t>131,809,340.18</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40"/>
                            <w:sz w:val="18"/>
                            <w:szCs w:val="18"/>
                          </w:rPr>
                          <w:t>。</w:t>
                        </w:r>
                        <w:r>
                          <w:rPr>
                            <w:rFonts w:ascii="宋体" w:hAnsi="宋体" w:cs="宋体" w:eastAsia="宋体" w:hint="default"/>
                            <w:sz w:val="18"/>
                            <w:szCs w:val="18"/>
                          </w:rPr>
                          <w:t>公司拟以</w:t>
                        </w:r>
                        <w:r>
                          <w:rPr>
                            <w:rFonts w:ascii="宋体" w:hAnsi="宋体" w:cs="宋体" w:eastAsia="宋体" w:hint="default"/>
                            <w:spacing w:val="-46"/>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014</w:t>
                        </w:r>
                        <w:r>
                          <w:rPr>
                            <w:rFonts w:ascii="宋体" w:hAnsi="宋体" w:cs="宋体" w:eastAsia="宋体" w:hint="default"/>
                            <w:spacing w:val="-46"/>
                            <w:sz w:val="18"/>
                            <w:szCs w:val="18"/>
                          </w:rPr>
                          <w:t> </w:t>
                        </w:r>
                        <w:r>
                          <w:rPr>
                            <w:rFonts w:ascii="宋体" w:hAnsi="宋体" w:cs="宋体" w:eastAsia="宋体" w:hint="default"/>
                            <w:sz w:val="18"/>
                            <w:szCs w:val="18"/>
                          </w:rPr>
                          <w:t>年度报告披露日公司总股本</w:t>
                        </w:r>
                        <w:r>
                          <w:rPr>
                            <w:rFonts w:ascii="宋体" w:hAnsi="宋体" w:cs="宋体" w:eastAsia="宋体" w:hint="default"/>
                            <w:spacing w:val="-46"/>
                            <w:sz w:val="18"/>
                            <w:szCs w:val="18"/>
                          </w:rPr>
                          <w:t> </w:t>
                        </w:r>
                        <w:r>
                          <w:rPr>
                            <w:rFonts w:ascii="宋体" w:hAnsi="宋体" w:cs="宋体" w:eastAsia="宋体" w:hint="default"/>
                            <w:sz w:val="18"/>
                            <w:szCs w:val="18"/>
                          </w:rPr>
                          <w:t>161,221,848</w:t>
                        </w:r>
                        <w:r>
                          <w:rPr>
                            <w:rFonts w:ascii="宋体" w:hAnsi="宋体" w:cs="宋体" w:eastAsia="宋体" w:hint="default"/>
                            <w:spacing w:val="-46"/>
                            <w:sz w:val="18"/>
                            <w:szCs w:val="18"/>
                          </w:rPr>
                          <w:t> </w:t>
                        </w:r>
                        <w:r>
                          <w:rPr>
                            <w:rFonts w:ascii="宋体" w:hAnsi="宋体" w:cs="宋体" w:eastAsia="宋体" w:hint="default"/>
                            <w:sz w:val="18"/>
                            <w:szCs w:val="18"/>
                          </w:rPr>
                          <w:t>股为基数</w:t>
                        </w:r>
                        <w:r>
                          <w:rPr>
                            <w:rFonts w:ascii="宋体" w:hAnsi="宋体" w:cs="宋体" w:eastAsia="宋体" w:hint="default"/>
                            <w:spacing w:val="-40"/>
                            <w:sz w:val="18"/>
                            <w:szCs w:val="18"/>
                          </w:rPr>
                          <w:t>，</w:t>
                        </w:r>
                        <w:r>
                          <w:rPr>
                            <w:rFonts w:ascii="宋体" w:hAnsi="宋体" w:cs="宋体" w:eastAsia="宋体" w:hint="default"/>
                            <w:spacing w:val="1"/>
                            <w:sz w:val="18"/>
                            <w:szCs w:val="18"/>
                          </w:rPr>
                          <w:t>向</w:t>
                        </w:r>
                        <w:r>
                          <w:rPr>
                            <w:rFonts w:ascii="宋体" w:hAnsi="宋体" w:cs="宋体" w:eastAsia="宋体" w:hint="default"/>
                            <w:sz w:val="18"/>
                            <w:szCs w:val="18"/>
                          </w:rPr>
                          <w:t>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宋体" w:hAnsi="宋体" w:cs="宋体" w:eastAsia="宋体" w:hint="default"/>
                            <w:sz w:val="18"/>
                            <w:szCs w:val="18"/>
                          </w:rPr>
                          <w:t>0.40</w:t>
                        </w:r>
                        <w:r>
                          <w:rPr>
                            <w:rFonts w:ascii="宋体" w:hAnsi="宋体" w:cs="宋体" w:eastAsia="宋体" w:hint="default"/>
                            <w:spacing w:val="-46"/>
                            <w:sz w:val="18"/>
                            <w:szCs w:val="18"/>
                          </w:rPr>
                          <w:t> </w:t>
                        </w:r>
                        <w:r>
                          <w:rPr>
                            <w:rFonts w:ascii="宋体" w:hAnsi="宋体" w:cs="宋体" w:eastAsia="宋体" w:hint="default"/>
                            <w:spacing w:val="-40"/>
                            <w:sz w:val="18"/>
                            <w:szCs w:val="18"/>
                          </w:rPr>
                          <w:t>元</w:t>
                        </w:r>
                        <w:r>
                          <w:rPr>
                            <w:rFonts w:ascii="宋体" w:hAnsi="宋体" w:cs="宋体" w:eastAsia="宋体" w:hint="default"/>
                            <w:sz w:val="18"/>
                            <w:szCs w:val="18"/>
                          </w:rPr>
                          <w:t>（</w:t>
                        </w:r>
                        <w:r>
                          <w:rPr>
                            <w:rFonts w:ascii="宋体" w:hAnsi="宋体" w:cs="宋体" w:eastAsia="宋体" w:hint="default"/>
                            <w:spacing w:val="1"/>
                            <w:sz w:val="18"/>
                            <w:szCs w:val="18"/>
                          </w:rPr>
                          <w:t>含</w:t>
                        </w: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共计派发现金红利</w:t>
                        </w:r>
                        <w:r>
                          <w:rPr>
                            <w:rFonts w:ascii="宋体" w:hAnsi="宋体" w:cs="宋体" w:eastAsia="宋体" w:hint="default"/>
                            <w:spacing w:val="-46"/>
                            <w:sz w:val="18"/>
                            <w:szCs w:val="18"/>
                          </w:rPr>
                          <w:t> </w:t>
                        </w:r>
                        <w:r>
                          <w:rPr>
                            <w:rFonts w:ascii="宋体" w:hAnsi="宋体" w:cs="宋体" w:eastAsia="宋体" w:hint="default"/>
                            <w:sz w:val="18"/>
                            <w:szCs w:val="18"/>
                          </w:rPr>
                          <w:t>6,448,873.92</w:t>
                        </w:r>
                        <w:r>
                          <w:rPr>
                            <w:rFonts w:ascii="宋体" w:hAnsi="宋体" w:cs="宋体" w:eastAsia="宋体" w:hint="default"/>
                            <w:spacing w:val="-46"/>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；剩余未分配利润</w:t>
                        </w:r>
                        <w:r>
                          <w:rPr>
                            <w:rFonts w:ascii="宋体" w:hAnsi="宋体" w:cs="宋体" w:eastAsia="宋体" w:hint="default"/>
                            <w:spacing w:val="-46"/>
                            <w:sz w:val="18"/>
                            <w:szCs w:val="18"/>
                          </w:rPr>
                          <w:t> </w:t>
                        </w:r>
                        <w:r>
                          <w:rPr>
                            <w:rFonts w:ascii="宋体" w:hAnsi="宋体" w:cs="宋体" w:eastAsia="宋体" w:hint="default"/>
                            <w:sz w:val="18"/>
                            <w:szCs w:val="18"/>
                          </w:rPr>
                          <w:t>125,360,466.26</w:t>
                        </w:r>
                        <w:r>
                          <w:rPr>
                            <w:rFonts w:ascii="宋体" w:hAnsi="宋体" w:cs="宋体" w:eastAsia="宋体" w:hint="default"/>
                            <w:spacing w:val="-46"/>
                            <w:sz w:val="18"/>
                            <w:szCs w:val="18"/>
                          </w:rPr>
                          <w:t> </w:t>
                        </w:r>
                        <w:r>
                          <w:rPr>
                            <w:rFonts w:ascii="宋体" w:hAnsi="宋体" w:cs="宋体" w:eastAsia="宋体" w:hint="default"/>
                            <w:sz w:val="18"/>
                            <w:szCs w:val="18"/>
                          </w:rPr>
                          <w:t>元，结转至下年度。</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08" w:lineRule="auto" w:before="35"/>
        <w:ind w:left="526" w:right="102" w:hanging="372"/>
        <w:jc w:val="left"/>
      </w:pPr>
      <w:r>
        <w:rPr/>
        <w:t>公司近</w:t>
      </w:r>
      <w:r>
        <w:rPr>
          <w:spacing w:val="-53"/>
        </w:rPr>
        <w:t> </w:t>
      </w:r>
      <w:r>
        <w:rPr>
          <w:rFonts w:ascii="宋体" w:hAnsi="宋体" w:cs="宋体" w:eastAsia="宋体" w:hint="default"/>
        </w:rPr>
        <w:t>3</w:t>
      </w:r>
      <w:r>
        <w:rPr>
          <w:rFonts w:ascii="宋体" w:hAnsi="宋体" w:cs="宋体" w:eastAsia="宋体" w:hint="default"/>
          <w:spacing w:val="-53"/>
        </w:rPr>
        <w:t> </w:t>
      </w:r>
      <w:r>
        <w:rPr/>
        <w:t>年（含报告期）的利润分配方案及资本公积金转增股本方案情况 </w:t>
      </w:r>
      <w:r>
        <w:rPr>
          <w:rFonts w:ascii="宋体" w:hAnsi="宋体" w:cs="宋体" w:eastAsia="宋体" w:hint="default"/>
        </w:rPr>
        <w:t>1</w:t>
      </w:r>
      <w:r>
        <w:rPr/>
        <w:t>、</w:t>
      </w:r>
      <w:r>
        <w:rPr>
          <w:rFonts w:ascii="宋体" w:hAnsi="宋体" w:cs="宋体" w:eastAsia="宋体" w:hint="default"/>
        </w:rPr>
        <w:t>2014</w:t>
      </w:r>
      <w:r>
        <w:rPr/>
        <w:t>年度利润分配预案：公司以</w:t>
      </w:r>
      <w:r>
        <w:rPr>
          <w:rFonts w:ascii="宋体" w:hAnsi="宋体" w:cs="宋体" w:eastAsia="宋体" w:hint="default"/>
        </w:rPr>
        <w:t>2014</w:t>
      </w:r>
      <w:r>
        <w:rPr/>
        <w:t>年报披露日总股本</w:t>
      </w:r>
      <w:r>
        <w:rPr>
          <w:rFonts w:ascii="宋体" w:hAnsi="宋体" w:cs="宋体" w:eastAsia="宋体" w:hint="default"/>
        </w:rPr>
        <w:t>161,221,848</w:t>
      </w:r>
      <w:r>
        <w:rPr/>
        <w:t>股为基数，向全体股东每</w:t>
      </w:r>
      <w:r>
        <w:rPr>
          <w:rFonts w:ascii="宋体" w:hAnsi="宋体" w:cs="宋体" w:eastAsia="宋体" w:hint="default"/>
        </w:rPr>
        <w:t>10</w:t>
      </w:r>
      <w:r>
        <w:rPr/>
        <w:t>股</w:t>
      </w:r>
    </w:p>
    <w:p>
      <w:pPr>
        <w:pStyle w:val="BodyText"/>
        <w:spacing w:line="408" w:lineRule="auto"/>
        <w:ind w:left="526" w:right="102" w:hanging="372"/>
        <w:jc w:val="left"/>
      </w:pPr>
      <w:r>
        <w:rPr/>
        <w:t>派发现金红利</w:t>
      </w:r>
      <w:r>
        <w:rPr>
          <w:rFonts w:ascii="宋体" w:hAnsi="宋体" w:cs="宋体" w:eastAsia="宋体" w:hint="default"/>
        </w:rPr>
        <w:t>0.40</w:t>
      </w:r>
      <w:r>
        <w:rPr/>
        <w:t>元（含税），共计派发现金红利</w:t>
      </w:r>
      <w:r>
        <w:rPr>
          <w:rFonts w:ascii="宋体" w:hAnsi="宋体" w:cs="宋体" w:eastAsia="宋体" w:hint="default"/>
        </w:rPr>
        <w:t>6,448,873.92</w:t>
      </w:r>
      <w:r>
        <w:rPr/>
        <w:t>元（含税）。 </w:t>
      </w:r>
      <w:r>
        <w:rPr>
          <w:rFonts w:ascii="宋体" w:hAnsi="宋体" w:cs="宋体" w:eastAsia="宋体" w:hint="default"/>
        </w:rPr>
        <w:t>2</w:t>
      </w:r>
      <w:r>
        <w:rPr/>
        <w:t>、</w:t>
      </w:r>
      <w:r>
        <w:rPr>
          <w:rFonts w:ascii="宋体" w:hAnsi="宋体" w:cs="宋体" w:eastAsia="宋体" w:hint="default"/>
        </w:rPr>
        <w:t>2013</w:t>
      </w:r>
      <w:r>
        <w:rPr/>
        <w:t>年度利润分配方案：公司以</w:t>
      </w:r>
      <w:r>
        <w:rPr>
          <w:rFonts w:ascii="宋体" w:hAnsi="宋体" w:cs="宋体" w:eastAsia="宋体" w:hint="default"/>
        </w:rPr>
        <w:t>2013</w:t>
      </w:r>
      <w:r>
        <w:rPr/>
        <w:t>年末总股本</w:t>
      </w:r>
      <w:r>
        <w:rPr>
          <w:rFonts w:ascii="宋体" w:hAnsi="宋体" w:cs="宋体" w:eastAsia="宋体" w:hint="default"/>
        </w:rPr>
        <w:t>130,005,000</w:t>
      </w:r>
      <w:r>
        <w:rPr/>
        <w:t>股为基数，向全体股东每</w:t>
      </w:r>
      <w:r>
        <w:rPr>
          <w:rFonts w:ascii="宋体" w:hAnsi="宋体" w:cs="宋体" w:eastAsia="宋体" w:hint="default"/>
        </w:rPr>
        <w:t>10</w:t>
      </w:r>
      <w:r>
        <w:rPr/>
        <w:t>股派发现</w:t>
      </w:r>
    </w:p>
    <w:p>
      <w:pPr>
        <w:pStyle w:val="BodyText"/>
        <w:spacing w:line="408" w:lineRule="auto"/>
        <w:ind w:right="102"/>
        <w:jc w:val="left"/>
      </w:pPr>
      <w:r>
        <w:rPr/>
        <w:t>金红利</w:t>
      </w:r>
      <w:r>
        <w:rPr>
          <w:rFonts w:ascii="宋体" w:hAnsi="宋体" w:cs="宋体" w:eastAsia="宋体" w:hint="default"/>
        </w:rPr>
        <w:t>1.00</w:t>
      </w:r>
      <w:r>
        <w:rPr/>
        <w:t>元（含税），共计派发现金红利</w:t>
      </w:r>
      <w:r>
        <w:rPr>
          <w:rFonts w:ascii="宋体" w:hAnsi="宋体" w:cs="宋体" w:eastAsia="宋体" w:hint="default"/>
        </w:rPr>
        <w:t>13,000,500</w:t>
      </w:r>
      <w:r>
        <w:rPr/>
        <w:t>元（含税）。上述利润分配方案于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30</w:t>
      </w:r>
      <w:r>
        <w:rPr/>
        <w:t>日</w:t>
      </w:r>
      <w:r>
        <w:rPr>
          <w:spacing w:val="-26"/>
        </w:rPr>
        <w:t> </w:t>
      </w:r>
      <w:r>
        <w:rPr/>
        <w:t>实施完毕。</w:t>
      </w:r>
    </w:p>
    <w:p>
      <w:pPr>
        <w:pStyle w:val="BodyText"/>
        <w:spacing w:line="408" w:lineRule="auto"/>
        <w:ind w:right="210" w:firstLine="372"/>
        <w:jc w:val="both"/>
      </w:pPr>
      <w:r>
        <w:rPr>
          <w:rFonts w:ascii="宋体" w:hAnsi="宋体" w:cs="宋体" w:eastAsia="宋体" w:hint="default"/>
          <w:spacing w:val="-2"/>
        </w:rPr>
        <w:t>3</w:t>
      </w:r>
      <w:r>
        <w:rPr>
          <w:spacing w:val="-2"/>
        </w:rPr>
        <w:t>、</w:t>
      </w:r>
      <w:r>
        <w:rPr>
          <w:rFonts w:ascii="宋体" w:hAnsi="宋体" w:cs="宋体" w:eastAsia="宋体" w:hint="default"/>
          <w:spacing w:val="-2"/>
        </w:rPr>
        <w:t>2012</w:t>
      </w:r>
      <w:r>
        <w:rPr>
          <w:spacing w:val="-2"/>
        </w:rPr>
        <w:t>年度利润分配方案：以公司</w:t>
      </w:r>
      <w:r>
        <w:rPr>
          <w:rFonts w:ascii="宋体" w:hAnsi="宋体" w:cs="宋体" w:eastAsia="宋体" w:hint="default"/>
          <w:spacing w:val="-2"/>
        </w:rPr>
        <w:t>2012</w:t>
      </w:r>
      <w:r>
        <w:rPr>
          <w:spacing w:val="-2"/>
        </w:rPr>
        <w:t>年末总股本</w:t>
      </w:r>
      <w:r>
        <w:rPr>
          <w:rFonts w:ascii="宋体" w:hAnsi="宋体" w:cs="宋体" w:eastAsia="宋体" w:hint="default"/>
          <w:spacing w:val="-2"/>
        </w:rPr>
        <w:t>86,670,000</w:t>
      </w:r>
      <w:r>
        <w:rPr>
          <w:spacing w:val="-2"/>
        </w:rPr>
        <w:t>股为基数，向全体股东每</w:t>
      </w:r>
      <w:r>
        <w:rPr>
          <w:rFonts w:ascii="宋体" w:hAnsi="宋体" w:cs="宋体" w:eastAsia="宋体" w:hint="default"/>
          <w:spacing w:val="-2"/>
        </w:rPr>
        <w:t>10</w:t>
      </w:r>
      <w:r>
        <w:rPr>
          <w:spacing w:val="-2"/>
        </w:rPr>
        <w:t>股派发现金</w:t>
      </w:r>
      <w:r>
        <w:rPr/>
        <w:t> 红利</w:t>
      </w:r>
      <w:r>
        <w:rPr>
          <w:rFonts w:ascii="宋体" w:hAnsi="宋体" w:cs="宋体" w:eastAsia="宋体" w:hint="default"/>
        </w:rPr>
        <w:t>3.00</w:t>
      </w:r>
      <w:r>
        <w:rPr/>
        <w:t>元（含税），共计派发现金红利</w:t>
      </w:r>
      <w:r>
        <w:rPr>
          <w:rFonts w:ascii="宋体" w:hAnsi="宋体" w:cs="宋体" w:eastAsia="宋体" w:hint="default"/>
        </w:rPr>
        <w:t>26,001,000.00</w:t>
      </w:r>
      <w:r>
        <w:rPr/>
        <w:t>元；同时进行资本公积金转增股本，以公司</w:t>
      </w:r>
      <w:r>
        <w:rPr>
          <w:rFonts w:ascii="宋体" w:hAnsi="宋体" w:cs="宋体" w:eastAsia="宋体" w:hint="default"/>
        </w:rPr>
        <w:t>2012</w:t>
      </w:r>
      <w:r>
        <w:rPr>
          <w:rFonts w:ascii="宋体" w:hAnsi="宋体" w:cs="宋体" w:eastAsia="宋体" w:hint="default"/>
          <w:spacing w:val="-28"/>
        </w:rPr>
        <w:t> </w:t>
      </w:r>
      <w:r>
        <w:rPr>
          <w:rFonts w:ascii="宋体" w:hAnsi="宋体" w:cs="宋体" w:eastAsia="宋体" w:hint="default"/>
          <w:spacing w:val="-28"/>
        </w:rPr>
      </w:r>
      <w:r>
        <w:rPr/>
        <w:t>年末总股本</w:t>
      </w:r>
      <w:r>
        <w:rPr>
          <w:rFonts w:ascii="宋体" w:hAnsi="宋体" w:cs="宋体" w:eastAsia="宋体" w:hint="default"/>
        </w:rPr>
        <w:t>86,670,000</w:t>
      </w:r>
      <w:r>
        <w:rPr/>
        <w:t>股为基数，向全体股东每</w:t>
      </w:r>
      <w:r>
        <w:rPr>
          <w:rFonts w:ascii="宋体" w:hAnsi="宋体" w:cs="宋体" w:eastAsia="宋体" w:hint="default"/>
        </w:rPr>
        <w:t>10</w:t>
      </w:r>
      <w:r>
        <w:rPr/>
        <w:t>股转增</w:t>
      </w:r>
      <w:r>
        <w:rPr>
          <w:rFonts w:ascii="宋体" w:hAnsi="宋体" w:cs="宋体" w:eastAsia="宋体" w:hint="default"/>
        </w:rPr>
        <w:t>5</w:t>
      </w:r>
      <w:r>
        <w:rPr/>
        <w:t>股，共计转增</w:t>
      </w:r>
      <w:r>
        <w:rPr>
          <w:rFonts w:ascii="宋体" w:hAnsi="宋体" w:cs="宋体" w:eastAsia="宋体" w:hint="default"/>
        </w:rPr>
        <w:t>43,335,000</w:t>
      </w:r>
      <w:r>
        <w:rPr/>
        <w:t>股。上述利润分配方</w:t>
      </w:r>
      <w:r>
        <w:rPr>
          <w:spacing w:val="-33"/>
        </w:rPr>
        <w:t> </w:t>
      </w:r>
      <w:r>
        <w:rPr>
          <w:spacing w:val="-33"/>
        </w:rPr>
      </w:r>
      <w:r>
        <w:rPr/>
        <w:t>案于</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27</w:t>
      </w:r>
      <w:r>
        <w:rPr/>
        <w:t>日实施完毕。</w:t>
      </w:r>
    </w:p>
    <w:p>
      <w:pPr>
        <w:pStyle w:val="BodyText"/>
        <w:spacing w:line="240" w:lineRule="auto" w:before="87"/>
        <w:ind w:left="154" w:right="102"/>
        <w:jc w:val="left"/>
      </w:pPr>
      <w:r>
        <w:rPr/>
        <w:t>公司近三年现金分红情况表</w:t>
      </w:r>
    </w:p>
    <w:p>
      <w:pPr>
        <w:spacing w:line="240" w:lineRule="auto" w:before="11"/>
        <w:rPr>
          <w:rFonts w:ascii="宋体" w:hAnsi="宋体" w:cs="宋体" w:eastAsia="宋体" w:hint="default"/>
          <w:sz w:val="13"/>
          <w:szCs w:val="13"/>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376"/>
        <w:gridCol w:w="2155"/>
        <w:gridCol w:w="2410"/>
        <w:gridCol w:w="2622"/>
      </w:tblGrid>
      <w:tr>
        <w:trPr>
          <w:trHeight w:val="171" w:hRule="exact"/>
        </w:trPr>
        <w:tc>
          <w:tcPr>
            <w:tcW w:w="237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2155" w:type="dxa"/>
            <w:tcBorders>
              <w:top w:val="single" w:sz="12" w:space="0" w:color="000000"/>
              <w:left w:val="single" w:sz="6" w:space="0" w:color="000000"/>
              <w:bottom w:val="nil" w:sz="6" w:space="0" w:color="auto"/>
              <w:right w:val="single" w:sz="6" w:space="0" w:color="000000"/>
            </w:tcBorders>
            <w:shd w:val="clear" w:color="auto" w:fill="D2D2D2"/>
          </w:tcPr>
          <w:p>
            <w:pPr/>
          </w:p>
        </w:tc>
        <w:tc>
          <w:tcPr>
            <w:tcW w:w="2410"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117" w:right="25" w:hanging="90"/>
              <w:jc w:val="left"/>
              <w:rPr>
                <w:rFonts w:ascii="宋体" w:hAnsi="宋体" w:cs="宋体" w:eastAsia="宋体" w:hint="default"/>
                <w:sz w:val="18"/>
                <w:szCs w:val="18"/>
              </w:rPr>
            </w:pPr>
            <w:r>
              <w:rPr>
                <w:rFonts w:ascii="宋体" w:hAnsi="宋体" w:cs="宋体" w:eastAsia="宋体" w:hint="default"/>
                <w:sz w:val="18"/>
                <w:szCs w:val="18"/>
              </w:rPr>
              <w:t>分红年度合并报表中归属于上 市公司普通股股东的净利润</w:t>
            </w:r>
          </w:p>
        </w:tc>
        <w:tc>
          <w:tcPr>
            <w:tcW w:w="2622" w:type="dxa"/>
            <w:vMerge w:val="restart"/>
            <w:tcBorders>
              <w:top w:val="single" w:sz="12" w:space="0" w:color="000000"/>
              <w:left w:val="single" w:sz="6" w:space="0" w:color="000000"/>
              <w:right w:val="single" w:sz="12" w:space="0" w:color="000000"/>
            </w:tcBorders>
            <w:shd w:val="clear" w:color="auto" w:fill="D2D2D2"/>
          </w:tcPr>
          <w:p>
            <w:pPr>
              <w:pStyle w:val="TableParagraph"/>
              <w:spacing w:line="316" w:lineRule="auto" w:before="51"/>
              <w:ind w:left="314" w:right="32" w:hanging="270"/>
              <w:jc w:val="left"/>
              <w:rPr>
                <w:rFonts w:ascii="宋体" w:hAnsi="宋体" w:cs="宋体" w:eastAsia="宋体" w:hint="default"/>
                <w:sz w:val="18"/>
                <w:szCs w:val="18"/>
              </w:rPr>
            </w:pPr>
            <w:r>
              <w:rPr>
                <w:rFonts w:ascii="宋体" w:hAnsi="宋体" w:cs="宋体" w:eastAsia="宋体" w:hint="default"/>
                <w:sz w:val="18"/>
                <w:szCs w:val="18"/>
              </w:rPr>
              <w:t>占合并报表中归属于上市公司普 通股股东的净利润的比率</w:t>
            </w:r>
          </w:p>
        </w:tc>
      </w:tr>
      <w:tr>
        <w:trPr>
          <w:trHeight w:val="392" w:hRule="exact"/>
        </w:trPr>
        <w:tc>
          <w:tcPr>
            <w:tcW w:w="2376"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left="81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15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410" w:type="dxa"/>
            <w:vMerge/>
            <w:tcBorders>
              <w:left w:val="single" w:sz="6" w:space="0" w:color="000000"/>
              <w:right w:val="single" w:sz="6" w:space="0" w:color="000000"/>
            </w:tcBorders>
            <w:shd w:val="clear" w:color="auto" w:fill="D2D2D2"/>
          </w:tcPr>
          <w:p>
            <w:pPr/>
          </w:p>
        </w:tc>
        <w:tc>
          <w:tcPr>
            <w:tcW w:w="2622" w:type="dxa"/>
            <w:vMerge/>
            <w:tcBorders>
              <w:left w:val="single" w:sz="6" w:space="0" w:color="000000"/>
              <w:right w:val="single" w:sz="12" w:space="0" w:color="000000"/>
            </w:tcBorders>
            <w:shd w:val="clear" w:color="auto" w:fill="D2D2D2"/>
          </w:tcPr>
          <w:p>
            <w:pPr/>
          </w:p>
        </w:tc>
      </w:tr>
      <w:tr>
        <w:trPr>
          <w:trHeight w:val="163" w:hRule="exact"/>
        </w:trPr>
        <w:tc>
          <w:tcPr>
            <w:tcW w:w="2376" w:type="dxa"/>
            <w:tcBorders>
              <w:top w:val="nil" w:sz="6" w:space="0" w:color="auto"/>
              <w:left w:val="single" w:sz="12" w:space="0" w:color="000000"/>
              <w:bottom w:val="single" w:sz="6" w:space="0" w:color="000000"/>
              <w:right w:val="single" w:sz="6" w:space="0" w:color="000000"/>
            </w:tcBorders>
            <w:shd w:val="clear" w:color="auto" w:fill="D2D2D2"/>
          </w:tcPr>
          <w:p>
            <w:pPr/>
          </w:p>
        </w:tc>
        <w:tc>
          <w:tcPr>
            <w:tcW w:w="2155" w:type="dxa"/>
            <w:tcBorders>
              <w:top w:val="nil" w:sz="6" w:space="0" w:color="auto"/>
              <w:left w:val="single" w:sz="6" w:space="0" w:color="000000"/>
              <w:bottom w:val="single" w:sz="6" w:space="0" w:color="000000"/>
              <w:right w:val="single" w:sz="6" w:space="0" w:color="000000"/>
            </w:tcBorders>
            <w:shd w:val="clear" w:color="auto" w:fill="D2D2D2"/>
          </w:tcPr>
          <w:p>
            <w:pPr/>
          </w:p>
        </w:tc>
        <w:tc>
          <w:tcPr>
            <w:tcW w:w="2410" w:type="dxa"/>
            <w:vMerge/>
            <w:tcBorders>
              <w:left w:val="single" w:sz="6" w:space="0" w:color="000000"/>
              <w:bottom w:val="single" w:sz="6" w:space="0" w:color="000000"/>
              <w:right w:val="single" w:sz="6" w:space="0" w:color="000000"/>
            </w:tcBorders>
            <w:shd w:val="clear" w:color="auto" w:fill="D2D2D2"/>
          </w:tcPr>
          <w:p>
            <w:pPr/>
          </w:p>
        </w:tc>
        <w:tc>
          <w:tcPr>
            <w:tcW w:w="2622"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237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88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55"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6,448,873.92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35,930,952.54</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17.95%</w:t>
            </w:r>
          </w:p>
        </w:tc>
      </w:tr>
      <w:tr>
        <w:trPr>
          <w:trHeight w:val="407" w:hRule="exact"/>
        </w:trPr>
        <w:tc>
          <w:tcPr>
            <w:tcW w:w="237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8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55"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13,000,500.00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47,336,805.85</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27.46%</w:t>
            </w:r>
          </w:p>
        </w:tc>
      </w:tr>
      <w:tr>
        <w:trPr>
          <w:trHeight w:val="415" w:hRule="exact"/>
        </w:trPr>
        <w:tc>
          <w:tcPr>
            <w:tcW w:w="237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88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55"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26,001,000.00</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72,656,085.71</w:t>
            </w:r>
          </w:p>
        </w:tc>
        <w:tc>
          <w:tcPr>
            <w:tcW w:w="26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35.79%</w:t>
            </w:r>
          </w:p>
        </w:tc>
      </w:tr>
    </w:tbl>
    <w:p>
      <w:pPr>
        <w:spacing w:line="240" w:lineRule="auto" w:before="3"/>
        <w:rPr>
          <w:rFonts w:ascii="宋体" w:hAnsi="宋体" w:cs="宋体" w:eastAsia="宋体" w:hint="default"/>
          <w:sz w:val="5"/>
          <w:szCs w:val="5"/>
        </w:rPr>
      </w:pPr>
    </w:p>
    <w:p>
      <w:pPr>
        <w:pStyle w:val="BodyText"/>
        <w:spacing w:line="240" w:lineRule="auto" w:before="35"/>
        <w:ind w:left="154" w:right="102"/>
        <w:jc w:val="left"/>
      </w:pPr>
      <w:r>
        <w:rPr/>
        <w:t>公司报告期内盈利且母公司未分配利润为正但未提出现金红利分配预案</w:t>
      </w:r>
    </w:p>
    <w:p>
      <w:pPr>
        <w:spacing w:line="240" w:lineRule="auto" w:before="12"/>
        <w:rPr>
          <w:rFonts w:ascii="宋体" w:hAnsi="宋体" w:cs="宋体" w:eastAsia="宋体" w:hint="default"/>
          <w:sz w:val="17"/>
          <w:szCs w:val="17"/>
        </w:rPr>
      </w:pPr>
    </w:p>
    <w:p>
      <w:pPr>
        <w:pStyle w:val="BodyText"/>
        <w:spacing w:line="240" w:lineRule="auto" w:before="0"/>
        <w:ind w:right="102"/>
        <w:jc w:val="left"/>
      </w:pPr>
      <w:r>
        <w:rPr/>
        <w:t>□ 适用 √</w:t>
      </w:r>
      <w:r>
        <w:rPr>
          <w:spacing w:val="-2"/>
        </w:rPr>
        <w:t> </w:t>
      </w:r>
      <w:r>
        <w:rPr/>
        <w:t>不适用</w:t>
      </w:r>
    </w:p>
    <w:p>
      <w:pPr>
        <w:spacing w:line="240" w:lineRule="auto" w:before="11"/>
        <w:rPr>
          <w:rFonts w:ascii="宋体" w:hAnsi="宋体" w:cs="宋体" w:eastAsia="宋体" w:hint="default"/>
          <w:sz w:val="29"/>
          <w:szCs w:val="29"/>
        </w:rPr>
      </w:pPr>
    </w:p>
    <w:p>
      <w:pPr>
        <w:pStyle w:val="Heading2"/>
        <w:spacing w:line="240" w:lineRule="auto" w:before="0"/>
        <w:ind w:left="154" w:right="102"/>
        <w:jc w:val="left"/>
        <w:rPr>
          <w:b w:val="0"/>
          <w:bCs w:val="0"/>
        </w:rPr>
      </w:pPr>
      <w:bookmarkStart w:name="六、内幕信息知情人管理制度的建立和执行情况" w:id="33"/>
      <w:bookmarkEnd w:id="33"/>
      <w:r>
        <w:rPr>
          <w:b w:val="0"/>
          <w:bCs w:val="0"/>
        </w:rPr>
      </w:r>
      <w:r>
        <w:rPr/>
        <w:t>六、内幕信息知情人管理制度的建立和执行情况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8" w:firstLine="420"/>
        <w:jc w:val="both"/>
      </w:pPr>
      <w:r>
        <w:rPr/>
        <w:t>报告期内，公司严格按照《内幕信息知情人登记管理制度》的要求，加强对内幕信息知情人的管理， 落实信息披露的归口管理责任，完善信息流程和控制机制，严格执行信息外报流程的审批程序，所有信息 必须经公司董事会秘书批准后方可对外报送，要求接收人员填写保密承诺，董事会办公室将外部单位相关 人员作为内幕知情人登记备查。在公司进行收购、重大资产重组等重大事项时，严格按照相关规定制作重 </w:t>
      </w:r>
      <w:r>
        <w:rPr>
          <w:spacing w:val="-3"/>
        </w:rPr>
        <w:t>大事项进程备忘录，如实、完整、及时的记录筹划决策过程中各个关键点的时间、参与筹划决策人员名单、</w:t>
      </w:r>
    </w:p>
    <w:p>
      <w:pPr>
        <w:spacing w:after="0" w:line="408" w:lineRule="auto"/>
        <w:jc w:val="both"/>
        <w:sectPr>
          <w:pgSz w:w="11910" w:h="16840"/>
          <w:pgMar w:header="747" w:footer="1000" w:top="1040" w:bottom="1180" w:left="980" w:right="920"/>
        </w:sectPr>
      </w:pPr>
    </w:p>
    <w:p>
      <w:pPr>
        <w:spacing w:line="240" w:lineRule="auto" w:before="0"/>
        <w:rPr>
          <w:rFonts w:ascii="宋体" w:hAnsi="宋体" w:cs="宋体" w:eastAsia="宋体" w:hint="default"/>
          <w:sz w:val="20"/>
          <w:szCs w:val="20"/>
        </w:rPr>
      </w:pPr>
      <w:r>
        <w:rPr/>
        <w:pict>
          <v:shape style="position:absolute;margin-left:404.740021pt;margin-top:444.399994pt;width:129.75pt;height:46.8pt;mso-position-horizontal-relative:page;mso-position-vertical-relative:page;z-index:-914392" type="#_x0000_t202" filled="false" stroked="false">
            <v:textbox inset="0,0,0,0">
              <w:txbxContent>
                <w:p>
                  <w:pPr>
                    <w:spacing w:line="316" w:lineRule="auto" w:before="51"/>
                    <w:ind w:left="0" w:right="1692" w:firstLine="0"/>
                    <w:jc w:val="left"/>
                    <w:rPr>
                      <w:rFonts w:ascii="宋体" w:hAnsi="宋体" w:cs="宋体" w:eastAsia="宋体" w:hint="default"/>
                      <w:sz w:val="18"/>
                      <w:szCs w:val="18"/>
                    </w:rPr>
                  </w:pPr>
                  <w:r>
                    <w:rPr>
                      <w:rFonts w:ascii="宋体" w:hAnsi="宋体" w:cs="宋体" w:eastAsia="宋体" w:hint="default"/>
                      <w:sz w:val="18"/>
                      <w:szCs w:val="18"/>
                    </w:rPr>
                    <w:t>东北证券、 银河基金、</w:t>
                  </w:r>
                </w:p>
              </w:txbxContent>
            </v:textbox>
            <w10:wrap type="none"/>
          </v:shape>
        </w:pict>
      </w:r>
      <w:r>
        <w:rPr/>
        <w:pict>
          <v:shape style="position:absolute;margin-left:404.740021pt;margin-top:542.019958pt;width:129.75pt;height:46.8pt;mso-position-horizontal-relative:page;mso-position-vertical-relative:page;z-index:-914368"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德摩投资、</w:t>
                  </w:r>
                </w:p>
              </w:txbxContent>
            </v:textbox>
            <w10:wrap type="none"/>
          </v:shape>
        </w:pict>
      </w:r>
      <w:r>
        <w:rPr/>
        <w:pict>
          <v:shape style="position:absolute;margin-left:404.740021pt;margin-top:589.539978pt;width:129.75pt;height:69.2pt;mso-position-horizontal-relative:page;mso-position-vertical-relative:page;z-index:-9143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广发证券、</w:t>
                  </w:r>
                </w:p>
              </w:txbxContent>
            </v:textbox>
            <w10:wrap type="none"/>
          </v:shape>
        </w:pict>
      </w:r>
      <w:r>
        <w:rPr/>
        <w:pict>
          <v:shape style="position:absolute;margin-left:404.731018pt;margin-top:693.940002pt;width:129.75pt;height:69.2pt;mso-position-horizontal-relative:page;mso-position-vertical-relative:page;z-index:-914320" type="#_x0000_t202" filled="false" stroked="false">
            <v:textbox inset="0,0,0,0">
              <w:txbxContent>
                <w:p>
                  <w:pPr>
                    <w:spacing w:line="316" w:lineRule="auto" w:before="146"/>
                    <w:ind w:left="0" w:right="1692" w:firstLine="0"/>
                    <w:jc w:val="both"/>
                    <w:rPr>
                      <w:rFonts w:ascii="宋体" w:hAnsi="宋体" w:cs="宋体" w:eastAsia="宋体" w:hint="default"/>
                      <w:sz w:val="18"/>
                      <w:szCs w:val="18"/>
                    </w:rPr>
                  </w:pPr>
                  <w:r>
                    <w:rPr>
                      <w:rFonts w:ascii="宋体" w:hAnsi="宋体" w:cs="宋体" w:eastAsia="宋体" w:hint="default"/>
                      <w:sz w:val="18"/>
                      <w:szCs w:val="18"/>
                    </w:rPr>
                    <w:t>华宝信托、 嘉实基金、 鲁银投资、 诺安基金、</w:t>
                  </w:r>
                </w:p>
              </w:txbxContent>
            </v:textbox>
            <w10:wrap type="none"/>
          </v:shape>
        </w:pict>
      </w:r>
      <w:r>
        <w:rPr/>
        <w:pict>
          <v:group style="position:absolute;margin-left:446.940002pt;margin-top:508.779968pt;width:87.55pt;height:254.4pt;mso-position-horizontal-relative:page;mso-position-vertical-relative:page;z-index:-914296" coordorigin="8939,10176" coordsize="1751,5088">
            <v:group style="position:absolute;left:8939;top:10840;width:1751;height:936" coordorigin="8939,10840" coordsize="1751,936">
              <v:shape style="position:absolute;left:8939;top:10840;width:1751;height:936" coordorigin="8939,10840" coordsize="1751,936" path="m8939,11776l10690,11776,10690,10840,8939,10840,8939,11776xe" filled="true" fillcolor="#ffffff" stroked="false">
                <v:path arrowok="t"/>
                <v:fill type="solid"/>
              </v:shape>
            </v:group>
            <v:group style="position:absolute;left:8960;top:10176;width:1716;height:312" coordorigin="8960,10176" coordsize="1716,312">
              <v:shape style="position:absolute;left:8960;top:10176;width:1716;height:312" coordorigin="8960,10176" coordsize="1716,312" path="m8960,10488l10676,10488,10676,10176,8960,10176,8960,10488xe" filled="true" fillcolor="#ffffff" stroked="false">
                <v:path arrowok="t"/>
                <v:fill type="solid"/>
              </v:shape>
            </v:group>
            <v:group style="position:absolute;left:8960;top:10488;width:1716;height:353" coordorigin="8960,10488" coordsize="1716,353">
              <v:shape style="position:absolute;left:8960;top:10488;width:1716;height:353" coordorigin="8960,10488" coordsize="1716,353" path="m8960,10840l10676,10840,10676,10488,8960,10488,8960,10840xe" filled="true" fillcolor="#ffffff" stroked="false">
                <v:path arrowok="t"/>
                <v:fill type="solid"/>
              </v:shape>
            </v:group>
            <v:group style="position:absolute;left:8939;top:11791;width:1751;height:1384" coordorigin="8939,11791" coordsize="1751,1384">
              <v:shape style="position:absolute;left:8939;top:11791;width:1751;height:1384" coordorigin="8939,11791" coordsize="1751,1384" path="m8939,13174l10690,13174,10690,11791,8939,11791,8939,13174xe" filled="true" fillcolor="#ffffff" stroked="false">
                <v:path arrowok="t"/>
                <v:fill type="solid"/>
              </v:shape>
            </v:group>
            <v:group style="position:absolute;left:8950;top:13174;width:2;height:705" coordorigin="8950,13174" coordsize="2,705">
              <v:shape style="position:absolute;left:8950;top:13174;width:2;height:705" coordorigin="8950,13174" coordsize="0,705" path="m8950,13174l8950,13879e" filled="false" stroked="true" strokeweight="1.08pt" strokecolor="#ffffff">
                <v:path arrowok="t"/>
              </v:shape>
            </v:group>
            <v:group style="position:absolute;left:8939;top:13879;width:1751;height:1384" coordorigin="8939,13879" coordsize="1751,1384">
              <v:shape style="position:absolute;left:8939;top:13879;width:1751;height:1384" coordorigin="8939,13879" coordsize="1751,1384" path="m8939,15263l10690,15263,10690,13879,8939,13879,8939,15263xe" filled="true" fillcolor="#ffffff" stroked="false">
                <v:path arrowok="t"/>
                <v:fill type="solid"/>
              </v:shape>
            </v:group>
            <v:group style="position:absolute;left:8960;top:13174;width:1716;height:353" coordorigin="8960,13174" coordsize="1716,353">
              <v:shape style="position:absolute;left:8960;top:13174;width:1716;height:353" coordorigin="8960,13174" coordsize="1716,353" path="m8960,13527l10676,13527,10676,13174,8960,13174,8960,13527xe" filled="true" fillcolor="#ffffff" stroked="false">
                <v:path arrowok="t"/>
                <v:fill type="solid"/>
              </v:shape>
            </v:group>
            <v:group style="position:absolute;left:8960;top:13527;width:1716;height:352" coordorigin="8960,13527" coordsize="1716,352">
              <v:shape style="position:absolute;left:8960;top:13527;width:1716;height:352" coordorigin="8960,13527" coordsize="1716,352" path="m8960,13879l10676,13879,10676,13527,8960,13527,8960,13879xe" filled="true" fillcolor="#ffffff" stroked="false">
                <v:path arrowok="t"/>
                <v:fill type="solid"/>
              </v:shape>
            </v:group>
            <w10:wrap type="none"/>
          </v:group>
        </w:pict>
      </w:r>
    </w:p>
    <w:p>
      <w:pPr>
        <w:spacing w:line="240" w:lineRule="auto" w:before="1"/>
        <w:rPr>
          <w:rFonts w:ascii="宋体" w:hAnsi="宋体" w:cs="宋体" w:eastAsia="宋体" w:hint="default"/>
          <w:sz w:val="14"/>
          <w:szCs w:val="14"/>
        </w:rPr>
      </w:pPr>
    </w:p>
    <w:p>
      <w:pPr>
        <w:pStyle w:val="BodyText"/>
        <w:spacing w:line="408" w:lineRule="auto" w:before="0"/>
        <w:ind w:right="151"/>
        <w:jc w:val="both"/>
      </w:pPr>
      <w:r>
        <w:rPr>
          <w:spacing w:val="-1"/>
        </w:rPr>
        <w:t>筹划决策方式等内容，并督促筹划重大事项涉及的相关人员在备忘录上签名确认，并提交江苏证监局和深</w:t>
      </w:r>
      <w:r>
        <w:rPr>
          <w:spacing w:val="-81"/>
        </w:rPr>
        <w:t> </w:t>
      </w:r>
      <w:r>
        <w:rPr>
          <w:spacing w:val="-81"/>
        </w:rPr>
      </w:r>
      <w:r>
        <w:rPr>
          <w:spacing w:val="-1"/>
        </w:rPr>
        <w:t>圳证券交易所备。同时，公司积极做好投资者来访调研、媒体采访的接待安排和保密工作，进行直接沟通</w:t>
      </w:r>
      <w:r>
        <w:rPr>
          <w:spacing w:val="-86"/>
        </w:rPr>
        <w:t> </w:t>
      </w:r>
      <w:r>
        <w:rPr>
          <w:spacing w:val="-86"/>
        </w:rPr>
      </w:r>
      <w:r>
        <w:rPr/>
        <w:t>前，要求对方签署承诺书。</w:t>
      </w:r>
    </w:p>
    <w:p>
      <w:pPr>
        <w:pStyle w:val="BodyText"/>
        <w:spacing w:line="408" w:lineRule="auto"/>
        <w:ind w:right="152" w:firstLine="372"/>
        <w:jc w:val="both"/>
      </w:pPr>
      <w:r>
        <w:rPr/>
        <w:t>报告期内，公司对内幕信息管理制度的建设情况和执行情况进行了自查，公司未出现内幕信息知情人 </w:t>
      </w:r>
      <w:r>
        <w:rPr>
          <w:spacing w:val="-1"/>
        </w:rPr>
        <w:t>在影响公司股价的重大敏感信息披露前利用内幕信息买卖公司股票的情况，也不存在受到监管部门查处和</w:t>
      </w:r>
      <w:r>
        <w:rPr>
          <w:spacing w:val="-81"/>
        </w:rPr>
        <w:t> </w:t>
      </w:r>
      <w:r>
        <w:rPr>
          <w:spacing w:val="-81"/>
        </w:rPr>
      </w:r>
      <w:r>
        <w:rPr/>
        <w:t>整改的情况。</w:t>
      </w:r>
    </w:p>
    <w:p>
      <w:pPr>
        <w:spacing w:line="240" w:lineRule="auto" w:before="11"/>
        <w:rPr>
          <w:rFonts w:ascii="宋体" w:hAnsi="宋体" w:cs="宋体" w:eastAsia="宋体" w:hint="default"/>
          <w:sz w:val="18"/>
          <w:szCs w:val="18"/>
        </w:rPr>
      </w:pPr>
    </w:p>
    <w:p>
      <w:pPr>
        <w:pStyle w:val="Heading2"/>
        <w:spacing w:line="240" w:lineRule="auto" w:before="0"/>
        <w:ind w:right="0"/>
        <w:jc w:val="both"/>
        <w:rPr>
          <w:b w:val="0"/>
          <w:bCs w:val="0"/>
        </w:rPr>
      </w:pPr>
      <w:bookmarkStart w:name="七、报告期内接待调研、沟通、采访等活动登记表" w:id="34"/>
      <w:bookmarkEnd w:id="34"/>
      <w:r>
        <w:rPr>
          <w:b w:val="0"/>
          <w:bCs w:val="0"/>
        </w:rPr>
      </w:r>
      <w:r>
        <w:rPr/>
        <w:t>七、报告期内接待调研、沟通、采访等活动登记表</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0"/>
        <w:jc w:val="both"/>
      </w:pPr>
      <w:r>
        <w:rPr/>
        <w:t>√ 适用 □</w:t>
      </w:r>
      <w:r>
        <w:rPr>
          <w:spacing w:val="-2"/>
        </w:rPr>
        <w:t> </w:t>
      </w:r>
      <w:r>
        <w:rPr/>
        <w:t>不适用</w:t>
      </w:r>
    </w:p>
    <w:p>
      <w:pPr>
        <w:spacing w:line="240" w:lineRule="auto" w:before="11"/>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495"/>
        <w:gridCol w:w="1058"/>
        <w:gridCol w:w="850"/>
        <w:gridCol w:w="851"/>
        <w:gridCol w:w="3545"/>
        <w:gridCol w:w="1771"/>
      </w:tblGrid>
      <w:tr>
        <w:trPr>
          <w:trHeight w:val="727" w:hRule="exact"/>
        </w:trPr>
        <w:tc>
          <w:tcPr>
            <w:tcW w:w="14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237" w:right="57"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35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77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9" w:lineRule="auto" w:before="51"/>
              <w:ind w:left="518" w:right="59" w:hanging="450"/>
              <w:jc w:val="left"/>
              <w:rPr>
                <w:rFonts w:ascii="宋体" w:hAnsi="宋体" w:cs="宋体" w:eastAsia="宋体" w:hint="default"/>
                <w:sz w:val="18"/>
                <w:szCs w:val="18"/>
              </w:rPr>
            </w:pPr>
            <w:r>
              <w:rPr>
                <w:rFonts w:ascii="宋体" w:hAnsi="宋体" w:cs="宋体" w:eastAsia="宋体" w:hint="default"/>
                <w:sz w:val="18"/>
                <w:szCs w:val="18"/>
              </w:rPr>
              <w:t>谈论的主要内容及提 供的资料</w:t>
            </w:r>
          </w:p>
        </w:tc>
      </w:tr>
      <w:tr>
        <w:trPr>
          <w:trHeight w:val="719"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1"/>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华宝信托有限责任公司</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0" w:right="107"/>
              <w:jc w:val="left"/>
              <w:rPr>
                <w:rFonts w:ascii="宋体" w:hAnsi="宋体" w:cs="宋体" w:eastAsia="宋体" w:hint="default"/>
                <w:sz w:val="18"/>
                <w:szCs w:val="18"/>
              </w:rPr>
            </w:pPr>
            <w:r>
              <w:rPr>
                <w:rFonts w:ascii="宋体" w:hAnsi="宋体" w:cs="宋体" w:eastAsia="宋体" w:hint="default"/>
                <w:sz w:val="18"/>
                <w:szCs w:val="18"/>
              </w:rPr>
              <w:t>公司发展战略及云商 天下公司情况</w:t>
            </w:r>
          </w:p>
        </w:tc>
      </w:tr>
      <w:tr>
        <w:trPr>
          <w:trHeight w:val="1031"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21"/>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 w:right="0"/>
              <w:jc w:val="left"/>
              <w:rPr>
                <w:rFonts w:ascii="宋体" w:hAnsi="宋体" w:cs="宋体" w:eastAsia="宋体" w:hint="default"/>
                <w:sz w:val="18"/>
                <w:szCs w:val="18"/>
              </w:rPr>
            </w:pPr>
            <w:r>
              <w:rPr>
                <w:rFonts w:ascii="宋体" w:hAnsi="宋体" w:cs="宋体" w:eastAsia="宋体" w:hint="default"/>
                <w:sz w:val="18"/>
                <w:szCs w:val="18"/>
              </w:rPr>
              <w:t>上海申银万国证券研究所有限公司</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0" w:right="9"/>
              <w:jc w:val="left"/>
              <w:rPr>
                <w:rFonts w:ascii="宋体" w:hAnsi="宋体" w:cs="宋体" w:eastAsia="宋体" w:hint="default"/>
                <w:sz w:val="18"/>
                <w:szCs w:val="18"/>
              </w:rPr>
            </w:pPr>
            <w:r>
              <w:rPr>
                <w:rFonts w:ascii="宋体" w:hAnsi="宋体" w:cs="宋体" w:eastAsia="宋体" w:hint="default"/>
                <w:spacing w:val="-9"/>
                <w:sz w:val="18"/>
                <w:szCs w:val="18"/>
              </w:rPr>
              <w:t>公司产品、技术、未来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发展战略及收购云商 天下目的</w:t>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21"/>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3"/>
              <w:ind w:left="20" w:right="11"/>
              <w:jc w:val="left"/>
              <w:rPr>
                <w:rFonts w:ascii="宋体" w:hAnsi="宋体" w:cs="宋体" w:eastAsia="宋体" w:hint="default"/>
                <w:sz w:val="18"/>
                <w:szCs w:val="18"/>
              </w:rPr>
            </w:pPr>
            <w:r>
              <w:rPr>
                <w:rFonts w:ascii="宋体" w:hAnsi="宋体" w:cs="宋体" w:eastAsia="宋体" w:hint="default"/>
                <w:sz w:val="18"/>
                <w:szCs w:val="18"/>
              </w:rPr>
              <w:t>公司业绩情况</w:t>
            </w:r>
            <w:r>
              <w:rPr>
                <w:rFonts w:ascii="宋体" w:hAnsi="宋体" w:cs="宋体" w:eastAsia="宋体" w:hint="default"/>
                <w:spacing w:val="-85"/>
                <w:sz w:val="18"/>
                <w:szCs w:val="18"/>
              </w:rPr>
              <w:t>、</w:t>
            </w:r>
            <w:r>
              <w:rPr>
                <w:rFonts w:ascii="宋体" w:hAnsi="宋体" w:cs="宋体" w:eastAsia="宋体" w:hint="default"/>
                <w:sz w:val="18"/>
                <w:szCs w:val="18"/>
              </w:rPr>
              <w:t>未来发</w:t>
            </w:r>
            <w:r>
              <w:rPr>
                <w:rFonts w:ascii="宋体" w:hAnsi="宋体" w:cs="宋体" w:eastAsia="宋体" w:hint="default"/>
                <w:sz w:val="18"/>
                <w:szCs w:val="18"/>
              </w:rPr>
              <w:t> 展规划</w:t>
            </w:r>
            <w:r>
              <w:rPr>
                <w:rFonts w:ascii="宋体" w:hAnsi="宋体" w:cs="宋体" w:eastAsia="宋体" w:hint="default"/>
                <w:spacing w:val="-84"/>
                <w:sz w:val="18"/>
                <w:szCs w:val="18"/>
              </w:rPr>
              <w:t>、</w:t>
            </w:r>
            <w:r>
              <w:rPr>
                <w:rFonts w:ascii="宋体" w:hAnsi="宋体" w:cs="宋体" w:eastAsia="宋体" w:hint="default"/>
                <w:sz w:val="18"/>
                <w:szCs w:val="18"/>
              </w:rPr>
              <w:t>收购项目情况</w:t>
            </w:r>
          </w:p>
        </w:tc>
      </w:tr>
      <w:tr>
        <w:trPr>
          <w:trHeight w:val="2903"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04</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22</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21"/>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5" w:type="dxa"/>
            <w:tcBorders>
              <w:top w:val="single" w:sz="6" w:space="0" w:color="000000"/>
              <w:left w:val="single" w:sz="6" w:space="0" w:color="000000"/>
              <w:bottom w:val="single" w:sz="6" w:space="0" w:color="000000"/>
              <w:right w:val="single" w:sz="9" w:space="0" w:color="FFFFFF"/>
            </w:tcBorders>
          </w:tcPr>
          <w:p>
            <w:pPr>
              <w:pStyle w:val="TableParagraph"/>
              <w:spacing w:line="316" w:lineRule="auto" w:before="51"/>
              <w:ind w:left="21" w:right="-39"/>
              <w:jc w:val="left"/>
              <w:rPr>
                <w:rFonts w:ascii="宋体" w:hAnsi="宋体" w:cs="宋体" w:eastAsia="宋体" w:hint="default"/>
                <w:sz w:val="18"/>
                <w:szCs w:val="18"/>
              </w:rPr>
            </w:pPr>
            <w:r>
              <w:rPr>
                <w:rFonts w:ascii="宋体" w:hAnsi="宋体" w:cs="宋体" w:eastAsia="宋体" w:hint="default"/>
                <w:sz w:val="18"/>
                <w:szCs w:val="18"/>
              </w:rPr>
              <w:t>南京证券、国金证券、爱建证券、 华商基金、万家基金、国元证券、 </w:t>
            </w:r>
            <w:r>
              <w:rPr>
                <w:rFonts w:ascii="宋体" w:hAnsi="宋体" w:cs="宋体" w:eastAsia="宋体" w:hint="default"/>
                <w:spacing w:val="3"/>
                <w:sz w:val="18"/>
                <w:szCs w:val="18"/>
              </w:rPr>
              <w:t>圣熙投资、古韵投资、云优资产、申万菱信</w:t>
            </w:r>
            <w:r>
              <w:rPr>
                <w:rFonts w:ascii="宋体" w:hAnsi="宋体" w:cs="宋体" w:eastAsia="宋体" w:hint="default"/>
                <w:sz w:val="18"/>
                <w:szCs w:val="18"/>
              </w:rPr>
              <w:t> </w:t>
            </w:r>
            <w:r>
              <w:rPr>
                <w:rFonts w:ascii="宋体" w:hAnsi="宋体" w:cs="宋体" w:eastAsia="宋体" w:hint="default"/>
                <w:spacing w:val="3"/>
                <w:sz w:val="18"/>
                <w:szCs w:val="18"/>
              </w:rPr>
              <w:t>基金、尚雅投资、青溪资产、歌赋山投资、</w:t>
            </w:r>
            <w:r>
              <w:rPr>
                <w:rFonts w:ascii="宋体" w:hAnsi="宋体" w:cs="宋体" w:eastAsia="宋体" w:hint="default"/>
                <w:sz w:val="18"/>
                <w:szCs w:val="18"/>
              </w:rPr>
              <w:t> </w:t>
            </w:r>
            <w:r>
              <w:rPr>
                <w:rFonts w:ascii="宋体" w:hAnsi="宋体" w:cs="宋体" w:eastAsia="宋体" w:hint="default"/>
                <w:spacing w:val="-3"/>
                <w:sz w:val="18"/>
                <w:szCs w:val="18"/>
              </w:rPr>
              <w:t>名禹资产、合泰联融、西部证券、浙商保险、</w:t>
            </w:r>
            <w:r>
              <w:rPr>
                <w:rFonts w:ascii="宋体" w:hAnsi="宋体" w:cs="宋体" w:eastAsia="宋体" w:hint="default"/>
                <w:spacing w:val="-35"/>
                <w:sz w:val="18"/>
                <w:szCs w:val="18"/>
              </w:rPr>
              <w:t> </w:t>
            </w:r>
            <w:r>
              <w:rPr>
                <w:rFonts w:ascii="宋体" w:hAnsi="宋体" w:cs="宋体" w:eastAsia="宋体" w:hint="default"/>
                <w:spacing w:val="-3"/>
                <w:sz w:val="18"/>
                <w:szCs w:val="18"/>
              </w:rPr>
              <w:t>申银万国、泽熙投资、光大证券、庆华投资、</w:t>
            </w:r>
            <w:r>
              <w:rPr>
                <w:rFonts w:ascii="宋体" w:hAnsi="宋体" w:cs="宋体" w:eastAsia="宋体" w:hint="default"/>
                <w:spacing w:val="-35"/>
                <w:sz w:val="18"/>
                <w:szCs w:val="18"/>
              </w:rPr>
              <w:t> </w:t>
            </w:r>
            <w:r>
              <w:rPr>
                <w:rFonts w:ascii="宋体" w:hAnsi="宋体" w:cs="宋体" w:eastAsia="宋体" w:hint="default"/>
                <w:sz w:val="18"/>
                <w:szCs w:val="18"/>
              </w:rPr>
              <w:t>璞盈投资、财通证券、华夏基金、</w:t>
            </w:r>
            <w:r>
              <w:rPr>
                <w:rFonts w:ascii="宋体" w:hAnsi="宋体" w:cs="宋体" w:eastAsia="宋体" w:hint="default"/>
                <w:sz w:val="18"/>
                <w:szCs w:val="18"/>
              </w:rPr>
              <w:t> </w:t>
            </w:r>
            <w:r>
              <w:rPr>
                <w:rFonts w:ascii="宋体" w:hAnsi="宋体" w:cs="宋体" w:eastAsia="宋体" w:hint="default"/>
                <w:spacing w:val="3"/>
                <w:sz w:val="18"/>
                <w:szCs w:val="18"/>
              </w:rPr>
              <w:t>紫金财险、敦和资产、海通证券、景泰利丰</w:t>
            </w:r>
            <w:r>
              <w:rPr>
                <w:rFonts w:ascii="宋体" w:hAnsi="宋体" w:cs="宋体" w:eastAsia="宋体" w:hint="default"/>
                <w:sz w:val="18"/>
                <w:szCs w:val="18"/>
              </w:rPr>
              <w:t> 及个人投资者</w:t>
            </w:r>
          </w:p>
        </w:tc>
        <w:tc>
          <w:tcPr>
            <w:tcW w:w="1771" w:type="dxa"/>
            <w:tcBorders>
              <w:top w:val="single" w:sz="6" w:space="0" w:color="000000"/>
              <w:left w:val="single" w:sz="9" w:space="0" w:color="FFFFFF"/>
              <w:bottom w:val="single" w:sz="6" w:space="0" w:color="000000"/>
              <w:right w:val="single" w:sz="12" w:space="0" w:color="000000"/>
            </w:tcBorders>
          </w:tcPr>
          <w:p>
            <w:pPr>
              <w:pStyle w:val="TableParagraph"/>
              <w:spacing w:line="936" w:lineRule="exact"/>
              <w:ind w:left="-5" w:right="-52"/>
              <w:jc w:val="left"/>
              <w:rPr>
                <w:rFonts w:ascii="宋体" w:hAnsi="宋体" w:cs="宋体" w:eastAsia="宋体" w:hint="default"/>
                <w:sz w:val="20"/>
                <w:szCs w:val="20"/>
              </w:rPr>
            </w:pPr>
            <w:r>
              <w:rPr>
                <w:rFonts w:ascii="宋体" w:hAnsi="宋体" w:cs="宋体" w:eastAsia="宋体" w:hint="default"/>
                <w:position w:val="-18"/>
                <w:sz w:val="20"/>
                <w:szCs w:val="20"/>
              </w:rPr>
              <w:pict>
                <v:group style="width:87.55pt;height:46.8pt;mso-position-horizontal-relative:char;mso-position-vertical-relative:line" coordorigin="0,0" coordsize="1751,936">
                  <v:group style="position:absolute;left:0;top:0;width:1751;height:936" coordorigin="0,0" coordsize="1751,936">
                    <v:shape style="position:absolute;left:0;top:0;width:1751;height:936" coordorigin="0,0" coordsize="1751,936" path="m0,936l1751,936,1751,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316" w:lineRule="auto" w:before="51"/>
              <w:ind w:left="16" w:right="10"/>
              <w:jc w:val="left"/>
              <w:rPr>
                <w:rFonts w:ascii="宋体" w:hAnsi="宋体" w:cs="宋体" w:eastAsia="宋体" w:hint="default"/>
                <w:sz w:val="18"/>
                <w:szCs w:val="18"/>
              </w:rPr>
            </w:pPr>
            <w:r>
              <w:rPr>
                <w:rFonts w:ascii="宋体" w:hAnsi="宋体" w:cs="宋体" w:eastAsia="宋体" w:hint="default"/>
                <w:spacing w:val="-9"/>
                <w:sz w:val="18"/>
                <w:szCs w:val="18"/>
              </w:rPr>
              <w:t>公司发展战略、外延发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展方向及物联网行业 政策</w:t>
            </w:r>
          </w:p>
        </w:tc>
      </w:tr>
      <w:tr>
        <w:trPr>
          <w:trHeight w:val="3494" w:hRule="exact"/>
        </w:trPr>
        <w:tc>
          <w:tcPr>
            <w:tcW w:w="14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04</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1"/>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1"/>
              <w:ind w:left="21" w:right="20"/>
              <w:jc w:val="left"/>
              <w:rPr>
                <w:rFonts w:ascii="宋体" w:hAnsi="宋体" w:cs="宋体" w:eastAsia="宋体" w:hint="default"/>
                <w:sz w:val="18"/>
                <w:szCs w:val="18"/>
              </w:rPr>
            </w:pPr>
            <w:r>
              <w:rPr>
                <w:rFonts w:ascii="宋体" w:hAnsi="宋体" w:cs="宋体" w:eastAsia="宋体" w:hint="default"/>
                <w:spacing w:val="3"/>
                <w:sz w:val="18"/>
                <w:szCs w:val="18"/>
              </w:rPr>
              <w:t>申银万国、宝信资产、北京高兴百诺投资、</w:t>
            </w:r>
            <w:r>
              <w:rPr>
                <w:rFonts w:ascii="宋体" w:hAnsi="宋体" w:cs="宋体" w:eastAsia="宋体" w:hint="default"/>
                <w:sz w:val="18"/>
                <w:szCs w:val="18"/>
              </w:rPr>
              <w:t> </w:t>
            </w:r>
            <w:r>
              <w:rPr>
                <w:rFonts w:ascii="宋体" w:hAnsi="宋体" w:cs="宋体" w:eastAsia="宋体" w:hint="default"/>
                <w:spacing w:val="3"/>
                <w:sz w:val="18"/>
                <w:szCs w:val="18"/>
              </w:rPr>
              <w:t>北京和泰投资、蝙蝠资本、财通证券、鼎天</w:t>
            </w:r>
            <w:r>
              <w:rPr>
                <w:rFonts w:ascii="宋体" w:hAnsi="宋体" w:cs="宋体" w:eastAsia="宋体" w:hint="default"/>
                <w:sz w:val="18"/>
                <w:szCs w:val="18"/>
              </w:rPr>
              <w:t> </w:t>
            </w:r>
            <w:r>
              <w:rPr>
                <w:rFonts w:ascii="宋体" w:hAnsi="宋体" w:cs="宋体" w:eastAsia="宋体" w:hint="default"/>
                <w:spacing w:val="3"/>
                <w:sz w:val="18"/>
                <w:szCs w:val="18"/>
              </w:rPr>
              <w:t>投资、东莞证券、东海证券、东吴基金、东</w:t>
            </w:r>
            <w:r>
              <w:rPr>
                <w:rFonts w:ascii="宋体" w:hAnsi="宋体" w:cs="宋体" w:eastAsia="宋体" w:hint="default"/>
                <w:sz w:val="18"/>
                <w:szCs w:val="18"/>
              </w:rPr>
              <w:t> 吴证券、福汇投资、富安达基金、 广州证券、硅谷投资、国海证券、国际信托 国立投资、国信投资、国信证券、汉通投资 和泰金融、和讯基金、恒鼎集团、洪山产业 鸿道投资、华安基金、华宝投资、 华富基金、华能信托、汇亚投资、 </w:t>
            </w:r>
            <w:r>
              <w:rPr>
                <w:rFonts w:ascii="宋体" w:hAnsi="宋体" w:cs="宋体" w:eastAsia="宋体" w:hint="default"/>
                <w:spacing w:val="-11"/>
                <w:sz w:val="18"/>
                <w:szCs w:val="18"/>
              </w:rPr>
              <w:t>恒道投资、景泰利丰、、君和资本、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民生投资、民生证券、维特投资、</w:t>
            </w:r>
          </w:p>
        </w:tc>
        <w:tc>
          <w:tcPr>
            <w:tcW w:w="17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86" w:lineRule="exact" w:before="120"/>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6" w:lineRule="exact"/>
              <w:ind w:left="2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"3+4"</w:t>
            </w:r>
            <w:r>
              <w:rPr>
                <w:rFonts w:ascii="宋体" w:hAnsi="宋体" w:cs="宋体" w:eastAsia="宋体" w:hint="default"/>
                <w:sz w:val="18"/>
                <w:szCs w:val="18"/>
              </w:rPr>
              <w:t>战略架构及</w:t>
            </w:r>
          </w:p>
          <w:p>
            <w:pPr>
              <w:pStyle w:val="TableParagraph"/>
              <w:spacing w:line="157"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6" w:lineRule="exact"/>
              <w:ind w:left="20"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产业布局情况</w:t>
            </w:r>
          </w:p>
          <w:p>
            <w:pPr>
              <w:pStyle w:val="TableParagraph"/>
              <w:spacing w:line="205"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05" w:lineRule="exact"/>
        <w:jc w:val="lef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404.740021pt;margin-top:216.679977pt;width:129.75pt;height:62.4pt;mso-position-horizontal-relative:page;mso-position-vertical-relative:page;z-index:-914176" type="#_x0000_t202" filled="false" stroked="false">
            <v:textbox inset="0,0,0,0">
              <w:txbxContent>
                <w:p>
                  <w:pPr>
                    <w:spacing w:line="316" w:lineRule="auto" w:before="51"/>
                    <w:ind w:left="0" w:right="1692" w:firstLine="0"/>
                    <w:jc w:val="both"/>
                    <w:rPr>
                      <w:rFonts w:ascii="宋体" w:hAnsi="宋体" w:cs="宋体" w:eastAsia="宋体" w:hint="default"/>
                      <w:sz w:val="18"/>
                      <w:szCs w:val="18"/>
                    </w:rPr>
                  </w:pPr>
                  <w:r>
                    <w:rPr>
                      <w:rFonts w:ascii="宋体" w:hAnsi="宋体" w:cs="宋体" w:eastAsia="宋体" w:hint="default"/>
                      <w:sz w:val="18"/>
                      <w:szCs w:val="18"/>
                    </w:rPr>
                    <w:t>财通证券、 东莞证券、 恒道投资、</w:t>
                  </w:r>
                </w:p>
                <w:p>
                  <w:pPr>
                    <w:spacing w:before="19"/>
                    <w:ind w:left="0" w:right="0" w:firstLine="0"/>
                    <w:jc w:val="both"/>
                    <w:rPr>
                      <w:rFonts w:ascii="宋体" w:hAnsi="宋体" w:cs="宋体" w:eastAsia="宋体" w:hint="default"/>
                      <w:sz w:val="18"/>
                      <w:szCs w:val="18"/>
                    </w:rPr>
                  </w:pPr>
                  <w:r>
                    <w:rPr>
                      <w:rFonts w:ascii="宋体" w:hAnsi="宋体" w:cs="宋体" w:eastAsia="宋体" w:hint="default"/>
                      <w:sz w:val="18"/>
                      <w:szCs w:val="18"/>
                    </w:rPr>
                    <w:t>华夏基金、</w:t>
                  </w:r>
                </w:p>
              </w:txbxContent>
            </v:textbox>
            <w10:wrap type="none"/>
          </v:shape>
        </w:pict>
      </w:r>
      <w:r>
        <w:rPr/>
        <w:pict>
          <v:shape style="position:absolute;margin-left:404.740021pt;margin-top:314.239990pt;width:129.75pt;height:62.4pt;mso-position-horizontal-relative:page;mso-position-vertical-relative:page;z-index:-914152" type="#_x0000_t202" filled="false" stroked="false">
            <v:textbox inset="0,0,0,0">
              <w:txbxContent>
                <w:p>
                  <w:pPr>
                    <w:spacing w:line="240" w:lineRule="auto" w:before="7"/>
                    <w:rPr>
                      <w:rFonts w:ascii="Times New Roman" w:hAnsi="Times New Roman" w:cs="Times New Roman" w:eastAsia="Times New Roman" w:hint="default"/>
                      <w:sz w:val="24"/>
                      <w:szCs w:val="24"/>
                    </w:rPr>
                  </w:pPr>
                </w:p>
                <w:p>
                  <w:pPr>
                    <w:spacing w:line="316" w:lineRule="auto" w:before="0"/>
                    <w:ind w:left="0" w:right="1692" w:firstLine="0"/>
                    <w:jc w:val="left"/>
                    <w:rPr>
                      <w:rFonts w:ascii="宋体" w:hAnsi="宋体" w:cs="宋体" w:eastAsia="宋体" w:hint="default"/>
                      <w:sz w:val="18"/>
                      <w:szCs w:val="18"/>
                    </w:rPr>
                  </w:pPr>
                  <w:r>
                    <w:rPr>
                      <w:rFonts w:ascii="宋体" w:hAnsi="宋体" w:cs="宋体" w:eastAsia="宋体" w:hint="default"/>
                      <w:sz w:val="18"/>
                      <w:szCs w:val="18"/>
                    </w:rPr>
                    <w:t>蜗牛投资、 中欧基金、</w:t>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495"/>
        <w:gridCol w:w="1058"/>
        <w:gridCol w:w="850"/>
        <w:gridCol w:w="851"/>
        <w:gridCol w:w="3545"/>
        <w:gridCol w:w="1771"/>
      </w:tblGrid>
      <w:tr>
        <w:trPr>
          <w:trHeight w:val="2870" w:hRule="exact"/>
        </w:trPr>
        <w:tc>
          <w:tcPr>
            <w:tcW w:w="1495" w:type="dxa"/>
            <w:tcBorders>
              <w:top w:val="single" w:sz="12" w:space="0" w:color="000000"/>
              <w:left w:val="single" w:sz="12" w:space="0" w:color="000000"/>
              <w:bottom w:val="single" w:sz="6" w:space="0" w:color="000000"/>
              <w:right w:val="single" w:sz="6" w:space="0" w:color="000000"/>
            </w:tcBorders>
          </w:tcPr>
          <w:p>
            <w:pPr/>
          </w:p>
        </w:tc>
        <w:tc>
          <w:tcPr>
            <w:tcW w:w="1058" w:type="dxa"/>
            <w:tcBorders>
              <w:top w:val="single" w:sz="12" w:space="0" w:color="000000"/>
              <w:left w:val="single" w:sz="6" w:space="0" w:color="000000"/>
              <w:bottom w:val="single" w:sz="6" w:space="0" w:color="000000"/>
              <w:right w:val="single" w:sz="6" w:space="0" w:color="000000"/>
            </w:tcBorders>
          </w:tcPr>
          <w:p>
            <w:pPr/>
          </w:p>
        </w:tc>
        <w:tc>
          <w:tcPr>
            <w:tcW w:w="850" w:type="dxa"/>
            <w:tcBorders>
              <w:top w:val="single" w:sz="12" w:space="0" w:color="000000"/>
              <w:left w:val="single" w:sz="6" w:space="0" w:color="000000"/>
              <w:bottom w:val="single" w:sz="6" w:space="0" w:color="000000"/>
              <w:right w:val="single" w:sz="6" w:space="0" w:color="000000"/>
            </w:tcBorders>
          </w:tcPr>
          <w:p>
            <w:pPr/>
          </w:p>
        </w:tc>
        <w:tc>
          <w:tcPr>
            <w:tcW w:w="851" w:type="dxa"/>
            <w:tcBorders>
              <w:top w:val="single" w:sz="12" w:space="0" w:color="000000"/>
              <w:left w:val="single" w:sz="6" w:space="0" w:color="000000"/>
              <w:bottom w:val="single" w:sz="6" w:space="0" w:color="000000"/>
              <w:right w:val="single" w:sz="6" w:space="0" w:color="000000"/>
            </w:tcBorders>
          </w:tcPr>
          <w:p>
            <w:pPr/>
          </w:p>
        </w:tc>
        <w:tc>
          <w:tcPr>
            <w:tcW w:w="3545"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1" w:right="20"/>
              <w:jc w:val="both"/>
              <w:rPr>
                <w:rFonts w:ascii="宋体" w:hAnsi="宋体" w:cs="宋体" w:eastAsia="宋体" w:hint="default"/>
                <w:sz w:val="18"/>
                <w:szCs w:val="18"/>
              </w:rPr>
            </w:pPr>
            <w:r>
              <w:rPr>
                <w:rFonts w:ascii="宋体" w:hAnsi="宋体" w:cs="宋体" w:eastAsia="宋体" w:hint="default"/>
                <w:spacing w:val="3"/>
                <w:sz w:val="18"/>
                <w:szCs w:val="18"/>
              </w:rPr>
              <w:t>诺亚财富、平安证券、浦银安盛基金、秦凰</w:t>
            </w:r>
            <w:r>
              <w:rPr>
                <w:rFonts w:ascii="宋体" w:hAnsi="宋体" w:cs="宋体" w:eastAsia="宋体" w:hint="default"/>
                <w:sz w:val="18"/>
                <w:szCs w:val="18"/>
              </w:rPr>
              <w:t> </w:t>
            </w:r>
            <w:r>
              <w:rPr>
                <w:rFonts w:ascii="宋体" w:hAnsi="宋体" w:cs="宋体" w:eastAsia="宋体" w:hint="default"/>
                <w:spacing w:val="3"/>
                <w:sz w:val="18"/>
                <w:szCs w:val="18"/>
              </w:rPr>
              <w:t>投资、青溪资产、权益投资、瑞华投资、瑞</w:t>
            </w:r>
            <w:r>
              <w:rPr>
                <w:rFonts w:ascii="宋体" w:hAnsi="宋体" w:cs="宋体" w:eastAsia="宋体" w:hint="default"/>
                <w:sz w:val="18"/>
                <w:szCs w:val="18"/>
              </w:rPr>
              <w:t> </w:t>
            </w:r>
            <w:r>
              <w:rPr>
                <w:rFonts w:ascii="宋体" w:hAnsi="宋体" w:cs="宋体" w:eastAsia="宋体" w:hint="default"/>
                <w:spacing w:val="3"/>
                <w:sz w:val="18"/>
                <w:szCs w:val="18"/>
              </w:rPr>
              <w:t>天投资、上海佳程、上海巨玺资产、上海仟</w:t>
            </w:r>
            <w:r>
              <w:rPr>
                <w:rFonts w:ascii="宋体" w:hAnsi="宋体" w:cs="宋体" w:eastAsia="宋体" w:hint="default"/>
                <w:sz w:val="18"/>
                <w:szCs w:val="18"/>
              </w:rPr>
              <w:t> </w:t>
            </w:r>
            <w:r>
              <w:rPr>
                <w:rFonts w:ascii="宋体" w:hAnsi="宋体" w:cs="宋体" w:eastAsia="宋体" w:hint="default"/>
                <w:spacing w:val="3"/>
                <w:sz w:val="18"/>
                <w:szCs w:val="18"/>
              </w:rPr>
              <w:t>智资产、上海新兰德、上海星华投资、上海</w:t>
            </w:r>
            <w:r>
              <w:rPr>
                <w:rFonts w:ascii="宋体" w:hAnsi="宋体" w:cs="宋体" w:eastAsia="宋体" w:hint="default"/>
                <w:sz w:val="18"/>
                <w:szCs w:val="18"/>
              </w:rPr>
              <w:t> </w:t>
            </w:r>
            <w:r>
              <w:rPr>
                <w:rFonts w:ascii="宋体" w:hAnsi="宋体" w:cs="宋体" w:eastAsia="宋体" w:hint="default"/>
                <w:spacing w:val="3"/>
                <w:sz w:val="18"/>
                <w:szCs w:val="18"/>
              </w:rPr>
              <w:t>柘弓投资、上海证大投资、上投摩根基金、</w:t>
            </w:r>
            <w:r>
              <w:rPr>
                <w:rFonts w:ascii="宋体" w:hAnsi="宋体" w:cs="宋体" w:eastAsia="宋体" w:hint="default"/>
                <w:sz w:val="18"/>
                <w:szCs w:val="18"/>
              </w:rPr>
              <w:t> </w:t>
            </w:r>
            <w:r>
              <w:rPr>
                <w:rFonts w:ascii="宋体" w:hAnsi="宋体" w:cs="宋体" w:eastAsia="宋体" w:hint="default"/>
                <w:spacing w:val="3"/>
                <w:sz w:val="18"/>
                <w:szCs w:val="18"/>
              </w:rPr>
              <w:t>实诚资产、太平洋投资、万泰实业、兴业证</w:t>
            </w:r>
            <w:r>
              <w:rPr>
                <w:rFonts w:ascii="宋体" w:hAnsi="宋体" w:cs="宋体" w:eastAsia="宋体" w:hint="default"/>
                <w:sz w:val="18"/>
                <w:szCs w:val="18"/>
              </w:rPr>
              <w:t> </w:t>
            </w:r>
            <w:r>
              <w:rPr>
                <w:rFonts w:ascii="宋体" w:hAnsi="宋体" w:cs="宋体" w:eastAsia="宋体" w:hint="default"/>
                <w:spacing w:val="3"/>
                <w:sz w:val="18"/>
                <w:szCs w:val="18"/>
              </w:rPr>
              <w:t>券、益民基金、银河基金、引发投资、英大</w:t>
            </w:r>
            <w:r>
              <w:rPr>
                <w:rFonts w:ascii="宋体" w:hAnsi="宋体" w:cs="宋体" w:eastAsia="宋体" w:hint="default"/>
                <w:sz w:val="18"/>
                <w:szCs w:val="18"/>
              </w:rPr>
              <w:t> </w:t>
            </w:r>
            <w:r>
              <w:rPr>
                <w:rFonts w:ascii="宋体" w:hAnsi="宋体" w:cs="宋体" w:eastAsia="宋体" w:hint="default"/>
                <w:spacing w:val="3"/>
                <w:sz w:val="18"/>
                <w:szCs w:val="18"/>
              </w:rPr>
              <w:t>基金、硬质合金、远辰投资、招商银行、亚</w:t>
            </w:r>
            <w:r>
              <w:rPr>
                <w:rFonts w:ascii="宋体" w:hAnsi="宋体" w:cs="宋体" w:eastAsia="宋体" w:hint="default"/>
                <w:sz w:val="18"/>
                <w:szCs w:val="18"/>
              </w:rPr>
              <w:t> 克西投资、正熙投资及个人投资者</w:t>
            </w:r>
          </w:p>
        </w:tc>
        <w:tc>
          <w:tcPr>
            <w:tcW w:w="1771" w:type="dxa"/>
            <w:tcBorders>
              <w:top w:val="single" w:sz="12" w:space="0" w:color="000000"/>
              <w:left w:val="single" w:sz="6" w:space="0" w:color="000000"/>
              <w:bottom w:val="single" w:sz="6" w:space="0" w:color="000000"/>
              <w:right w:val="single" w:sz="12" w:space="0" w:color="000000"/>
            </w:tcBorders>
          </w:tcPr>
          <w:p>
            <w:pPr/>
          </w:p>
        </w:tc>
      </w:tr>
      <w:tr>
        <w:trPr>
          <w:trHeight w:val="3215"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04</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5" w:type="dxa"/>
            <w:tcBorders>
              <w:top w:val="single" w:sz="6" w:space="0" w:color="000000"/>
              <w:left w:val="single" w:sz="6" w:space="0" w:color="000000"/>
              <w:bottom w:val="single" w:sz="6" w:space="0" w:color="000000"/>
              <w:right w:val="single" w:sz="9" w:space="0" w:color="FFFFFF"/>
            </w:tcBorders>
          </w:tcPr>
          <w:p>
            <w:pPr>
              <w:pStyle w:val="TableParagraph"/>
              <w:spacing w:line="316" w:lineRule="auto" w:before="52"/>
              <w:ind w:left="21" w:right="-39"/>
              <w:jc w:val="left"/>
              <w:rPr>
                <w:rFonts w:ascii="宋体" w:hAnsi="宋体" w:cs="宋体" w:eastAsia="宋体" w:hint="default"/>
                <w:sz w:val="18"/>
                <w:szCs w:val="18"/>
              </w:rPr>
            </w:pPr>
            <w:r>
              <w:rPr>
                <w:rFonts w:ascii="宋体" w:hAnsi="宋体" w:cs="宋体" w:eastAsia="宋体" w:hint="default"/>
                <w:sz w:val="18"/>
                <w:szCs w:val="18"/>
              </w:rPr>
              <w:t>申银万国、中智资产、融智惠科、 道鑫资产、道谊资产、鼎峰投资、 方正证券、富越资本、国泰君安、 珩生资产、宏利基金、华宝信托、 </w:t>
            </w:r>
            <w:r>
              <w:rPr>
                <w:rFonts w:ascii="宋体" w:hAnsi="宋体" w:cs="宋体" w:eastAsia="宋体" w:hint="default"/>
                <w:spacing w:val="3"/>
                <w:sz w:val="18"/>
                <w:szCs w:val="18"/>
              </w:rPr>
              <w:t>惠正投资、混沌道然、马可波罗资管、民族</w:t>
            </w:r>
            <w:r>
              <w:rPr>
                <w:rFonts w:ascii="宋体" w:hAnsi="宋体" w:cs="宋体" w:eastAsia="宋体" w:hint="default"/>
                <w:sz w:val="18"/>
                <w:szCs w:val="18"/>
              </w:rPr>
              <w:t> </w:t>
            </w:r>
            <w:r>
              <w:rPr>
                <w:rFonts w:ascii="宋体" w:hAnsi="宋体" w:cs="宋体" w:eastAsia="宋体" w:hint="default"/>
                <w:spacing w:val="-3"/>
                <w:sz w:val="18"/>
                <w:szCs w:val="18"/>
              </w:rPr>
              <w:t>证券、名禹资产、平安养老保险、青溪资产、</w:t>
            </w:r>
            <w:r>
              <w:rPr>
                <w:rFonts w:ascii="宋体" w:hAnsi="宋体" w:cs="宋体" w:eastAsia="宋体" w:hint="default"/>
                <w:spacing w:val="-35"/>
                <w:sz w:val="18"/>
                <w:szCs w:val="18"/>
              </w:rPr>
              <w:t> </w:t>
            </w:r>
            <w:r>
              <w:rPr>
                <w:rFonts w:ascii="宋体" w:hAnsi="宋体" w:cs="宋体" w:eastAsia="宋体" w:hint="default"/>
                <w:spacing w:val="3"/>
                <w:sz w:val="18"/>
                <w:szCs w:val="18"/>
              </w:rPr>
              <w:t>庆华投资、瑞华投资、山东国际信托、上海</w:t>
            </w:r>
            <w:r>
              <w:rPr>
                <w:rFonts w:ascii="宋体" w:hAnsi="宋体" w:cs="宋体" w:eastAsia="宋体" w:hint="default"/>
                <w:sz w:val="18"/>
                <w:szCs w:val="18"/>
              </w:rPr>
              <w:t> 博观投资、汇利资产、圣熙投资、 银泰证券、致远投资、中港投资、 中融信托、中天证券</w:t>
            </w:r>
          </w:p>
        </w:tc>
        <w:tc>
          <w:tcPr>
            <w:tcW w:w="1771" w:type="dxa"/>
            <w:tcBorders>
              <w:top w:val="single" w:sz="6" w:space="0" w:color="000000"/>
              <w:left w:val="single" w:sz="9" w:space="0" w:color="FFFFFF"/>
              <w:bottom w:val="single" w:sz="6" w:space="0" w:color="000000"/>
              <w:right w:val="single" w:sz="12" w:space="0" w:color="000000"/>
            </w:tcBorders>
          </w:tcPr>
          <w:p>
            <w:pPr>
              <w:pStyle w:val="TableParagraph"/>
              <w:spacing w:line="1248" w:lineRule="exact"/>
              <w:ind w:left="-5" w:right="-5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87.55pt;height:62.4pt;mso-position-horizontal-relative:char;mso-position-vertical-relative:line" coordorigin="0,0" coordsize="1751,1248">
                  <v:group style="position:absolute;left:0;top:0;width:1751;height:1248" coordorigin="0,0" coordsize="1751,1248">
                    <v:shape style="position:absolute;left:0;top:0;width:1751;height:1248" coordorigin="0,0" coordsize="1751,1248" path="m0,1248l1751,1248,1751,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p>
            <w:pPr>
              <w:pStyle w:val="TableParagraph"/>
              <w:spacing w:line="316" w:lineRule="auto" w:before="51"/>
              <w:ind w:left="16"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"3+4"</w:t>
            </w:r>
            <w:r>
              <w:rPr>
                <w:rFonts w:ascii="宋体" w:hAnsi="宋体" w:cs="宋体" w:eastAsia="宋体" w:hint="default"/>
                <w:sz w:val="18"/>
                <w:szCs w:val="18"/>
              </w:rPr>
              <w:t>战略架构及 </w:t>
            </w:r>
            <w:r>
              <w:rPr>
                <w:rFonts w:ascii="宋体" w:hAnsi="宋体" w:cs="宋体" w:eastAsia="宋体" w:hint="default"/>
                <w:sz w:val="18"/>
                <w:szCs w:val="18"/>
              </w:rPr>
              <w:t>"1+3"</w:t>
            </w:r>
            <w:r>
              <w:rPr>
                <w:rFonts w:ascii="宋体" w:hAnsi="宋体" w:cs="宋体" w:eastAsia="宋体" w:hint="default"/>
                <w:sz w:val="18"/>
                <w:szCs w:val="18"/>
              </w:rPr>
              <w:t>产业布局情况</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1599" w:lineRule="exact"/>
              <w:ind w:left="-5" w:right="-5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87.55pt;height:80pt;mso-position-horizontal-relative:char;mso-position-vertical-relative:line" coordorigin="0,0" coordsize="1751,1600">
                  <v:group style="position:absolute;left:0;top:352;width:1751;height:1248" coordorigin="0,352" coordsize="1751,1248">
                    <v:shape style="position:absolute;left:0;top:352;width:1751;height:1248" coordorigin="0,352" coordsize="1751,1248" path="m0,1600l1751,1600,1751,352,0,352,0,1600xe" filled="true" fillcolor="#ffffff" stroked="false">
                      <v:path arrowok="t"/>
                      <v:fill type="solid"/>
                    </v:shape>
                  </v:group>
                  <v:group style="position:absolute;left:22;top:0;width:1716;height:352" coordorigin="22,0" coordsize="1716,352">
                    <v:shape style="position:absolute;left:22;top:0;width:1716;height:352" coordorigin="22,0" coordsize="1716,352" path="m22,352l1738,352,1738,0,22,0,22,352xe" filled="true" fillcolor="#ffffff" stroked="false">
                      <v:path arrowok="t"/>
                      <v:fill type="solid"/>
                    </v:shape>
                  </v:group>
                </v:group>
              </w:pict>
            </w:r>
            <w:r>
              <w:rPr>
                <w:rFonts w:ascii="Times New Roman" w:hAnsi="Times New Roman" w:cs="Times New Roman" w:eastAsia="Times New Roman" w:hint="default"/>
                <w:position w:val="-31"/>
                <w:sz w:val="20"/>
                <w:szCs w:val="20"/>
              </w:rPr>
            </w:r>
          </w:p>
        </w:tc>
      </w:tr>
      <w:tr>
        <w:trPr>
          <w:trHeight w:val="720"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05</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信达证券</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0" w:right="17"/>
              <w:jc w:val="left"/>
              <w:rPr>
                <w:rFonts w:ascii="宋体" w:hAnsi="宋体" w:cs="宋体" w:eastAsia="宋体" w:hint="default"/>
                <w:sz w:val="18"/>
                <w:szCs w:val="18"/>
              </w:rPr>
            </w:pPr>
            <w:r>
              <w:rPr>
                <w:rFonts w:ascii="宋体" w:hAnsi="宋体" w:cs="宋体" w:eastAsia="宋体" w:hint="default"/>
                <w:sz w:val="18"/>
                <w:szCs w:val="18"/>
              </w:rPr>
              <w:t>公司发展规划及</w:t>
            </w:r>
            <w:r>
              <w:rPr>
                <w:rFonts w:ascii="宋体" w:hAnsi="宋体" w:cs="宋体" w:eastAsia="宋体" w:hint="default"/>
                <w:sz w:val="18"/>
                <w:szCs w:val="18"/>
              </w:rPr>
              <w:t>"1+3" </w:t>
            </w:r>
            <w:r>
              <w:rPr>
                <w:rFonts w:ascii="宋体" w:hAnsi="宋体" w:cs="宋体" w:eastAsia="宋体" w:hint="default"/>
                <w:sz w:val="18"/>
                <w:szCs w:val="18"/>
              </w:rPr>
              <w:t>中</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的项目模式</w:t>
            </w:r>
          </w:p>
        </w:tc>
      </w:tr>
      <w:tr>
        <w:trPr>
          <w:trHeight w:val="1967"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08</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28</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5" w:type="dxa"/>
            <w:tcBorders>
              <w:top w:val="single" w:sz="6" w:space="0" w:color="000000"/>
              <w:left w:val="single" w:sz="6" w:space="0" w:color="000000"/>
              <w:bottom w:val="single" w:sz="6" w:space="0" w:color="000000"/>
              <w:right w:val="single" w:sz="9" w:space="0" w:color="FFFFFF"/>
            </w:tcBorders>
          </w:tcPr>
          <w:p>
            <w:pPr>
              <w:pStyle w:val="TableParagraph"/>
              <w:spacing w:line="316" w:lineRule="auto" w:before="51"/>
              <w:ind w:left="21" w:right="-39"/>
              <w:jc w:val="both"/>
              <w:rPr>
                <w:rFonts w:ascii="宋体" w:hAnsi="宋体" w:cs="宋体" w:eastAsia="宋体" w:hint="default"/>
                <w:sz w:val="18"/>
                <w:szCs w:val="18"/>
              </w:rPr>
            </w:pPr>
            <w:r>
              <w:rPr>
                <w:rFonts w:ascii="宋体" w:hAnsi="宋体" w:cs="宋体" w:eastAsia="宋体" w:hint="default"/>
                <w:spacing w:val="3"/>
                <w:sz w:val="18"/>
                <w:szCs w:val="18"/>
              </w:rPr>
              <w:t>国金证券、汇添富基金、源乘投资、浙商证</w:t>
            </w:r>
            <w:r>
              <w:rPr>
                <w:rFonts w:ascii="宋体" w:hAnsi="宋体" w:cs="宋体" w:eastAsia="宋体" w:hint="default"/>
                <w:sz w:val="18"/>
                <w:szCs w:val="18"/>
              </w:rPr>
              <w:t> </w:t>
            </w:r>
            <w:r>
              <w:rPr>
                <w:rFonts w:ascii="宋体" w:hAnsi="宋体" w:cs="宋体" w:eastAsia="宋体" w:hint="default"/>
                <w:spacing w:val="3"/>
                <w:sz w:val="18"/>
                <w:szCs w:val="18"/>
              </w:rPr>
              <w:t>券、君合泰达、如山投资、东融资本、长信</w:t>
            </w:r>
            <w:r>
              <w:rPr>
                <w:rFonts w:ascii="宋体" w:hAnsi="宋体" w:cs="宋体" w:eastAsia="宋体" w:hint="default"/>
                <w:sz w:val="18"/>
                <w:szCs w:val="18"/>
              </w:rPr>
              <w:t> </w:t>
            </w:r>
            <w:r>
              <w:rPr>
                <w:rFonts w:ascii="宋体" w:hAnsi="宋体" w:cs="宋体" w:eastAsia="宋体" w:hint="default"/>
                <w:spacing w:val="3"/>
                <w:sz w:val="18"/>
                <w:szCs w:val="18"/>
              </w:rPr>
              <w:t>基金、西部证券、中邮基金、圣熙投资、磐</w:t>
            </w:r>
            <w:r>
              <w:rPr>
                <w:rFonts w:ascii="宋体" w:hAnsi="宋体" w:cs="宋体" w:eastAsia="宋体" w:hint="default"/>
                <w:sz w:val="18"/>
                <w:szCs w:val="18"/>
              </w:rPr>
              <w:t> </w:t>
            </w:r>
            <w:r>
              <w:rPr>
                <w:rFonts w:ascii="宋体" w:hAnsi="宋体" w:cs="宋体" w:eastAsia="宋体" w:hint="default"/>
                <w:spacing w:val="3"/>
                <w:sz w:val="18"/>
                <w:szCs w:val="18"/>
              </w:rPr>
              <w:t>通投资、彬元投资、鸿商产业、广发资管、</w:t>
            </w:r>
            <w:r>
              <w:rPr>
                <w:rFonts w:ascii="宋体" w:hAnsi="宋体" w:cs="宋体" w:eastAsia="宋体" w:hint="default"/>
                <w:sz w:val="18"/>
                <w:szCs w:val="18"/>
              </w:rPr>
              <w:t> </w:t>
            </w:r>
            <w:r>
              <w:rPr>
                <w:rFonts w:ascii="宋体" w:hAnsi="宋体" w:cs="宋体" w:eastAsia="宋体" w:hint="default"/>
                <w:spacing w:val="-3"/>
                <w:sz w:val="18"/>
                <w:szCs w:val="18"/>
              </w:rPr>
              <w:t>上海古韵、华商基金、思众生物、南京证券、</w:t>
            </w:r>
            <w:r>
              <w:rPr>
                <w:rFonts w:ascii="宋体" w:hAnsi="宋体" w:cs="宋体" w:eastAsia="宋体" w:hint="default"/>
                <w:spacing w:val="-35"/>
                <w:sz w:val="18"/>
                <w:szCs w:val="18"/>
              </w:rPr>
              <w:t> </w:t>
            </w:r>
            <w:r>
              <w:rPr>
                <w:rFonts w:ascii="宋体" w:hAnsi="宋体" w:cs="宋体" w:eastAsia="宋体" w:hint="default"/>
                <w:sz w:val="18"/>
                <w:szCs w:val="18"/>
              </w:rPr>
              <w:t>东华软件、太平洋证券、安洛科技</w:t>
            </w:r>
          </w:p>
        </w:tc>
        <w:tc>
          <w:tcPr>
            <w:tcW w:w="1771" w:type="dxa"/>
            <w:tcBorders>
              <w:top w:val="single" w:sz="6" w:space="0" w:color="000000"/>
              <w:left w:val="single" w:sz="9" w:space="0" w:color="FFFFFF"/>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6" w:right="1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"3+4"</w:t>
            </w:r>
            <w:r>
              <w:rPr>
                <w:rFonts w:ascii="宋体" w:hAnsi="宋体" w:cs="宋体" w:eastAsia="宋体" w:hint="default"/>
                <w:sz w:val="18"/>
                <w:szCs w:val="18"/>
              </w:rPr>
              <w:t>战略架构、 </w:t>
            </w:r>
            <w:r>
              <w:rPr>
                <w:rFonts w:ascii="宋体" w:hAnsi="宋体" w:cs="宋体" w:eastAsia="宋体" w:hint="default"/>
                <w:sz w:val="18"/>
                <w:szCs w:val="18"/>
              </w:rPr>
              <w:t>"1+3"</w:t>
            </w:r>
            <w:r>
              <w:rPr>
                <w:rFonts w:ascii="宋体" w:hAnsi="宋体" w:cs="宋体" w:eastAsia="宋体" w:hint="default"/>
                <w:sz w:val="18"/>
                <w:szCs w:val="18"/>
              </w:rPr>
              <w:t>产业布局及进展 </w:t>
            </w:r>
            <w:r>
              <w:rPr>
                <w:rFonts w:ascii="宋体" w:hAnsi="宋体" w:cs="宋体" w:eastAsia="宋体" w:hint="default"/>
                <w:spacing w:val="-9"/>
                <w:sz w:val="18"/>
                <w:szCs w:val="18"/>
              </w:rPr>
              <w:t>情况，收购索瑞电气项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目情况</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352" w:lineRule="exact"/>
              <w:ind w:left="16"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85.8pt;height:17.650pt;mso-position-horizontal-relative:char;mso-position-vertical-relative:line" coordorigin="0,0" coordsize="1716,353">
                  <v:group style="position:absolute;left:0;top:0;width:1716;height:353" coordorigin="0,0" coordsize="1716,353">
                    <v:shape style="position:absolute;left:0;top:0;width:1716;height:353" coordorigin="0,0" coordsize="1716,353" path="m0,353l1716,353,1716,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tc>
      </w:tr>
      <w:tr>
        <w:trPr>
          <w:trHeight w:val="719"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5" w:type="dxa"/>
            <w:tcBorders>
              <w:top w:val="single" w:sz="6" w:space="0" w:color="000000"/>
              <w:left w:val="single" w:sz="6" w:space="0" w:color="000000"/>
              <w:bottom w:val="single" w:sz="6" w:space="0" w:color="000000"/>
              <w:right w:val="single" w:sz="9" w:space="0" w:color="FFFFFF"/>
            </w:tcBorders>
          </w:tcPr>
          <w:p>
            <w:pPr>
              <w:pStyle w:val="TableParagraph"/>
              <w:spacing w:line="319" w:lineRule="auto" w:before="51"/>
              <w:ind w:left="21" w:right="-39"/>
              <w:jc w:val="left"/>
              <w:rPr>
                <w:rFonts w:ascii="宋体" w:hAnsi="宋体" w:cs="宋体" w:eastAsia="宋体" w:hint="default"/>
                <w:sz w:val="18"/>
                <w:szCs w:val="18"/>
              </w:rPr>
            </w:pPr>
            <w:r>
              <w:rPr>
                <w:rFonts w:ascii="宋体" w:hAnsi="宋体" w:cs="宋体" w:eastAsia="宋体" w:hint="default"/>
                <w:spacing w:val="-3"/>
                <w:sz w:val="18"/>
                <w:szCs w:val="18"/>
              </w:rPr>
              <w:t>上投摩根、中银基金、玖歌投资、华泰证券、</w:t>
            </w:r>
            <w:r>
              <w:rPr>
                <w:rFonts w:ascii="宋体" w:hAnsi="宋体" w:cs="宋体" w:eastAsia="宋体" w:hint="default"/>
                <w:spacing w:val="-35"/>
                <w:sz w:val="18"/>
                <w:szCs w:val="18"/>
              </w:rPr>
              <w:t> </w:t>
            </w:r>
            <w:r>
              <w:rPr>
                <w:rFonts w:ascii="宋体" w:hAnsi="宋体" w:cs="宋体" w:eastAsia="宋体" w:hint="default"/>
                <w:sz w:val="18"/>
                <w:szCs w:val="18"/>
              </w:rPr>
              <w:t>天弘基金</w:t>
            </w:r>
          </w:p>
        </w:tc>
        <w:tc>
          <w:tcPr>
            <w:tcW w:w="1771" w:type="dxa"/>
            <w:tcBorders>
              <w:top w:val="single" w:sz="6" w:space="0" w:color="000000"/>
              <w:left w:val="single" w:sz="9" w:space="0" w:color="FFFFFF"/>
              <w:bottom w:val="single" w:sz="6" w:space="0" w:color="000000"/>
              <w:right w:val="single" w:sz="12" w:space="0" w:color="000000"/>
            </w:tcBorders>
          </w:tcPr>
          <w:p>
            <w:pPr>
              <w:pStyle w:val="TableParagraph"/>
              <w:spacing w:line="319" w:lineRule="auto" w:before="51"/>
              <w:ind w:left="16"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"1+3"</w:t>
            </w:r>
            <w:r>
              <w:rPr>
                <w:rFonts w:ascii="宋体" w:hAnsi="宋体" w:cs="宋体" w:eastAsia="宋体" w:hint="default"/>
                <w:sz w:val="18"/>
                <w:szCs w:val="18"/>
              </w:rPr>
              <w:t>产业布局及 相关项目情况</w:t>
            </w:r>
          </w:p>
          <w:p>
            <w:pPr>
              <w:pStyle w:val="TableParagraph"/>
              <w:spacing w:line="352" w:lineRule="exact"/>
              <w:ind w:left="16"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85.8pt;height:17.650pt;mso-position-horizontal-relative:char;mso-position-vertical-relative:line" coordorigin="0,0" coordsize="1716,353">
                  <v:group style="position:absolute;left:0;top:0;width:1716;height:353" coordorigin="0,0" coordsize="1716,353">
                    <v:shape style="position:absolute;left:0;top:0;width:1716;height:353" coordorigin="0,0" coordsize="1716,353" path="m0,353l1716,353,1716,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r>
      <w:tr>
        <w:trPr>
          <w:trHeight w:val="1343" w:hRule="exact"/>
        </w:trPr>
        <w:tc>
          <w:tcPr>
            <w:tcW w:w="1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0"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银河基金、方正证券、中国人寿资管</w:t>
            </w:r>
          </w:p>
        </w:tc>
        <w:tc>
          <w:tcPr>
            <w:tcW w:w="1771"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0" w:right="10"/>
              <w:jc w:val="left"/>
              <w:rPr>
                <w:rFonts w:ascii="宋体" w:hAnsi="宋体" w:cs="宋体" w:eastAsia="宋体" w:hint="default"/>
                <w:sz w:val="18"/>
                <w:szCs w:val="18"/>
              </w:rPr>
            </w:pPr>
            <w:r>
              <w:rPr>
                <w:rFonts w:ascii="宋体" w:hAnsi="宋体" w:cs="宋体" w:eastAsia="宋体" w:hint="default"/>
                <w:sz w:val="18"/>
                <w:szCs w:val="18"/>
              </w:rPr>
              <w:t>公司基本情况、</w:t>
            </w:r>
            <w:r>
              <w:rPr>
                <w:rFonts w:ascii="宋体" w:hAnsi="宋体" w:cs="宋体" w:eastAsia="宋体" w:hint="default"/>
                <w:sz w:val="18"/>
                <w:szCs w:val="18"/>
              </w:rPr>
              <w:t>"1+3" </w:t>
            </w:r>
            <w:r>
              <w:rPr>
                <w:rFonts w:ascii="宋体" w:hAnsi="宋体" w:cs="宋体" w:eastAsia="宋体" w:hint="default"/>
                <w:sz w:val="18"/>
                <w:szCs w:val="18"/>
              </w:rPr>
              <w:t>业务布局及相关工作 </w:t>
            </w:r>
            <w:r>
              <w:rPr>
                <w:rFonts w:ascii="宋体" w:hAnsi="宋体" w:cs="宋体" w:eastAsia="宋体" w:hint="default"/>
                <w:spacing w:val="-9"/>
                <w:sz w:val="18"/>
                <w:szCs w:val="18"/>
              </w:rPr>
              <w:t>开展情况、收购索瑞电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气项目情况</w:t>
            </w:r>
          </w:p>
        </w:tc>
      </w:tr>
      <w:tr>
        <w:trPr>
          <w:trHeight w:val="1351" w:hRule="exact"/>
        </w:trPr>
        <w:tc>
          <w:tcPr>
            <w:tcW w:w="14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0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0"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5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嘉实基金、融通基金</w:t>
            </w:r>
          </w:p>
        </w:tc>
        <w:tc>
          <w:tcPr>
            <w:tcW w:w="1771"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2"/>
              <w:ind w:left="20" w:right="10"/>
              <w:jc w:val="left"/>
              <w:rPr>
                <w:rFonts w:ascii="宋体" w:hAnsi="宋体" w:cs="宋体" w:eastAsia="宋体" w:hint="default"/>
                <w:sz w:val="18"/>
                <w:szCs w:val="18"/>
              </w:rPr>
            </w:pPr>
            <w:r>
              <w:rPr>
                <w:rFonts w:ascii="宋体" w:hAnsi="宋体" w:cs="宋体" w:eastAsia="宋体" w:hint="default"/>
                <w:sz w:val="18"/>
                <w:szCs w:val="18"/>
              </w:rPr>
              <w:t>公司基本情况、</w:t>
            </w:r>
            <w:r>
              <w:rPr>
                <w:rFonts w:ascii="宋体" w:hAnsi="宋体" w:cs="宋体" w:eastAsia="宋体" w:hint="default"/>
                <w:sz w:val="18"/>
                <w:szCs w:val="18"/>
              </w:rPr>
              <w:t>"1+3" </w:t>
            </w:r>
            <w:r>
              <w:rPr>
                <w:rFonts w:ascii="宋体" w:hAnsi="宋体" w:cs="宋体" w:eastAsia="宋体" w:hint="default"/>
                <w:sz w:val="18"/>
                <w:szCs w:val="18"/>
              </w:rPr>
              <w:t>业务布局及相关工作 </w:t>
            </w:r>
            <w:r>
              <w:rPr>
                <w:rFonts w:ascii="宋体" w:hAnsi="宋体" w:cs="宋体" w:eastAsia="宋体" w:hint="default"/>
                <w:spacing w:val="-9"/>
                <w:sz w:val="18"/>
                <w:szCs w:val="18"/>
              </w:rPr>
              <w:t>开展情况、收购索瑞电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气项目情况</w:t>
            </w:r>
          </w:p>
        </w:tc>
      </w:tr>
    </w:tbl>
    <w:p>
      <w:pPr>
        <w:spacing w:after="0" w:line="316" w:lineRule="auto"/>
        <w:jc w:val="lef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9"/>
          <w:szCs w:val="29"/>
        </w:rPr>
      </w:pPr>
    </w:p>
    <w:p>
      <w:pPr>
        <w:pStyle w:val="Heading1"/>
        <w:spacing w:line="240" w:lineRule="auto"/>
        <w:ind w:right="150"/>
        <w:jc w:val="center"/>
        <w:rPr>
          <w:b w:val="0"/>
          <w:bCs w:val="0"/>
        </w:rPr>
      </w:pPr>
      <w:bookmarkStart w:name="第五节 重要事项" w:id="35"/>
      <w:bookmarkEnd w:id="35"/>
      <w:r>
        <w:rPr>
          <w:b w:val="0"/>
          <w:bCs w:val="0"/>
        </w:rPr>
      </w:r>
      <w:bookmarkStart w:name="_bookmark4" w:id="36"/>
      <w:bookmarkEnd w:id="36"/>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重大诉讼仲裁事项" w:id="37"/>
      <w:bookmarkEnd w:id="37"/>
      <w:r>
        <w:rPr>
          <w:b w:val="0"/>
          <w:bCs w:val="0"/>
        </w:rPr>
      </w:r>
      <w:r>
        <w:rPr/>
        <w:t>一、重大诉讼仲裁事项</w:t>
      </w:r>
      <w:r>
        <w:rPr>
          <w:b w:val="0"/>
          <w:bCs w:val="0"/>
        </w:rPr>
      </w:r>
    </w:p>
    <w:p>
      <w:pPr>
        <w:spacing w:line="240" w:lineRule="auto" w:before="8"/>
        <w:rPr>
          <w:rFonts w:ascii="宋体" w:hAnsi="宋体" w:cs="宋体" w:eastAsia="宋体" w:hint="default"/>
          <w:b/>
          <w:bCs/>
          <w:sz w:val="30"/>
          <w:szCs w:val="30"/>
        </w:rPr>
      </w:pPr>
    </w:p>
    <w:p>
      <w:pPr>
        <w:pStyle w:val="BodyText"/>
        <w:spacing w:line="444" w:lineRule="auto" w:before="0"/>
        <w:ind w:left="154" w:right="6412"/>
        <w:jc w:val="left"/>
      </w:pPr>
      <w:r>
        <w:rPr/>
        <w:t>□ 适用 √</w:t>
      </w:r>
      <w:r>
        <w:rPr>
          <w:spacing w:val="-1"/>
        </w:rPr>
        <w:t> </w:t>
      </w:r>
      <w:r>
        <w:rPr/>
        <w:t>不适用</w:t>
      </w:r>
      <w:r>
        <w:rPr/>
        <w:t> 本年度公司无重大诉讼、仲裁事项。</w:t>
      </w:r>
    </w:p>
    <w:p>
      <w:pPr>
        <w:spacing w:line="240" w:lineRule="auto" w:before="3"/>
        <w:rPr>
          <w:rFonts w:ascii="宋体" w:hAnsi="宋体" w:cs="宋体" w:eastAsia="宋体" w:hint="default"/>
          <w:sz w:val="16"/>
          <w:szCs w:val="16"/>
        </w:rPr>
      </w:pPr>
    </w:p>
    <w:p>
      <w:pPr>
        <w:pStyle w:val="Heading2"/>
        <w:spacing w:line="240" w:lineRule="auto" w:before="0"/>
        <w:ind w:left="154" w:right="0"/>
        <w:jc w:val="left"/>
        <w:rPr>
          <w:b w:val="0"/>
          <w:bCs w:val="0"/>
        </w:rPr>
      </w:pPr>
      <w:bookmarkStart w:name="二、上市公司发生控股股东及其关联方非经营性占用资金情况" w:id="38"/>
      <w:bookmarkEnd w:id="38"/>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30"/>
          <w:szCs w:val="30"/>
        </w:rPr>
      </w:pPr>
    </w:p>
    <w:p>
      <w:pPr>
        <w:pStyle w:val="BodyText"/>
        <w:spacing w:line="240" w:lineRule="auto" w:before="0"/>
        <w:ind w:left="154" w:right="0"/>
        <w:jc w:val="left"/>
      </w:pPr>
      <w:r>
        <w:rPr/>
        <w:t>√ 适用 □</w:t>
      </w:r>
      <w:r>
        <w:rPr>
          <w:spacing w:val="-1"/>
        </w:rPr>
        <w:t> </w:t>
      </w:r>
      <w:r>
        <w:rPr/>
        <w:t>不适用</w:t>
      </w:r>
    </w:p>
    <w:p>
      <w:pPr>
        <w:spacing w:line="240" w:lineRule="auto" w:before="5"/>
        <w:rPr>
          <w:rFonts w:ascii="宋体" w:hAnsi="宋体" w:cs="宋体" w:eastAsia="宋体" w:hint="default"/>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44"/>
        <w:ind w:left="0" w:right="158" w:firstLine="0"/>
        <w:jc w:val="right"/>
        <w:rPr>
          <w:rFonts w:ascii="宋体" w:hAnsi="宋体" w:cs="宋体" w:eastAsia="宋体" w:hint="default"/>
          <w:sz w:val="18"/>
          <w:szCs w:val="18"/>
        </w:rPr>
      </w:pPr>
      <w:r>
        <w:rPr/>
        <w:pict>
          <v:shape style="position:absolute;margin-left:55.919998pt;margin-top:-161.248276pt;width:480.85pt;height:403.8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3"/>
                    <w:gridCol w:w="954"/>
                    <w:gridCol w:w="956"/>
                    <w:gridCol w:w="959"/>
                    <w:gridCol w:w="959"/>
                    <w:gridCol w:w="958"/>
                    <w:gridCol w:w="958"/>
                    <w:gridCol w:w="959"/>
                    <w:gridCol w:w="958"/>
                    <w:gridCol w:w="958"/>
                  </w:tblGrid>
                  <w:tr>
                    <w:trPr>
                      <w:trHeight w:val="727" w:hRule="exact"/>
                    </w:trPr>
                    <w:tc>
                      <w:tcPr>
                        <w:tcW w:w="95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100" w:right="107"/>
                          <w:jc w:val="left"/>
                          <w:rPr>
                            <w:rFonts w:ascii="宋体" w:hAnsi="宋体" w:cs="宋体" w:eastAsia="宋体" w:hint="default"/>
                            <w:sz w:val="18"/>
                            <w:szCs w:val="18"/>
                          </w:rPr>
                        </w:pPr>
                        <w:r>
                          <w:rPr>
                            <w:rFonts w:ascii="宋体" w:hAnsi="宋体" w:cs="宋体" w:eastAsia="宋体" w:hint="default"/>
                            <w:sz w:val="18"/>
                            <w:szCs w:val="18"/>
                          </w:rPr>
                          <w:t>股东或关 联人名称</w:t>
                        </w:r>
                      </w:p>
                    </w:tc>
                    <w:tc>
                      <w:tcPr>
                        <w:tcW w:w="95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112" w:right="19" w:hanging="90"/>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9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201" w:right="19"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9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383" w:right="21" w:hanging="361"/>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381" w:right="19" w:hanging="360"/>
                          <w:jc w:val="left"/>
                          <w:rPr>
                            <w:rFonts w:ascii="宋体" w:hAnsi="宋体" w:cs="宋体" w:eastAsia="宋体" w:hint="default"/>
                            <w:sz w:val="18"/>
                            <w:szCs w:val="18"/>
                          </w:rPr>
                        </w:pPr>
                        <w:r>
                          <w:rPr>
                            <w:rFonts w:ascii="宋体" w:hAnsi="宋体" w:cs="宋体" w:eastAsia="宋体" w:hint="default"/>
                            <w:sz w:val="18"/>
                            <w:szCs w:val="18"/>
                          </w:rPr>
                          <w:t>预计偿还金 额</w:t>
                        </w:r>
                      </w:p>
                    </w:tc>
                    <w:tc>
                      <w:tcPr>
                        <w:tcW w:w="95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9" w:lineRule="auto" w:before="51"/>
                          <w:ind w:left="21" w:right="12"/>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1343" w:hRule="exact"/>
                    </w:trPr>
                    <w:tc>
                      <w:tcPr>
                        <w:tcW w:w="953"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95"/>
                          <w:jc w:val="both"/>
                          <w:rPr>
                            <w:rFonts w:ascii="宋体" w:hAnsi="宋体" w:cs="宋体" w:eastAsia="宋体" w:hint="default"/>
                            <w:sz w:val="18"/>
                            <w:szCs w:val="18"/>
                          </w:rPr>
                        </w:pPr>
                        <w:r>
                          <w:rPr>
                            <w:rFonts w:ascii="宋体" w:hAnsi="宋体" w:cs="宋体" w:eastAsia="宋体" w:hint="default"/>
                            <w:sz w:val="18"/>
                            <w:szCs w:val="18"/>
                          </w:rPr>
                          <w:t>江苏光一 投资管理 有限责任 公司</w:t>
                        </w:r>
                      </w:p>
                    </w:tc>
                    <w:tc>
                      <w:tcPr>
                        <w:tcW w:w="954"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1" w:right="18"/>
                          <w:jc w:val="both"/>
                          <w:rPr>
                            <w:rFonts w:ascii="宋体" w:hAnsi="宋体" w:cs="宋体" w:eastAsia="宋体" w:hint="default"/>
                            <w:sz w:val="18"/>
                            <w:szCs w:val="18"/>
                          </w:rPr>
                        </w:pPr>
                        <w:r>
                          <w:rPr>
                            <w:rFonts w:ascii="宋体" w:hAnsi="宋体" w:cs="宋体" w:eastAsia="宋体" w:hint="default"/>
                            <w:sz w:val="18"/>
                            <w:szCs w:val="18"/>
                          </w:rPr>
                          <w:t>南京宇能仪 表有限公司 股权与债权 转让款</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9,000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1,125</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7,875</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7,875</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日前</w:t>
                        </w:r>
                      </w:p>
                    </w:tc>
                  </w:tr>
                  <w:tr>
                    <w:trPr>
                      <w:trHeight w:val="407" w:hRule="exact"/>
                    </w:trPr>
                    <w:tc>
                      <w:tcPr>
                        <w:tcW w:w="2863"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0</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9,000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1,125</w:t>
                        </w:r>
                      </w:p>
                    </w:tc>
                    <w:tc>
                      <w:tcPr>
                        <w:tcW w:w="958"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53"/>
                          <w:ind w:right="7"/>
                          <w:jc w:val="right"/>
                          <w:rPr>
                            <w:rFonts w:ascii="宋体" w:hAnsi="宋体" w:cs="宋体" w:eastAsia="宋体" w:hint="default"/>
                            <w:sz w:val="18"/>
                            <w:szCs w:val="18"/>
                          </w:rPr>
                        </w:pPr>
                        <w:r>
                          <w:rPr>
                            <w:rFonts w:ascii="宋体"/>
                            <w:sz w:val="18"/>
                          </w:rPr>
                          <w:t>7,875</w:t>
                        </w:r>
                      </w:p>
                    </w:tc>
                    <w:tc>
                      <w:tcPr>
                        <w:tcW w:w="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sz w:val="18"/>
                          </w:rPr>
                          <w:t>--</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7,875</w:t>
                        </w:r>
                      </w:p>
                    </w:tc>
                    <w:tc>
                      <w:tcPr>
                        <w:tcW w:w="95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sz w:val="18"/>
                          </w:rPr>
                          <w:t>--</w:t>
                        </w:r>
                      </w:p>
                    </w:tc>
                  </w:tr>
                  <w:tr>
                    <w:trPr>
                      <w:trHeight w:val="407" w:hRule="exact"/>
                    </w:trPr>
                    <w:tc>
                      <w:tcPr>
                        <w:tcW w:w="2863"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期末合计值占期末净资产的比例</w:t>
                        </w:r>
                      </w:p>
                    </w:tc>
                    <w:tc>
                      <w:tcPr>
                        <w:tcW w:w="6708" w:type="dxa"/>
                        <w:gridSpan w:val="7"/>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6.08%</w:t>
                        </w:r>
                      </w:p>
                    </w:tc>
                  </w:tr>
                  <w:tr>
                    <w:trPr>
                      <w:trHeight w:val="1344" w:hRule="exact"/>
                    </w:trPr>
                    <w:tc>
                      <w:tcPr>
                        <w:tcW w:w="2863"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08" w:type="dxa"/>
                        <w:gridSpan w:val="7"/>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31"/>
                            <w:sz w:val="18"/>
                            <w:szCs w:val="18"/>
                          </w:rPr>
                          <w:t> </w:t>
                        </w:r>
                        <w:r>
                          <w:rPr>
                            <w:rFonts w:ascii="宋体" w:hAnsi="宋体" w:cs="宋体" w:eastAsia="宋体" w:hint="default"/>
                            <w:sz w:val="18"/>
                            <w:szCs w:val="18"/>
                          </w:rPr>
                          <w:t>2014</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8</w:t>
                        </w:r>
                        <w:r>
                          <w:rPr>
                            <w:rFonts w:ascii="宋体" w:hAnsi="宋体" w:cs="宋体" w:eastAsia="宋体"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宋体" w:hAnsi="宋体" w:cs="宋体" w:eastAsia="宋体" w:hint="default"/>
                            <w:sz w:val="18"/>
                            <w:szCs w:val="18"/>
                          </w:rPr>
                          <w:t>7</w:t>
                        </w:r>
                        <w:r>
                          <w:rPr>
                            <w:rFonts w:ascii="宋体" w:hAnsi="宋体" w:cs="宋体" w:eastAsia="宋体" w:hint="default"/>
                            <w:spacing w:val="-32"/>
                            <w:sz w:val="18"/>
                            <w:szCs w:val="18"/>
                          </w:rPr>
                          <w:t> </w:t>
                        </w:r>
                        <w:r>
                          <w:rPr>
                            <w:rFonts w:ascii="宋体" w:hAnsi="宋体" w:cs="宋体" w:eastAsia="宋体" w:hint="default"/>
                            <w:sz w:val="18"/>
                            <w:szCs w:val="18"/>
                          </w:rPr>
                          <w:t>日召开第二届董事会第十一次会议审议《关于拟出售资产</w:t>
                        </w:r>
                      </w:p>
                      <w:p>
                        <w:pPr>
                          <w:pStyle w:val="TableParagraph"/>
                          <w:spacing w:line="319" w:lineRule="auto" w:before="75"/>
                          <w:ind w:left="20" w:right="11"/>
                          <w:jc w:val="left"/>
                          <w:rPr>
                            <w:rFonts w:ascii="宋体" w:hAnsi="宋体" w:cs="宋体" w:eastAsia="宋体" w:hint="default"/>
                            <w:sz w:val="18"/>
                            <w:szCs w:val="18"/>
                          </w:rPr>
                        </w:pPr>
                        <w:r>
                          <w:rPr>
                            <w:rFonts w:ascii="宋体" w:hAnsi="宋体" w:cs="宋体" w:eastAsia="宋体" w:hint="default"/>
                            <w:spacing w:val="-13"/>
                            <w:sz w:val="18"/>
                            <w:szCs w:val="18"/>
                          </w:rPr>
                          <w:t>暨关联交易的议案》，</w:t>
                        </w:r>
                        <w:r>
                          <w:rPr>
                            <w:rFonts w:ascii="宋体" w:hAnsi="宋体" w:cs="宋体" w:eastAsia="宋体" w:hint="default"/>
                            <w:spacing w:val="-13"/>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26</w:t>
                        </w:r>
                        <w:r>
                          <w:rPr>
                            <w:rFonts w:ascii="宋体" w:hAnsi="宋体" w:cs="宋体" w:eastAsia="宋体" w:hint="default"/>
                            <w:spacing w:val="-53"/>
                            <w:sz w:val="18"/>
                            <w:szCs w:val="18"/>
                          </w:rPr>
                          <w:t> </w:t>
                        </w:r>
                        <w:r>
                          <w:rPr>
                            <w:rFonts w:ascii="宋体" w:hAnsi="宋体" w:cs="宋体" w:eastAsia="宋体" w:hint="default"/>
                            <w:sz w:val="18"/>
                            <w:szCs w:val="18"/>
                          </w:rPr>
                          <w:t>日经公司</w:t>
                        </w:r>
                        <w:r>
                          <w:rPr>
                            <w:rFonts w:ascii="宋体" w:hAnsi="宋体" w:cs="宋体" w:eastAsia="宋体" w:hint="default"/>
                            <w:spacing w:val="-53"/>
                            <w:sz w:val="18"/>
                            <w:szCs w:val="18"/>
                          </w:rPr>
                          <w:t> </w:t>
                        </w: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年第二次临时股东大会审议批准 将持有的控股子公司南京宇能</w:t>
                        </w:r>
                        <w:r>
                          <w:rPr>
                            <w:rFonts w:ascii="宋体" w:hAnsi="宋体" w:cs="宋体" w:eastAsia="宋体" w:hint="default"/>
                            <w:spacing w:val="-8"/>
                            <w:sz w:val="18"/>
                            <w:szCs w:val="18"/>
                          </w:rPr>
                          <w:t> </w:t>
                        </w:r>
                        <w:r>
                          <w:rPr>
                            <w:rFonts w:ascii="宋体" w:hAnsi="宋体" w:cs="宋体" w:eastAsia="宋体" w:hint="default"/>
                            <w:sz w:val="18"/>
                            <w:szCs w:val="18"/>
                          </w:rPr>
                          <w:t>55%</w:t>
                        </w:r>
                        <w:r>
                          <w:rPr>
                            <w:rFonts w:ascii="宋体" w:hAnsi="宋体" w:cs="宋体" w:eastAsia="宋体" w:hint="default"/>
                            <w:sz w:val="18"/>
                            <w:szCs w:val="18"/>
                          </w:rPr>
                          <w:t>的股权、全部债权及相应权利转让给公司控股股东 光一投资。</w:t>
                        </w:r>
                      </w:p>
                    </w:tc>
                  </w:tr>
                  <w:tr>
                    <w:trPr>
                      <w:trHeight w:val="1343" w:hRule="exact"/>
                    </w:trPr>
                    <w:tc>
                      <w:tcPr>
                        <w:tcW w:w="2863"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13" w:right="19"/>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究及董事会拟定采取措施的情况说 明</w:t>
                        </w:r>
                      </w:p>
                    </w:tc>
                    <w:tc>
                      <w:tcPr>
                        <w:tcW w:w="6708" w:type="dxa"/>
                        <w:gridSpan w:val="7"/>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为降低公司对外投资风险、保护上市公司和中小股东的利益，公司于</w:t>
                        </w:r>
                        <w:r>
                          <w:rPr>
                            <w:rFonts w:ascii="宋体" w:hAnsi="宋体" w:cs="宋体" w:eastAsia="宋体" w:hint="default"/>
                            <w:spacing w:val="-32"/>
                            <w:sz w:val="18"/>
                            <w:szCs w:val="18"/>
                          </w:rPr>
                          <w:t> </w:t>
                        </w:r>
                        <w:r>
                          <w:rPr>
                            <w:rFonts w:ascii="宋体" w:hAnsi="宋体" w:cs="宋体" w:eastAsia="宋体" w:hint="default"/>
                            <w:sz w:val="18"/>
                            <w:szCs w:val="18"/>
                          </w:rPr>
                          <w:t>2014</w:t>
                        </w:r>
                        <w:r>
                          <w:rPr>
                            <w:rFonts w:ascii="宋体" w:hAnsi="宋体" w:cs="宋体" w:eastAsia="宋体"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12</w:t>
                        </w:r>
                      </w:p>
                      <w:p>
                        <w:pPr>
                          <w:pStyle w:val="TableParagraph"/>
                          <w:spacing w:line="240" w:lineRule="auto" w:before="75"/>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26</w:t>
                        </w:r>
                        <w:r>
                          <w:rPr>
                            <w:rFonts w:ascii="宋体" w:hAnsi="宋体" w:cs="宋体" w:eastAsia="宋体" w:hint="default"/>
                            <w:spacing w:val="-39"/>
                            <w:sz w:val="18"/>
                            <w:szCs w:val="18"/>
                          </w:rPr>
                          <w:t> </w:t>
                        </w:r>
                        <w:r>
                          <w:rPr>
                            <w:rFonts w:ascii="宋体" w:hAnsi="宋体" w:cs="宋体" w:eastAsia="宋体" w:hint="default"/>
                            <w:sz w:val="18"/>
                            <w:szCs w:val="18"/>
                          </w:rPr>
                          <w:t>日召开</w:t>
                        </w:r>
                        <w:r>
                          <w:rPr>
                            <w:rFonts w:ascii="宋体" w:hAnsi="宋体" w:cs="宋体" w:eastAsia="宋体" w:hint="default"/>
                            <w:spacing w:val="-38"/>
                            <w:sz w:val="18"/>
                            <w:szCs w:val="18"/>
                          </w:rPr>
                          <w:t> </w:t>
                        </w:r>
                        <w:r>
                          <w:rPr>
                            <w:rFonts w:ascii="宋体" w:hAnsi="宋体" w:cs="宋体" w:eastAsia="宋体" w:hint="default"/>
                            <w:sz w:val="18"/>
                            <w:szCs w:val="18"/>
                          </w:rPr>
                          <w:t>2014</w:t>
                        </w:r>
                        <w:r>
                          <w:rPr>
                            <w:rFonts w:ascii="宋体" w:hAnsi="宋体" w:cs="宋体" w:eastAsia="宋体" w:hint="default"/>
                            <w:spacing w:val="-39"/>
                            <w:sz w:val="18"/>
                            <w:szCs w:val="18"/>
                          </w:rPr>
                          <w:t> </w:t>
                        </w:r>
                        <w:r>
                          <w:rPr>
                            <w:rFonts w:ascii="宋体" w:hAnsi="宋体" w:cs="宋体" w:eastAsia="宋体" w:hint="default"/>
                            <w:sz w:val="18"/>
                            <w:szCs w:val="18"/>
                          </w:rPr>
                          <w:t>年第二次临时股东大会同意将南京宇能</w:t>
                        </w:r>
                        <w:r>
                          <w:rPr>
                            <w:rFonts w:ascii="宋体" w:hAnsi="宋体" w:cs="宋体" w:eastAsia="宋体" w:hint="default"/>
                            <w:spacing w:val="-38"/>
                            <w:sz w:val="18"/>
                            <w:szCs w:val="18"/>
                          </w:rPr>
                          <w:t> </w:t>
                        </w:r>
                        <w:r>
                          <w:rPr>
                            <w:rFonts w:ascii="宋体" w:hAnsi="宋体" w:cs="宋体" w:eastAsia="宋体" w:hint="default"/>
                            <w:sz w:val="18"/>
                            <w:szCs w:val="18"/>
                          </w:rPr>
                          <w:t>55%</w:t>
                        </w:r>
                        <w:r>
                          <w:rPr>
                            <w:rFonts w:ascii="宋体" w:hAnsi="宋体" w:cs="宋体" w:eastAsia="宋体" w:hint="default"/>
                            <w:sz w:val="18"/>
                            <w:szCs w:val="18"/>
                          </w:rPr>
                          <w:t>的股权、全部债权及相</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应权利转让给控股股东光一投资。按转让协议约定，报告期内已支付 </w:t>
                        </w:r>
                        <w:r>
                          <w:rPr>
                            <w:rFonts w:ascii="宋体" w:hAnsi="宋体" w:cs="宋体" w:eastAsia="宋体" w:hint="default"/>
                            <w:sz w:val="18"/>
                            <w:szCs w:val="18"/>
                          </w:rPr>
                          <w:t>1125</w:t>
                        </w:r>
                        <w:r>
                          <w:rPr>
                            <w:rFonts w:ascii="宋体" w:hAnsi="宋体" w:cs="宋体" w:eastAsia="宋体" w:hint="default"/>
                            <w:spacing w:val="-7"/>
                            <w:sz w:val="18"/>
                            <w:szCs w:val="18"/>
                          </w:rPr>
                          <w:t> </w:t>
                        </w:r>
                        <w:r>
                          <w:rPr>
                            <w:rFonts w:ascii="宋体" w:hAnsi="宋体" w:cs="宋体" w:eastAsia="宋体" w:hint="default"/>
                            <w:sz w:val="18"/>
                            <w:szCs w:val="18"/>
                          </w:rPr>
                          <w:t>万元，剩</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余款项将在</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年内支付完毕。</w:t>
                        </w:r>
                      </w:p>
                    </w:tc>
                  </w:tr>
                  <w:tr>
                    <w:trPr>
                      <w:trHeight w:val="1031" w:hRule="exact"/>
                    </w:trPr>
                    <w:tc>
                      <w:tcPr>
                        <w:tcW w:w="2863"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13" w:right="19"/>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采取的措施说明</w:t>
                        </w:r>
                      </w:p>
                    </w:tc>
                    <w:tc>
                      <w:tcPr>
                        <w:tcW w:w="6708" w:type="dxa"/>
                        <w:gridSpan w:val="7"/>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9" w:hRule="exact"/>
                    </w:trPr>
                    <w:tc>
                      <w:tcPr>
                        <w:tcW w:w="2863" w:type="dxa"/>
                        <w:gridSpan w:val="3"/>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13" w:right="125"/>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08" w:type="dxa"/>
                        <w:gridSpan w:val="7"/>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27" w:hRule="exact"/>
                    </w:trPr>
                    <w:tc>
                      <w:tcPr>
                        <w:tcW w:w="2863" w:type="dxa"/>
                        <w:gridSpan w:val="3"/>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9" w:lineRule="auto" w:before="52"/>
                          <w:ind w:left="13" w:right="125"/>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08" w:type="dxa"/>
                        <w:gridSpan w:val="7"/>
                        <w:tcBorders>
                          <w:top w:val="single" w:sz="6" w:space="0" w:color="000000"/>
                          <w:left w:val="single" w:sz="6" w:space="0" w:color="000000"/>
                          <w:bottom w:val="single" w:sz="12" w:space="0" w:color="000000"/>
                          <w:right w:val="single" w:sz="12" w:space="0" w:color="000000"/>
                        </w:tcBorders>
                      </w:tcPr>
                      <w:p>
                        <w:pPr>
                          <w:pStyle w:val="TableParagraph"/>
                          <w:spacing w:line="319" w:lineRule="auto" w:before="52"/>
                          <w:ind w:left="20" w:right="11" w:firstLine="360"/>
                          <w:jc w:val="left"/>
                          <w:rPr>
                            <w:rFonts w:ascii="宋体" w:hAnsi="宋体" w:cs="宋体" w:eastAsia="宋体" w:hint="default"/>
                            <w:sz w:val="18"/>
                            <w:szCs w:val="18"/>
                          </w:rPr>
                        </w:pPr>
                        <w:r>
                          <w:rPr>
                            <w:rFonts w:ascii="宋体" w:hAnsi="宋体" w:cs="宋体" w:eastAsia="宋体" w:hint="default"/>
                            <w:sz w:val="18"/>
                            <w:szCs w:val="18"/>
                          </w:rPr>
                          <w:t>众会字（</w:t>
                        </w:r>
                        <w:r>
                          <w:rPr>
                            <w:rFonts w:ascii="宋体" w:hAnsi="宋体" w:cs="宋体" w:eastAsia="宋体" w:hint="default"/>
                            <w:sz w:val="18"/>
                            <w:szCs w:val="18"/>
                          </w:rPr>
                          <w:t>2015</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宋体" w:hAnsi="宋体" w:cs="宋体" w:eastAsia="宋体" w:hint="default"/>
                            <w:sz w:val="18"/>
                            <w:szCs w:val="18"/>
                          </w:rPr>
                          <w:t>2222</w:t>
                        </w:r>
                        <w:r>
                          <w:rPr>
                            <w:rFonts w:ascii="宋体" w:hAnsi="宋体" w:cs="宋体" w:eastAsia="宋体" w:hint="default"/>
                            <w:spacing w:val="-48"/>
                            <w:sz w:val="18"/>
                            <w:szCs w:val="18"/>
                          </w:rPr>
                          <w:t> </w:t>
                        </w:r>
                        <w:r>
                          <w:rPr>
                            <w:rFonts w:ascii="宋体" w:hAnsi="宋体" w:cs="宋体" w:eastAsia="宋体" w:hint="default"/>
                            <w:sz w:val="18"/>
                            <w:szCs w:val="18"/>
                          </w:rPr>
                          <w:t>号《光一科技股份有限公司</w:t>
                        </w:r>
                        <w:r>
                          <w:rPr>
                            <w:rFonts w:ascii="宋体" w:hAnsi="宋体" w:cs="宋体" w:eastAsia="宋体" w:hint="default"/>
                            <w:spacing w:val="-48"/>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年度非经营性资金占用 及其他关联资金往来情况的专项说明》</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6"/>
        <w:rPr>
          <w:rFonts w:ascii="宋体" w:hAnsi="宋体" w:cs="宋体" w:eastAsia="宋体" w:hint="default"/>
          <w:sz w:val="24"/>
          <w:szCs w:val="24"/>
        </w:rPr>
      </w:pPr>
    </w:p>
    <w:p>
      <w:pPr>
        <w:pStyle w:val="Heading2"/>
        <w:spacing w:line="240" w:lineRule="auto"/>
        <w:ind w:right="6322"/>
        <w:jc w:val="left"/>
        <w:rPr>
          <w:b w:val="0"/>
          <w:bCs w:val="0"/>
        </w:rPr>
      </w:pPr>
      <w:bookmarkStart w:name="三、破产重整相关事项" w:id="39"/>
      <w:bookmarkEnd w:id="39"/>
      <w:r>
        <w:rPr>
          <w:b w:val="0"/>
          <w:bCs w:val="0"/>
        </w:rPr>
      </w:r>
      <w:r>
        <w:rPr/>
        <w:t>三、破产重整相关事项</w:t>
      </w:r>
      <w:r>
        <w:rPr>
          <w:b w:val="0"/>
          <w:bCs w:val="0"/>
        </w:rPr>
      </w:r>
    </w:p>
    <w:p>
      <w:pPr>
        <w:spacing w:line="240" w:lineRule="auto" w:before="8"/>
        <w:rPr>
          <w:rFonts w:ascii="宋体" w:hAnsi="宋体" w:cs="宋体" w:eastAsia="宋体" w:hint="default"/>
          <w:b/>
          <w:bCs/>
          <w:sz w:val="30"/>
          <w:szCs w:val="30"/>
        </w:rPr>
      </w:pPr>
    </w:p>
    <w:p>
      <w:pPr>
        <w:pStyle w:val="BodyText"/>
        <w:spacing w:line="444" w:lineRule="auto" w:before="0"/>
        <w:ind w:left="154" w:right="6322"/>
        <w:jc w:val="left"/>
      </w:pPr>
      <w:r>
        <w:rPr/>
        <w:t>□ 适用 √</w:t>
      </w:r>
      <w:r>
        <w:rPr>
          <w:spacing w:val="-1"/>
        </w:rPr>
        <w:t> </w:t>
      </w:r>
      <w:r>
        <w:rPr/>
        <w:t>不适用</w:t>
      </w:r>
      <w:r>
        <w:rPr/>
        <w:t> 公司报告期未发生破产重整相关事项。</w:t>
      </w:r>
    </w:p>
    <w:p>
      <w:pPr>
        <w:spacing w:line="240" w:lineRule="auto" w:before="4"/>
        <w:rPr>
          <w:rFonts w:ascii="宋体" w:hAnsi="宋体" w:cs="宋体" w:eastAsia="宋体" w:hint="default"/>
          <w:sz w:val="16"/>
          <w:szCs w:val="16"/>
        </w:rPr>
      </w:pPr>
    </w:p>
    <w:p>
      <w:pPr>
        <w:pStyle w:val="Heading2"/>
        <w:spacing w:line="240" w:lineRule="auto" w:before="0"/>
        <w:ind w:left="154" w:right="6322"/>
        <w:jc w:val="left"/>
        <w:rPr>
          <w:b w:val="0"/>
          <w:bCs w:val="0"/>
        </w:rPr>
      </w:pPr>
      <w:bookmarkStart w:name="四、资产交易事项" w:id="40"/>
      <w:bookmarkEnd w:id="40"/>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6322"/>
        <w:jc w:val="left"/>
        <w:rPr>
          <w:b w:val="0"/>
          <w:bCs w:val="0"/>
        </w:rPr>
      </w:pPr>
      <w:bookmarkStart w:name="1、收购资产情况" w:id="41"/>
      <w:bookmarkEnd w:id="41"/>
      <w:r>
        <w:rPr>
          <w:b w:val="0"/>
          <w:bCs w:val="0"/>
        </w:rPr>
      </w:r>
      <w:r>
        <w:rPr>
          <w:rFonts w:ascii="宋体" w:hAnsi="宋体" w:cs="宋体" w:eastAsia="宋体" w:hint="default"/>
        </w:rPr>
        <w:t>1</w:t>
      </w:r>
      <w:r>
        <w:rPr/>
        <w:t>、收购资产情况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6"/>
        <w:ind w:left="154" w:right="6322"/>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0" w:right="104" w:firstLine="0"/>
        <w:jc w:val="right"/>
        <w:rPr>
          <w:rFonts w:ascii="宋体" w:hAnsi="宋体" w:cs="宋体" w:eastAsia="宋体" w:hint="default"/>
          <w:sz w:val="18"/>
          <w:szCs w:val="18"/>
        </w:rPr>
      </w:pPr>
      <w:r>
        <w:rPr/>
        <w:pict>
          <v:shape style="position:absolute;margin-left:55.919998pt;margin-top:-211.568283pt;width:489.4pt;height:515.7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5"/>
                    <w:gridCol w:w="696"/>
                    <w:gridCol w:w="850"/>
                    <w:gridCol w:w="852"/>
                    <w:gridCol w:w="1134"/>
                    <w:gridCol w:w="1134"/>
                    <w:gridCol w:w="850"/>
                    <w:gridCol w:w="677"/>
                    <w:gridCol w:w="742"/>
                    <w:gridCol w:w="850"/>
                    <w:gridCol w:w="1094"/>
                  </w:tblGrid>
                  <w:tr>
                    <w:trPr>
                      <w:trHeight w:val="1975" w:hRule="exact"/>
                    </w:trPr>
                    <w:tc>
                      <w:tcPr>
                        <w:tcW w:w="86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6" w:right="64"/>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6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5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8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0" w:right="-35" w:firstLine="88"/>
                          <w:jc w:val="left"/>
                          <w:rPr>
                            <w:rFonts w:ascii="宋体" w:hAnsi="宋体" w:cs="宋体" w:eastAsia="宋体" w:hint="default"/>
                            <w:sz w:val="18"/>
                            <w:szCs w:val="18"/>
                          </w:rPr>
                        </w:pPr>
                        <w:r>
                          <w:rPr>
                            <w:rFonts w:ascii="宋体" w:hAnsi="宋体" w:cs="宋体" w:eastAsia="宋体" w:hint="default"/>
                            <w:sz w:val="18"/>
                            <w:szCs w:val="18"/>
                          </w:rPr>
                          <w:t>对公司经营 </w:t>
                        </w:r>
                        <w:r>
                          <w:rPr>
                            <w:rFonts w:ascii="宋体" w:hAnsi="宋体" w:cs="宋体" w:eastAsia="宋体" w:hint="default"/>
                            <w:spacing w:val="-10"/>
                            <w:sz w:val="18"/>
                            <w:szCs w:val="18"/>
                          </w:rPr>
                          <w:t>的影响（注</w:t>
                        </w:r>
                        <w:r>
                          <w:rPr>
                            <w:rFonts w:ascii="宋体" w:hAnsi="宋体" w:cs="宋体" w:eastAsia="宋体" w:hint="default"/>
                            <w:spacing w:val="-43"/>
                            <w:sz w:val="18"/>
                            <w:szCs w:val="18"/>
                          </w:rPr>
                          <w:t> </w:t>
                        </w:r>
                        <w:r>
                          <w:rPr>
                            <w:rFonts w:ascii="宋体" w:hAnsi="宋体" w:cs="宋体" w:eastAsia="宋体" w:hint="default"/>
                            <w:spacing w:val="-17"/>
                            <w:sz w:val="18"/>
                            <w:szCs w:val="18"/>
                          </w:rPr>
                          <w:t>3</w:t>
                        </w:r>
                        <w:r>
                          <w:rPr>
                            <w:rFonts w:ascii="宋体" w:hAnsi="宋体" w:cs="宋体" w:eastAsia="宋体" w:hint="default"/>
                            <w:spacing w:val="-17"/>
                            <w:sz w:val="18"/>
                            <w:szCs w:val="18"/>
                          </w:rPr>
                          <w:t>）</w:t>
                        </w:r>
                        <w:r>
                          <w:rPr>
                            <w:rFonts w:ascii="宋体" w:hAnsi="宋体" w:cs="宋体" w:eastAsia="宋体" w:hint="default"/>
                            <w:sz w:val="18"/>
                            <w:szCs w:val="18"/>
                          </w:rPr>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0" w:right="108" w:firstLine="88"/>
                          <w:jc w:val="left"/>
                          <w:rPr>
                            <w:rFonts w:ascii="宋体" w:hAnsi="宋体" w:cs="宋体" w:eastAsia="宋体" w:hint="default"/>
                            <w:sz w:val="18"/>
                            <w:szCs w:val="18"/>
                          </w:rPr>
                        </w:pPr>
                        <w:r>
                          <w:rPr>
                            <w:rFonts w:ascii="宋体" w:hAnsi="宋体" w:cs="宋体" w:eastAsia="宋体" w:hint="default"/>
                            <w:sz w:val="18"/>
                            <w:szCs w:val="18"/>
                          </w:rPr>
                          <w:t>对公司损益 </w:t>
                        </w:r>
                        <w:r>
                          <w:rPr>
                            <w:rFonts w:ascii="宋体" w:hAnsi="宋体" w:cs="宋体" w:eastAsia="宋体" w:hint="default"/>
                            <w:spacing w:val="-10"/>
                            <w:sz w:val="18"/>
                            <w:szCs w:val="18"/>
                          </w:rPr>
                          <w:t>的影响（注</w:t>
                        </w:r>
                        <w:r>
                          <w:rPr>
                            <w:rFonts w:ascii="宋体" w:hAnsi="宋体" w:cs="宋体" w:eastAsia="宋体" w:hint="default"/>
                            <w:spacing w:val="-43"/>
                            <w:sz w:val="18"/>
                            <w:szCs w:val="18"/>
                          </w:rPr>
                          <w:t> </w:t>
                        </w:r>
                        <w:r>
                          <w:rPr>
                            <w:rFonts w:ascii="宋体" w:hAnsi="宋体" w:cs="宋体" w:eastAsia="宋体" w:hint="default"/>
                            <w:sz w:val="18"/>
                            <w:szCs w:val="18"/>
                          </w:rPr>
                          <w:t>4</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57" w:right="55"/>
                          <w:jc w:val="both"/>
                          <w:rPr>
                            <w:rFonts w:ascii="宋体" w:hAnsi="宋体" w:cs="宋体" w:eastAsia="宋体" w:hint="default"/>
                            <w:sz w:val="18"/>
                            <w:szCs w:val="18"/>
                          </w:rPr>
                        </w:pPr>
                        <w:r>
                          <w:rPr>
                            <w:rFonts w:ascii="宋体" w:hAnsi="宋体" w:cs="宋体" w:eastAsia="宋体" w:hint="default"/>
                            <w:sz w:val="18"/>
                            <w:szCs w:val="18"/>
                          </w:rPr>
                          <w:t>该资产为 上市公司 贡献的净</w:t>
                        </w:r>
                      </w:p>
                      <w:p>
                        <w:pPr>
                          <w:pStyle w:val="TableParagraph"/>
                          <w:spacing w:line="316" w:lineRule="auto" w:before="20"/>
                          <w:ind w:left="57" w:right="55" w:hanging="184"/>
                          <w:jc w:val="both"/>
                          <w:rPr>
                            <w:rFonts w:ascii="宋体" w:hAnsi="宋体" w:cs="宋体" w:eastAsia="宋体" w:hint="default"/>
                            <w:sz w:val="18"/>
                            <w:szCs w:val="18"/>
                          </w:rPr>
                        </w:pPr>
                        <w:r>
                          <w:rPr>
                            <w:rFonts w:ascii="宋体" w:hAnsi="宋体" w:cs="宋体" w:eastAsia="宋体" w:hint="default"/>
                            <w:sz w:val="18"/>
                            <w:szCs w:val="18"/>
                          </w:rPr>
                          <w:t>）利润占净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利润总额 的比率</w:t>
                        </w:r>
                      </w:p>
                    </w:tc>
                    <w:tc>
                      <w:tcPr>
                        <w:tcW w:w="6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1" w:right="59"/>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4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0" w:right="19" w:hanging="2"/>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9"/>
                            <w:sz w:val="18"/>
                            <w:szCs w:val="18"/>
                          </w:rPr>
                          <w:t>系（适用</w:t>
                        </w:r>
                        <w:r>
                          <w:rPr>
                            <w:rFonts w:ascii="宋体" w:hAnsi="宋体" w:cs="宋体" w:eastAsia="宋体" w:hint="default"/>
                            <w:sz w:val="18"/>
                            <w:szCs w:val="18"/>
                          </w:rPr>
                          <w:t> 关联交 易情形</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80"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10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8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51" w:hRule="exact"/>
                    </w:trPr>
                    <w:tc>
                      <w:tcPr>
                        <w:tcW w:w="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 w:right="107"/>
                          <w:jc w:val="both"/>
                          <w:rPr>
                            <w:rFonts w:ascii="宋体" w:hAnsi="宋体" w:cs="宋体" w:eastAsia="宋体" w:hint="default"/>
                            <w:sz w:val="18"/>
                            <w:szCs w:val="18"/>
                          </w:rPr>
                        </w:pPr>
                        <w:r>
                          <w:rPr>
                            <w:rFonts w:ascii="宋体" w:hAnsi="宋体" w:cs="宋体" w:eastAsia="宋体" w:hint="default"/>
                            <w:sz w:val="18"/>
                            <w:szCs w:val="18"/>
                          </w:rPr>
                          <w:t>北京绿金 创想电子 商务有限 公司、钱 卫民</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0" w:right="119"/>
                          <w:jc w:val="both"/>
                          <w:rPr>
                            <w:rFonts w:ascii="宋体" w:hAnsi="宋体" w:cs="宋体" w:eastAsia="宋体" w:hint="default"/>
                            <w:sz w:val="18"/>
                            <w:szCs w:val="18"/>
                          </w:rPr>
                        </w:pPr>
                        <w:r>
                          <w:rPr>
                            <w:rFonts w:ascii="宋体" w:hAnsi="宋体" w:cs="宋体" w:eastAsia="宋体" w:hint="default"/>
                            <w:sz w:val="18"/>
                            <w:szCs w:val="18"/>
                          </w:rPr>
                          <w:t>南京云 商天下 信息技 术有限 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64" w:right="0"/>
                          <w:jc w:val="left"/>
                          <w:rPr>
                            <w:rFonts w:ascii="宋体" w:hAnsi="宋体" w:cs="宋体" w:eastAsia="宋体" w:hint="default"/>
                            <w:sz w:val="18"/>
                            <w:szCs w:val="18"/>
                          </w:rPr>
                        </w:pPr>
                        <w:r>
                          <w:rPr>
                            <w:rFonts w:ascii="宋体"/>
                            <w:sz w:val="18"/>
                          </w:rPr>
                          <w:t>1,144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 w:right="95"/>
                          <w:jc w:val="both"/>
                          <w:rPr>
                            <w:rFonts w:ascii="宋体" w:hAnsi="宋体" w:cs="宋体" w:eastAsia="宋体" w:hint="default"/>
                            <w:sz w:val="18"/>
                            <w:szCs w:val="18"/>
                          </w:rPr>
                        </w:pPr>
                        <w:r>
                          <w:rPr>
                            <w:rFonts w:ascii="宋体" w:hAnsi="宋体" w:cs="宋体" w:eastAsia="宋体" w:hint="default"/>
                            <w:sz w:val="18"/>
                            <w:szCs w:val="18"/>
                          </w:rPr>
                          <w:t>增资款及 股权转让 款已按协 议约定支 付，并完 成相关工 商变更备 案手续。</w:t>
                        </w:r>
                      </w:p>
                    </w:tc>
                    <w:tc>
                      <w:tcPr>
                        <w:tcW w:w="1134" w:type="dxa"/>
                        <w:tcBorders>
                          <w:top w:val="single" w:sz="6" w:space="0" w:color="000000"/>
                          <w:left w:val="single" w:sz="6" w:space="0" w:color="000000"/>
                          <w:bottom w:val="single" w:sz="6" w:space="0" w:color="000000"/>
                          <w:right w:val="single" w:sz="9" w:space="0" w:color="FFFFFF"/>
                        </w:tcBorders>
                      </w:tcPr>
                      <w:p>
                        <w:pPr>
                          <w:pStyle w:val="TableParagraph"/>
                          <w:spacing w:line="316" w:lineRule="auto" w:before="51"/>
                          <w:ind w:left="20" w:right="-27"/>
                          <w:jc w:val="both"/>
                          <w:rPr>
                            <w:rFonts w:ascii="宋体" w:hAnsi="宋体" w:cs="宋体" w:eastAsia="宋体" w:hint="default"/>
                            <w:sz w:val="18"/>
                            <w:szCs w:val="18"/>
                          </w:rPr>
                        </w:pPr>
                        <w:r>
                          <w:rPr>
                            <w:rFonts w:ascii="宋体" w:hAnsi="宋体" w:cs="宋体" w:eastAsia="宋体" w:hint="default"/>
                            <w:spacing w:val="35"/>
                            <w:sz w:val="18"/>
                            <w:szCs w:val="18"/>
                          </w:rPr>
                          <w:t>收购事项不</w:t>
                        </w:r>
                        <w:r>
                          <w:rPr>
                            <w:rFonts w:ascii="宋体" w:hAnsi="宋体" w:cs="宋体" w:eastAsia="宋体" w:hint="default"/>
                            <w:spacing w:val="-46"/>
                            <w:sz w:val="18"/>
                            <w:szCs w:val="18"/>
                          </w:rPr>
                          <w:t> </w:t>
                        </w:r>
                        <w:r>
                          <w:rPr>
                            <w:rFonts w:ascii="宋体" w:hAnsi="宋体" w:cs="宋体" w:eastAsia="宋体" w:hint="default"/>
                            <w:spacing w:val="35"/>
                            <w:sz w:val="18"/>
                            <w:szCs w:val="18"/>
                          </w:rPr>
                          <w:t>影响公司业</w:t>
                        </w:r>
                        <w:r>
                          <w:rPr>
                            <w:rFonts w:ascii="宋体" w:hAnsi="宋体" w:cs="宋体" w:eastAsia="宋体" w:hint="default"/>
                            <w:spacing w:val="-46"/>
                            <w:sz w:val="18"/>
                            <w:szCs w:val="18"/>
                          </w:rPr>
                          <w:t> </w:t>
                        </w:r>
                        <w:r>
                          <w:rPr>
                            <w:rFonts w:ascii="宋体" w:hAnsi="宋体" w:cs="宋体" w:eastAsia="宋体" w:hint="default"/>
                            <w:spacing w:val="35"/>
                            <w:sz w:val="18"/>
                            <w:szCs w:val="18"/>
                          </w:rPr>
                          <w:t>务连续性及</w:t>
                        </w:r>
                        <w:r>
                          <w:rPr>
                            <w:rFonts w:ascii="宋体" w:hAnsi="宋体" w:cs="宋体" w:eastAsia="宋体" w:hint="default"/>
                            <w:spacing w:val="-46"/>
                            <w:sz w:val="18"/>
                            <w:szCs w:val="18"/>
                          </w:rPr>
                          <w:t> </w:t>
                        </w:r>
                        <w:r>
                          <w:rPr>
                            <w:rFonts w:ascii="宋体" w:hAnsi="宋体" w:cs="宋体" w:eastAsia="宋体" w:hint="default"/>
                            <w:spacing w:val="35"/>
                            <w:sz w:val="18"/>
                            <w:szCs w:val="18"/>
                          </w:rPr>
                          <w:t>管理层稳定</w:t>
                        </w:r>
                        <w:r>
                          <w:rPr>
                            <w:rFonts w:ascii="宋体" w:hAnsi="宋体" w:cs="宋体" w:eastAsia="宋体" w:hint="default"/>
                            <w:spacing w:val="-46"/>
                            <w:sz w:val="18"/>
                            <w:szCs w:val="18"/>
                          </w:rPr>
                          <w:t> </w:t>
                        </w:r>
                        <w:r>
                          <w:rPr>
                            <w:rFonts w:ascii="宋体" w:hAnsi="宋体" w:cs="宋体" w:eastAsia="宋体" w:hint="default"/>
                            <w:sz w:val="18"/>
                            <w:szCs w:val="18"/>
                          </w:rPr>
                          <w:t>性，可以有效</w:t>
                        </w:r>
                        <w:r>
                          <w:rPr>
                            <w:rFonts w:ascii="宋体" w:hAnsi="宋体" w:cs="宋体" w:eastAsia="宋体" w:hint="default"/>
                            <w:sz w:val="18"/>
                            <w:szCs w:val="18"/>
                          </w:rPr>
                          <w:t> 拓展新市场， </w:t>
                        </w:r>
                        <w:r>
                          <w:rPr>
                            <w:rFonts w:ascii="宋体" w:hAnsi="宋体" w:cs="宋体" w:eastAsia="宋体" w:hint="default"/>
                            <w:spacing w:val="35"/>
                            <w:sz w:val="18"/>
                            <w:szCs w:val="18"/>
                          </w:rPr>
                          <w:t>使公司业务</w:t>
                        </w:r>
                        <w:r>
                          <w:rPr>
                            <w:rFonts w:ascii="宋体" w:hAnsi="宋体" w:cs="宋体" w:eastAsia="宋体" w:hint="default"/>
                            <w:spacing w:val="-46"/>
                            <w:sz w:val="18"/>
                            <w:szCs w:val="18"/>
                          </w:rPr>
                          <w:t> </w:t>
                        </w:r>
                        <w:r>
                          <w:rPr>
                            <w:rFonts w:ascii="宋体" w:hAnsi="宋体" w:cs="宋体" w:eastAsia="宋体" w:hint="default"/>
                            <w:spacing w:val="35"/>
                            <w:sz w:val="18"/>
                            <w:szCs w:val="18"/>
                          </w:rPr>
                          <w:t>模式更进一</w:t>
                        </w:r>
                        <w:r>
                          <w:rPr>
                            <w:rFonts w:ascii="宋体" w:hAnsi="宋体" w:cs="宋体" w:eastAsia="宋体" w:hint="default"/>
                            <w:spacing w:val="-46"/>
                            <w:sz w:val="18"/>
                            <w:szCs w:val="18"/>
                          </w:rPr>
                          <w:t> </w:t>
                        </w:r>
                        <w:r>
                          <w:rPr>
                            <w:rFonts w:ascii="宋体" w:hAnsi="宋体" w:cs="宋体" w:eastAsia="宋体" w:hint="default"/>
                            <w:spacing w:val="35"/>
                            <w:sz w:val="18"/>
                            <w:szCs w:val="18"/>
                          </w:rPr>
                          <w:t>步向纵深扩</w:t>
                        </w:r>
                        <w:r>
                          <w:rPr>
                            <w:rFonts w:ascii="宋体" w:hAnsi="宋体" w:cs="宋体" w:eastAsia="宋体" w:hint="default"/>
                            <w:spacing w:val="-46"/>
                            <w:sz w:val="18"/>
                            <w:szCs w:val="18"/>
                          </w:rPr>
                          <w:t> </w:t>
                        </w:r>
                        <w:r>
                          <w:rPr>
                            <w:rFonts w:ascii="宋体" w:hAnsi="宋体" w:cs="宋体" w:eastAsia="宋体" w:hint="default"/>
                            <w:sz w:val="18"/>
                            <w:szCs w:val="18"/>
                          </w:rPr>
                          <w:t>张，增强公司</w:t>
                        </w:r>
                        <w:r>
                          <w:rPr>
                            <w:rFonts w:ascii="宋体" w:hAnsi="宋体" w:cs="宋体" w:eastAsia="宋体" w:hint="default"/>
                            <w:sz w:val="18"/>
                            <w:szCs w:val="18"/>
                          </w:rPr>
                          <w:t> </w:t>
                        </w:r>
                        <w:r>
                          <w:rPr>
                            <w:rFonts w:ascii="宋体" w:hAnsi="宋体" w:cs="宋体" w:eastAsia="宋体" w:hint="default"/>
                            <w:spacing w:val="35"/>
                            <w:sz w:val="18"/>
                            <w:szCs w:val="18"/>
                          </w:rPr>
                          <w:t>抵御政策和</w:t>
                        </w:r>
                        <w:r>
                          <w:rPr>
                            <w:rFonts w:ascii="宋体" w:hAnsi="宋体" w:cs="宋体" w:eastAsia="宋体" w:hint="default"/>
                            <w:spacing w:val="-46"/>
                            <w:sz w:val="18"/>
                            <w:szCs w:val="18"/>
                          </w:rPr>
                          <w:t> </w:t>
                        </w:r>
                        <w:r>
                          <w:rPr>
                            <w:rFonts w:ascii="宋体" w:hAnsi="宋体" w:cs="宋体" w:eastAsia="宋体" w:hint="default"/>
                            <w:spacing w:val="35"/>
                            <w:sz w:val="18"/>
                            <w:szCs w:val="18"/>
                          </w:rPr>
                          <w:t>市场波动风</w:t>
                        </w:r>
                        <w:r>
                          <w:rPr>
                            <w:rFonts w:ascii="宋体" w:hAnsi="宋体" w:cs="宋体" w:eastAsia="宋体" w:hint="default"/>
                            <w:spacing w:val="-46"/>
                            <w:sz w:val="18"/>
                            <w:szCs w:val="18"/>
                          </w:rPr>
                          <w:t> </w:t>
                        </w:r>
                        <w:r>
                          <w:rPr>
                            <w:rFonts w:ascii="宋体" w:hAnsi="宋体" w:cs="宋体" w:eastAsia="宋体" w:hint="default"/>
                            <w:sz w:val="18"/>
                            <w:szCs w:val="18"/>
                          </w:rPr>
                          <w:t>险的能力。</w:t>
                        </w:r>
                      </w:p>
                    </w:tc>
                    <w:tc>
                      <w:tcPr>
                        <w:tcW w:w="1134" w:type="dxa"/>
                        <w:tcBorders>
                          <w:top w:val="single" w:sz="6" w:space="0" w:color="000000"/>
                          <w:left w:val="single" w:sz="9" w:space="0" w:color="FFFFFF"/>
                          <w:bottom w:val="single" w:sz="6"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 w:right="-27"/>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4</w:t>
                        </w:r>
                        <w:r>
                          <w:rPr>
                            <w:rFonts w:ascii="宋体" w:hAnsi="宋体" w:cs="宋体" w:eastAsia="宋体" w:hint="default"/>
                            <w:spacing w:val="-62"/>
                            <w:sz w:val="18"/>
                            <w:szCs w:val="18"/>
                          </w:rPr>
                          <w:t> </w:t>
                        </w:r>
                        <w:r>
                          <w:rPr>
                            <w:rFonts w:ascii="宋体" w:hAnsi="宋体" w:cs="宋体" w:eastAsia="宋体" w:hint="default"/>
                            <w:sz w:val="18"/>
                            <w:szCs w:val="18"/>
                          </w:rPr>
                          <w:t>月完 成工商变更， </w:t>
                        </w:r>
                        <w:r>
                          <w:rPr>
                            <w:rFonts w:ascii="宋体" w:hAnsi="宋体" w:cs="宋体" w:eastAsia="宋体" w:hint="default"/>
                            <w:spacing w:val="35"/>
                            <w:sz w:val="18"/>
                            <w:szCs w:val="18"/>
                          </w:rPr>
                          <w:t>自始纳入公</w:t>
                        </w:r>
                        <w:r>
                          <w:rPr>
                            <w:rFonts w:ascii="宋体" w:hAnsi="宋体" w:cs="宋体" w:eastAsia="宋体" w:hint="default"/>
                            <w:spacing w:val="-46"/>
                            <w:sz w:val="18"/>
                            <w:szCs w:val="18"/>
                          </w:rPr>
                          <w:t> </w:t>
                        </w:r>
                        <w:r>
                          <w:rPr>
                            <w:rFonts w:ascii="宋体" w:hAnsi="宋体" w:cs="宋体" w:eastAsia="宋体" w:hint="default"/>
                            <w:sz w:val="18"/>
                            <w:szCs w:val="18"/>
                          </w:rPr>
                          <w:t>司合并范围。</w:t>
                        </w:r>
                        <w:r>
                          <w:rPr>
                            <w:rFonts w:ascii="宋体" w:hAnsi="宋体" w:cs="宋体" w:eastAsia="宋体" w:hint="default"/>
                            <w:sz w:val="18"/>
                            <w:szCs w:val="18"/>
                          </w:rPr>
                          <w:t> </w:t>
                        </w: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宋体" w:hAnsi="宋体" w:cs="宋体" w:eastAsia="宋体" w:hint="default"/>
                            <w:sz w:val="18"/>
                            <w:szCs w:val="18"/>
                          </w:rPr>
                          <w:t>4-12</w:t>
                        </w:r>
                      </w:p>
                      <w:p>
                        <w:pPr>
                          <w:pStyle w:val="TableParagraph"/>
                          <w:spacing w:line="316" w:lineRule="auto" w:before="19"/>
                          <w:ind w:left="16" w:right="-27"/>
                          <w:jc w:val="both"/>
                          <w:rPr>
                            <w:rFonts w:ascii="宋体" w:hAnsi="宋体" w:cs="宋体" w:eastAsia="宋体" w:hint="default"/>
                            <w:sz w:val="18"/>
                            <w:szCs w:val="18"/>
                          </w:rPr>
                        </w:pPr>
                        <w:r>
                          <w:rPr>
                            <w:rFonts w:ascii="宋体" w:hAnsi="宋体" w:cs="宋体" w:eastAsia="宋体" w:hint="default"/>
                            <w:spacing w:val="35"/>
                            <w:sz w:val="18"/>
                            <w:szCs w:val="18"/>
                          </w:rPr>
                          <w:t>月该收购事</w:t>
                        </w:r>
                        <w:r>
                          <w:rPr>
                            <w:rFonts w:ascii="宋体" w:hAnsi="宋体" w:cs="宋体" w:eastAsia="宋体" w:hint="default"/>
                            <w:spacing w:val="-46"/>
                            <w:sz w:val="18"/>
                            <w:szCs w:val="18"/>
                          </w:rPr>
                          <w:t> </w:t>
                        </w:r>
                        <w:r>
                          <w:rPr>
                            <w:rFonts w:ascii="宋体" w:hAnsi="宋体" w:cs="宋体" w:eastAsia="宋体" w:hint="default"/>
                            <w:spacing w:val="35"/>
                            <w:sz w:val="18"/>
                            <w:szCs w:val="18"/>
                          </w:rPr>
                          <w:t>项影响归属</w:t>
                        </w:r>
                        <w:r>
                          <w:rPr>
                            <w:rFonts w:ascii="宋体" w:hAnsi="宋体" w:cs="宋体" w:eastAsia="宋体" w:hint="default"/>
                            <w:spacing w:val="-46"/>
                            <w:sz w:val="18"/>
                            <w:szCs w:val="18"/>
                          </w:rPr>
                          <w:t> </w:t>
                        </w:r>
                        <w:r>
                          <w:rPr>
                            <w:rFonts w:ascii="宋体" w:hAnsi="宋体" w:cs="宋体" w:eastAsia="宋体" w:hint="default"/>
                            <w:spacing w:val="35"/>
                            <w:sz w:val="18"/>
                            <w:szCs w:val="18"/>
                          </w:rPr>
                          <w:t>于母公司净</w:t>
                        </w:r>
                        <w:r>
                          <w:rPr>
                            <w:rFonts w:ascii="宋体" w:hAnsi="宋体" w:cs="宋体" w:eastAsia="宋体" w:hint="default"/>
                            <w:spacing w:val="-46"/>
                            <w:sz w:val="18"/>
                            <w:szCs w:val="18"/>
                          </w:rPr>
                          <w:t> </w:t>
                        </w:r>
                        <w:r>
                          <w:rPr>
                            <w:rFonts w:ascii="宋体" w:hAnsi="宋体" w:cs="宋体" w:eastAsia="宋体" w:hint="default"/>
                            <w:spacing w:val="44"/>
                            <w:sz w:val="18"/>
                            <w:szCs w:val="18"/>
                          </w:rPr>
                          <w:t>利润</w:t>
                        </w:r>
                        <w:r>
                          <w:rPr>
                            <w:rFonts w:ascii="宋体" w:hAnsi="宋体" w:cs="宋体" w:eastAsia="宋体" w:hint="default"/>
                            <w:spacing w:val="-2"/>
                            <w:sz w:val="18"/>
                            <w:szCs w:val="18"/>
                          </w:rPr>
                          <w:t> </w:t>
                        </w:r>
                        <w:r>
                          <w:rPr>
                            <w:rFonts w:ascii="宋体" w:hAnsi="宋体" w:cs="宋体" w:eastAsia="宋体" w:hint="default"/>
                            <w:sz w:val="18"/>
                            <w:szCs w:val="18"/>
                          </w:rPr>
                          <w:t>-65.50</w:t>
                        </w:r>
                      </w:p>
                      <w:p>
                        <w:pPr>
                          <w:pStyle w:val="TableParagraph"/>
                          <w:spacing w:line="240" w:lineRule="auto" w:before="20"/>
                          <w:ind w:left="16"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850" w:type="dxa"/>
                        <w:tcBorders>
                          <w:top w:val="single" w:sz="6" w:space="0" w:color="000000"/>
                          <w:left w:val="single" w:sz="9" w:space="0" w:color="FFFFFF"/>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-1.82%</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0" w:right="-23"/>
                          <w:jc w:val="both"/>
                          <w:rPr>
                            <w:rFonts w:ascii="宋体" w:hAnsi="宋体" w:cs="宋体" w:eastAsia="宋体" w:hint="default"/>
                            <w:sz w:val="18"/>
                            <w:szCs w:val="18"/>
                          </w:rPr>
                        </w:pPr>
                        <w:r>
                          <w:rPr>
                            <w:rFonts w:ascii="宋体" w:hAnsi="宋体" w:cs="宋体" w:eastAsia="宋体" w:hint="default"/>
                            <w:spacing w:val="27"/>
                            <w:sz w:val="18"/>
                            <w:szCs w:val="18"/>
                          </w:rPr>
                          <w:t>中国证监会</w:t>
                        </w:r>
                        <w:r>
                          <w:rPr>
                            <w:rFonts w:ascii="宋体" w:hAnsi="宋体" w:cs="宋体" w:eastAsia="宋体" w:hint="default"/>
                            <w:spacing w:val="-56"/>
                            <w:sz w:val="18"/>
                            <w:szCs w:val="18"/>
                          </w:rPr>
                          <w:t> </w:t>
                        </w:r>
                        <w:r>
                          <w:rPr>
                            <w:rFonts w:ascii="宋体" w:hAnsi="宋体" w:cs="宋体" w:eastAsia="宋体" w:hint="default"/>
                            <w:spacing w:val="27"/>
                            <w:sz w:val="18"/>
                            <w:szCs w:val="18"/>
                          </w:rPr>
                          <w:t>指定的创业</w:t>
                        </w:r>
                        <w:r>
                          <w:rPr>
                            <w:rFonts w:ascii="宋体" w:hAnsi="宋体" w:cs="宋体" w:eastAsia="宋体" w:hint="default"/>
                            <w:spacing w:val="-56"/>
                            <w:sz w:val="18"/>
                            <w:szCs w:val="18"/>
                          </w:rPr>
                          <w:t> </w:t>
                        </w:r>
                        <w:r>
                          <w:rPr>
                            <w:rFonts w:ascii="宋体" w:hAnsi="宋体" w:cs="宋体" w:eastAsia="宋体" w:hint="default"/>
                            <w:spacing w:val="27"/>
                            <w:sz w:val="18"/>
                            <w:szCs w:val="18"/>
                          </w:rPr>
                          <w:t>板信息披露</w:t>
                        </w:r>
                        <w:r>
                          <w:rPr>
                            <w:rFonts w:ascii="宋体" w:hAnsi="宋体" w:cs="宋体" w:eastAsia="宋体" w:hint="default"/>
                            <w:spacing w:val="-56"/>
                            <w:sz w:val="18"/>
                            <w:szCs w:val="18"/>
                          </w:rPr>
                          <w:t> </w:t>
                        </w:r>
                        <w:r>
                          <w:rPr>
                            <w:rFonts w:ascii="宋体" w:hAnsi="宋体" w:cs="宋体" w:eastAsia="宋体" w:hint="default"/>
                            <w:spacing w:val="27"/>
                            <w:sz w:val="18"/>
                            <w:szCs w:val="18"/>
                          </w:rPr>
                          <w:t>网站－巨潮</w:t>
                        </w:r>
                        <w:r>
                          <w:rPr>
                            <w:rFonts w:ascii="宋体" w:hAnsi="宋体" w:cs="宋体" w:eastAsia="宋体" w:hint="default"/>
                            <w:spacing w:val="-56"/>
                            <w:sz w:val="18"/>
                            <w:szCs w:val="18"/>
                          </w:rPr>
                          <w:t> </w:t>
                        </w:r>
                        <w:r>
                          <w:rPr>
                            <w:rFonts w:ascii="宋体" w:hAnsi="宋体" w:cs="宋体" w:eastAsia="宋体" w:hint="default"/>
                            <w:spacing w:val="-7"/>
                            <w:sz w:val="18"/>
                            <w:szCs w:val="18"/>
                          </w:rPr>
                          <w:t>资讯网《对外</w:t>
                        </w:r>
                        <w:r>
                          <w:rPr>
                            <w:rFonts w:ascii="宋体" w:hAnsi="宋体" w:cs="宋体" w:eastAsia="宋体" w:hint="default"/>
                            <w:sz w:val="18"/>
                            <w:szCs w:val="18"/>
                          </w:rPr>
                          <w:t> </w:t>
                        </w:r>
                        <w:r>
                          <w:rPr>
                            <w:rFonts w:ascii="宋体" w:hAnsi="宋体" w:cs="宋体" w:eastAsia="宋体" w:hint="default"/>
                            <w:spacing w:val="42"/>
                            <w:sz w:val="18"/>
                            <w:szCs w:val="18"/>
                          </w:rPr>
                          <w:t>投资公告</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240" w:lineRule="auto" w:before="19"/>
                          <w:ind w:left="20" w:right="0"/>
                          <w:jc w:val="both"/>
                          <w:rPr>
                            <w:rFonts w:ascii="宋体" w:hAnsi="宋体" w:cs="宋体" w:eastAsia="宋体" w:hint="default"/>
                            <w:sz w:val="18"/>
                            <w:szCs w:val="18"/>
                          </w:rPr>
                        </w:pPr>
                        <w:r>
                          <w:rPr>
                            <w:rFonts w:ascii="宋体" w:hAnsi="宋体" w:cs="宋体" w:eastAsia="宋体" w:hint="default"/>
                            <w:spacing w:val="27"/>
                            <w:sz w:val="18"/>
                            <w:szCs w:val="18"/>
                          </w:rPr>
                          <w:t>（公告编码</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40" w:lineRule="auto" w:before="76"/>
                          <w:ind w:left="20" w:right="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w:t>
                        </w:r>
                      </w:p>
                      <w:p>
                        <w:pPr>
                          <w:pStyle w:val="TableParagraph"/>
                          <w:spacing w:line="240" w:lineRule="auto" w:before="77"/>
                          <w:ind w:left="20" w:right="0"/>
                          <w:jc w:val="both"/>
                          <w:rPr>
                            <w:rFonts w:ascii="宋体" w:hAnsi="宋体" w:cs="宋体" w:eastAsia="宋体" w:hint="default"/>
                            <w:sz w:val="18"/>
                            <w:szCs w:val="18"/>
                          </w:rPr>
                        </w:pPr>
                        <w:r>
                          <w:rPr>
                            <w:rFonts w:ascii="宋体" w:hAnsi="宋体" w:cs="宋体" w:eastAsia="宋体" w:hint="default"/>
                            <w:sz w:val="18"/>
                            <w:szCs w:val="18"/>
                          </w:rPr>
                          <w:t>0219-006</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159" w:hRule="exact"/>
                    </w:trPr>
                    <w:tc>
                      <w:tcPr>
                        <w:tcW w:w="86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3" w:right="63"/>
                          <w:jc w:val="both"/>
                          <w:rPr>
                            <w:rFonts w:ascii="宋体" w:hAnsi="宋体" w:cs="宋体" w:eastAsia="宋体" w:hint="default"/>
                            <w:sz w:val="18"/>
                            <w:szCs w:val="18"/>
                          </w:rPr>
                        </w:pPr>
                        <w:r>
                          <w:rPr>
                            <w:rFonts w:ascii="宋体" w:hAnsi="宋体" w:cs="宋体" w:eastAsia="宋体" w:hint="default"/>
                            <w:sz w:val="18"/>
                            <w:szCs w:val="18"/>
                          </w:rPr>
                          <w:t>任昌兆等 </w:t>
                        </w:r>
                        <w:r>
                          <w:rPr>
                            <w:rFonts w:ascii="宋体" w:hAnsi="宋体" w:cs="宋体" w:eastAsia="宋体" w:hint="default"/>
                            <w:sz w:val="18"/>
                            <w:szCs w:val="18"/>
                          </w:rPr>
                          <w:t>33</w:t>
                        </w:r>
                        <w:r>
                          <w:rPr>
                            <w:rFonts w:ascii="宋体" w:hAnsi="宋体" w:cs="宋体" w:eastAsia="宋体" w:hint="default"/>
                            <w:spacing w:val="-46"/>
                            <w:sz w:val="18"/>
                            <w:szCs w:val="18"/>
                          </w:rPr>
                          <w:t> </w:t>
                        </w:r>
                        <w:r>
                          <w:rPr>
                            <w:rFonts w:ascii="宋体" w:hAnsi="宋体" w:cs="宋体" w:eastAsia="宋体" w:hint="default"/>
                            <w:sz w:val="18"/>
                            <w:szCs w:val="18"/>
                          </w:rPr>
                          <w:t>名交易 方</w:t>
                        </w:r>
                      </w:p>
                    </w:tc>
                    <w:tc>
                      <w:tcPr>
                        <w:tcW w:w="6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0" w:right="119"/>
                          <w:jc w:val="both"/>
                          <w:rPr>
                            <w:rFonts w:ascii="宋体" w:hAnsi="宋体" w:cs="宋体" w:eastAsia="宋体" w:hint="default"/>
                            <w:sz w:val="18"/>
                            <w:szCs w:val="18"/>
                          </w:rPr>
                        </w:pPr>
                        <w:r>
                          <w:rPr>
                            <w:rFonts w:ascii="宋体" w:hAnsi="宋体" w:cs="宋体" w:eastAsia="宋体" w:hint="default"/>
                            <w:sz w:val="18"/>
                            <w:szCs w:val="18"/>
                          </w:rPr>
                          <w:t>湖北索 瑞电气 有限公 司</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8"/>
                          <w:jc w:val="right"/>
                          <w:rPr>
                            <w:rFonts w:ascii="宋体" w:hAnsi="宋体" w:cs="宋体" w:eastAsia="宋体" w:hint="default"/>
                            <w:sz w:val="18"/>
                            <w:szCs w:val="18"/>
                          </w:rPr>
                        </w:pPr>
                        <w:r>
                          <w:rPr>
                            <w:rFonts w:ascii="宋体"/>
                            <w:sz w:val="18"/>
                          </w:rPr>
                          <w:t>72,403.1</w:t>
                        </w:r>
                      </w:p>
                      <w:p>
                        <w:pPr>
                          <w:pStyle w:val="TableParagraph"/>
                          <w:spacing w:line="240" w:lineRule="auto" w:before="76"/>
                          <w:ind w:right="18"/>
                          <w:jc w:val="right"/>
                          <w:rPr>
                            <w:rFonts w:ascii="宋体" w:hAnsi="宋体" w:cs="宋体" w:eastAsia="宋体" w:hint="default"/>
                            <w:sz w:val="18"/>
                            <w:szCs w:val="18"/>
                          </w:rPr>
                        </w:pPr>
                        <w:r>
                          <w:rPr>
                            <w:rFonts w:ascii="宋体"/>
                            <w:sz w:val="18"/>
                          </w:rPr>
                          <w:t>8</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 w:right="95"/>
                          <w:jc w:val="left"/>
                          <w:rPr>
                            <w:rFonts w:ascii="宋体" w:hAnsi="宋体" w:cs="宋体" w:eastAsia="宋体" w:hint="default"/>
                            <w:sz w:val="18"/>
                            <w:szCs w:val="18"/>
                          </w:rPr>
                        </w:pPr>
                        <w:r>
                          <w:rPr>
                            <w:rFonts w:ascii="宋体" w:hAnsi="宋体" w:cs="宋体" w:eastAsia="宋体" w:hint="default"/>
                            <w:sz w:val="18"/>
                            <w:szCs w:val="18"/>
                          </w:rPr>
                          <w:t>股权转让 现金支付 款项已按 协议约定 支付，股 份支付已 完成，并 完成相关 工商变 更。</w:t>
                        </w:r>
                      </w:p>
                    </w:tc>
                    <w:tc>
                      <w:tcPr>
                        <w:tcW w:w="1134" w:type="dxa"/>
                        <w:tcBorders>
                          <w:top w:val="single" w:sz="6" w:space="0" w:color="000000"/>
                          <w:left w:val="single" w:sz="6" w:space="0" w:color="000000"/>
                          <w:bottom w:val="single" w:sz="12"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 w:right="-27"/>
                          <w:jc w:val="both"/>
                          <w:rPr>
                            <w:rFonts w:ascii="宋体" w:hAnsi="宋体" w:cs="宋体" w:eastAsia="宋体" w:hint="default"/>
                            <w:sz w:val="18"/>
                            <w:szCs w:val="18"/>
                          </w:rPr>
                        </w:pPr>
                        <w:r>
                          <w:rPr>
                            <w:rFonts w:ascii="宋体" w:hAnsi="宋体" w:cs="宋体" w:eastAsia="宋体" w:hint="default"/>
                            <w:spacing w:val="35"/>
                            <w:sz w:val="18"/>
                            <w:szCs w:val="18"/>
                          </w:rPr>
                          <w:t>双方优势互</w:t>
                        </w:r>
                        <w:r>
                          <w:rPr>
                            <w:rFonts w:ascii="宋体" w:hAnsi="宋体" w:cs="宋体" w:eastAsia="宋体" w:hint="default"/>
                            <w:spacing w:val="-46"/>
                            <w:sz w:val="18"/>
                            <w:szCs w:val="18"/>
                          </w:rPr>
                          <w:t> </w:t>
                        </w:r>
                        <w:r>
                          <w:rPr>
                            <w:rFonts w:ascii="宋体" w:hAnsi="宋体" w:cs="宋体" w:eastAsia="宋体" w:hint="default"/>
                            <w:sz w:val="18"/>
                            <w:szCs w:val="18"/>
                          </w:rPr>
                          <w:t>补，在发展战</w:t>
                        </w:r>
                        <w:r>
                          <w:rPr>
                            <w:rFonts w:ascii="宋体" w:hAnsi="宋体" w:cs="宋体" w:eastAsia="宋体" w:hint="default"/>
                            <w:sz w:val="18"/>
                            <w:szCs w:val="18"/>
                          </w:rPr>
                          <w:t> </w:t>
                        </w:r>
                        <w:r>
                          <w:rPr>
                            <w:rFonts w:ascii="宋体" w:hAnsi="宋体" w:cs="宋体" w:eastAsia="宋体" w:hint="default"/>
                            <w:spacing w:val="35"/>
                            <w:sz w:val="18"/>
                            <w:szCs w:val="18"/>
                          </w:rPr>
                          <w:t>略、品牌宣</w:t>
                        </w:r>
                        <w:r>
                          <w:rPr>
                            <w:rFonts w:ascii="宋体" w:hAnsi="宋体" w:cs="宋体" w:eastAsia="宋体" w:hint="default"/>
                            <w:spacing w:val="-46"/>
                            <w:sz w:val="18"/>
                            <w:szCs w:val="18"/>
                          </w:rPr>
                          <w:t> </w:t>
                        </w:r>
                        <w:r>
                          <w:rPr>
                            <w:rFonts w:ascii="宋体" w:hAnsi="宋体" w:cs="宋体" w:eastAsia="宋体" w:hint="default"/>
                            <w:spacing w:val="35"/>
                            <w:sz w:val="18"/>
                            <w:szCs w:val="18"/>
                          </w:rPr>
                          <w:t>传、技术开</w:t>
                        </w:r>
                        <w:r>
                          <w:rPr>
                            <w:rFonts w:ascii="宋体" w:hAnsi="宋体" w:cs="宋体" w:eastAsia="宋体" w:hint="default"/>
                            <w:spacing w:val="-46"/>
                            <w:sz w:val="18"/>
                            <w:szCs w:val="18"/>
                          </w:rPr>
                          <w:t> </w:t>
                        </w:r>
                        <w:r>
                          <w:rPr>
                            <w:rFonts w:ascii="宋体" w:hAnsi="宋体" w:cs="宋体" w:eastAsia="宋体" w:hint="default"/>
                            <w:sz w:val="18"/>
                            <w:szCs w:val="18"/>
                          </w:rPr>
                          <w:t>发、销售渠道</w:t>
                        </w:r>
                        <w:r>
                          <w:rPr>
                            <w:rFonts w:ascii="宋体" w:hAnsi="宋体" w:cs="宋体" w:eastAsia="宋体" w:hint="default"/>
                            <w:sz w:val="18"/>
                            <w:szCs w:val="18"/>
                          </w:rPr>
                          <w:t> 资源、融资渠 </w:t>
                        </w:r>
                        <w:r>
                          <w:rPr>
                            <w:rFonts w:ascii="宋体" w:hAnsi="宋体" w:cs="宋体" w:eastAsia="宋体" w:hint="default"/>
                            <w:spacing w:val="35"/>
                            <w:sz w:val="18"/>
                            <w:szCs w:val="18"/>
                          </w:rPr>
                          <w:t>道等方面实</w:t>
                        </w:r>
                        <w:r>
                          <w:rPr>
                            <w:rFonts w:ascii="宋体" w:hAnsi="宋体" w:cs="宋体" w:eastAsia="宋体" w:hint="default"/>
                            <w:spacing w:val="-46"/>
                            <w:sz w:val="18"/>
                            <w:szCs w:val="18"/>
                          </w:rPr>
                          <w:t> </w:t>
                        </w:r>
                        <w:r>
                          <w:rPr>
                            <w:rFonts w:ascii="宋体" w:hAnsi="宋体" w:cs="宋体" w:eastAsia="宋体" w:hint="default"/>
                            <w:spacing w:val="35"/>
                            <w:sz w:val="18"/>
                            <w:szCs w:val="18"/>
                          </w:rPr>
                          <w:t>现更好的合</w:t>
                        </w:r>
                        <w:r>
                          <w:rPr>
                            <w:rFonts w:ascii="宋体" w:hAnsi="宋体" w:cs="宋体" w:eastAsia="宋体" w:hint="default"/>
                            <w:spacing w:val="-46"/>
                            <w:sz w:val="18"/>
                            <w:szCs w:val="18"/>
                          </w:rPr>
                          <w:t> </w:t>
                        </w:r>
                        <w:r>
                          <w:rPr>
                            <w:rFonts w:ascii="宋体" w:hAnsi="宋体" w:cs="宋体" w:eastAsia="宋体" w:hint="default"/>
                            <w:sz w:val="18"/>
                            <w:szCs w:val="18"/>
                          </w:rPr>
                          <w:t>作，对公司经</w:t>
                        </w:r>
                        <w:r>
                          <w:rPr>
                            <w:rFonts w:ascii="宋体" w:hAnsi="宋体" w:cs="宋体" w:eastAsia="宋体" w:hint="default"/>
                            <w:sz w:val="18"/>
                            <w:szCs w:val="18"/>
                          </w:rPr>
                          <w:t> </w:t>
                        </w:r>
                        <w:r>
                          <w:rPr>
                            <w:rFonts w:ascii="宋体" w:hAnsi="宋体" w:cs="宋体" w:eastAsia="宋体" w:hint="default"/>
                            <w:spacing w:val="35"/>
                            <w:sz w:val="18"/>
                            <w:szCs w:val="18"/>
                          </w:rPr>
                          <w:t>营产生重要</w:t>
                        </w:r>
                        <w:r>
                          <w:rPr>
                            <w:rFonts w:ascii="宋体" w:hAnsi="宋体" w:cs="宋体" w:eastAsia="宋体" w:hint="default"/>
                            <w:spacing w:val="-46"/>
                            <w:sz w:val="18"/>
                            <w:szCs w:val="18"/>
                          </w:rPr>
                          <w:t> </w:t>
                        </w:r>
                        <w:r>
                          <w:rPr>
                            <w:rFonts w:ascii="宋体" w:hAnsi="宋体" w:cs="宋体" w:eastAsia="宋体" w:hint="default"/>
                            <w:sz w:val="18"/>
                            <w:szCs w:val="18"/>
                          </w:rPr>
                          <w:t>影响。</w:t>
                        </w:r>
                      </w:p>
                    </w:tc>
                    <w:tc>
                      <w:tcPr>
                        <w:tcW w:w="1134" w:type="dxa"/>
                        <w:tcBorders>
                          <w:top w:val="single" w:sz="6" w:space="0" w:color="000000"/>
                          <w:left w:val="single" w:sz="9" w:space="0" w:color="FFFFFF"/>
                          <w:bottom w:val="single" w:sz="12"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 w:right="-27"/>
                          <w:jc w:val="both"/>
                          <w:rPr>
                            <w:rFonts w:ascii="宋体" w:hAnsi="宋体" w:cs="宋体" w:eastAsia="宋体" w:hint="default"/>
                            <w:sz w:val="18"/>
                            <w:szCs w:val="18"/>
                          </w:rPr>
                        </w:pPr>
                        <w:r>
                          <w:rPr>
                            <w:rFonts w:ascii="宋体" w:hAnsi="宋体" w:cs="宋体" w:eastAsia="宋体" w:hint="default"/>
                            <w:spacing w:val="35"/>
                            <w:sz w:val="18"/>
                            <w:szCs w:val="18"/>
                          </w:rPr>
                          <w:t>因收购事项</w:t>
                        </w:r>
                        <w:r>
                          <w:rPr>
                            <w:rFonts w:ascii="宋体" w:hAnsi="宋体" w:cs="宋体" w:eastAsia="宋体" w:hint="default"/>
                            <w:spacing w:val="-46"/>
                            <w:sz w:val="18"/>
                            <w:szCs w:val="18"/>
                          </w:rPr>
                          <w:t> </w:t>
                        </w:r>
                        <w:r>
                          <w:rPr>
                            <w:rFonts w:ascii="宋体" w:hAnsi="宋体" w:cs="宋体" w:eastAsia="宋体" w:hint="default"/>
                            <w:sz w:val="18"/>
                            <w:szCs w:val="18"/>
                          </w:rPr>
                          <w:t>于</w:t>
                        </w:r>
                        <w:r>
                          <w:rPr>
                            <w:rFonts w:ascii="宋体" w:hAnsi="宋体" w:cs="宋体" w:eastAsia="宋体" w:hint="default"/>
                            <w:spacing w:val="-32"/>
                            <w:sz w:val="18"/>
                            <w:szCs w:val="18"/>
                          </w:rPr>
                          <w:t> </w:t>
                        </w:r>
                        <w:r>
                          <w:rPr>
                            <w:rFonts w:ascii="宋体" w:hAnsi="宋体" w:cs="宋体" w:eastAsia="宋体" w:hint="default"/>
                            <w:sz w:val="18"/>
                            <w:szCs w:val="18"/>
                          </w:rPr>
                          <w:t>2014</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12</w:t>
                        </w:r>
                      </w:p>
                      <w:p>
                        <w:pPr>
                          <w:pStyle w:val="TableParagraph"/>
                          <w:spacing w:line="316" w:lineRule="auto" w:before="19"/>
                          <w:ind w:left="16" w:right="15"/>
                          <w:jc w:val="both"/>
                          <w:rPr>
                            <w:rFonts w:ascii="宋体" w:hAnsi="宋体" w:cs="宋体" w:eastAsia="宋体" w:hint="default"/>
                            <w:sz w:val="18"/>
                            <w:szCs w:val="18"/>
                          </w:rPr>
                        </w:pPr>
                        <w:r>
                          <w:rPr>
                            <w:rFonts w:ascii="宋体" w:hAnsi="宋体" w:cs="宋体" w:eastAsia="宋体" w:hint="default"/>
                            <w:sz w:val="18"/>
                            <w:szCs w:val="18"/>
                          </w:rPr>
                          <w:t>月底完成，其 利 润 表</w:t>
                        </w:r>
                        <w:r>
                          <w:rPr>
                            <w:rFonts w:ascii="宋体" w:hAnsi="宋体" w:cs="宋体" w:eastAsia="宋体" w:hint="default"/>
                            <w:spacing w:val="83"/>
                            <w:sz w:val="18"/>
                            <w:szCs w:val="18"/>
                          </w:rPr>
                          <w:t> </w:t>
                        </w:r>
                        <w:r>
                          <w:rPr>
                            <w:rFonts w:ascii="宋体" w:hAnsi="宋体" w:cs="宋体" w:eastAsia="宋体" w:hint="default"/>
                            <w:sz w:val="18"/>
                            <w:szCs w:val="18"/>
                          </w:rPr>
                          <w:t>自</w:t>
                        </w:r>
                        <w:r>
                          <w:rPr>
                            <w:rFonts w:ascii="宋体" w:hAnsi="宋体" w:cs="宋体" w:eastAsia="宋体" w:hint="default"/>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319" w:lineRule="auto" w:before="19"/>
                          <w:ind w:left="16" w:right="-27"/>
                          <w:jc w:val="both"/>
                          <w:rPr>
                            <w:rFonts w:ascii="宋体" w:hAnsi="宋体" w:cs="宋体" w:eastAsia="宋体" w:hint="default"/>
                            <w:sz w:val="18"/>
                            <w:szCs w:val="18"/>
                          </w:rPr>
                        </w:pPr>
                        <w:r>
                          <w:rPr>
                            <w:rFonts w:ascii="宋体" w:hAnsi="宋体" w:cs="宋体" w:eastAsia="宋体" w:hint="default"/>
                            <w:spacing w:val="35"/>
                            <w:sz w:val="18"/>
                            <w:szCs w:val="18"/>
                          </w:rPr>
                          <w:t>日起纳入公</w:t>
                        </w:r>
                        <w:r>
                          <w:rPr>
                            <w:rFonts w:ascii="宋体" w:hAnsi="宋体" w:cs="宋体" w:eastAsia="宋体" w:hint="default"/>
                            <w:spacing w:val="-46"/>
                            <w:sz w:val="18"/>
                            <w:szCs w:val="18"/>
                          </w:rPr>
                          <w:t> </w:t>
                        </w:r>
                        <w:r>
                          <w:rPr>
                            <w:rFonts w:ascii="宋体" w:hAnsi="宋体" w:cs="宋体" w:eastAsia="宋体" w:hint="default"/>
                            <w:sz w:val="18"/>
                            <w:szCs w:val="18"/>
                          </w:rPr>
                          <w:t>司合并范围，</w:t>
                        </w:r>
                        <w:r>
                          <w:rPr>
                            <w:rFonts w:ascii="宋体" w:hAnsi="宋体" w:cs="宋体" w:eastAsia="宋体" w:hint="default"/>
                            <w:sz w:val="18"/>
                            <w:szCs w:val="18"/>
                          </w:rPr>
                          <w:t> </w:t>
                        </w:r>
                        <w:r>
                          <w:rPr>
                            <w:rFonts w:ascii="宋体" w:hAnsi="宋体" w:cs="宋体" w:eastAsia="宋体" w:hint="default"/>
                            <w:spacing w:val="35"/>
                            <w:sz w:val="18"/>
                            <w:szCs w:val="18"/>
                          </w:rPr>
                          <w:t>故该收购事</w:t>
                        </w:r>
                        <w:r>
                          <w:rPr>
                            <w:rFonts w:ascii="宋体" w:hAnsi="宋体" w:cs="宋体" w:eastAsia="宋体" w:hint="default"/>
                            <w:spacing w:val="-46"/>
                            <w:sz w:val="18"/>
                            <w:szCs w:val="18"/>
                          </w:rPr>
                          <w:t> </w:t>
                        </w:r>
                        <w:r>
                          <w:rPr>
                            <w:rFonts w:ascii="宋体" w:hAnsi="宋体" w:cs="宋体" w:eastAsia="宋体" w:hint="default"/>
                            <w:spacing w:val="35"/>
                            <w:sz w:val="18"/>
                            <w:szCs w:val="18"/>
                          </w:rPr>
                          <w:t>项对公司报</w:t>
                        </w:r>
                        <w:r>
                          <w:rPr>
                            <w:rFonts w:ascii="宋体" w:hAnsi="宋体" w:cs="宋体" w:eastAsia="宋体" w:hint="default"/>
                            <w:spacing w:val="-46"/>
                            <w:sz w:val="18"/>
                            <w:szCs w:val="18"/>
                          </w:rPr>
                          <w:t> </w:t>
                        </w:r>
                        <w:r>
                          <w:rPr>
                            <w:rFonts w:ascii="宋体" w:hAnsi="宋体" w:cs="宋体" w:eastAsia="宋体" w:hint="default"/>
                            <w:spacing w:val="35"/>
                            <w:sz w:val="18"/>
                            <w:szCs w:val="18"/>
                          </w:rPr>
                          <w:t>告期损益无</w:t>
                        </w:r>
                        <w:r>
                          <w:rPr>
                            <w:rFonts w:ascii="宋体" w:hAnsi="宋体" w:cs="宋体" w:eastAsia="宋体" w:hint="default"/>
                            <w:spacing w:val="-46"/>
                            <w:sz w:val="18"/>
                            <w:szCs w:val="18"/>
                          </w:rPr>
                          <w:t> </w:t>
                        </w:r>
                        <w:r>
                          <w:rPr>
                            <w:rFonts w:ascii="宋体" w:hAnsi="宋体" w:cs="宋体" w:eastAsia="宋体" w:hint="default"/>
                            <w:sz w:val="18"/>
                            <w:szCs w:val="18"/>
                          </w:rPr>
                          <w:t>影响。</w:t>
                        </w:r>
                      </w:p>
                    </w:tc>
                    <w:tc>
                      <w:tcPr>
                        <w:tcW w:w="850" w:type="dxa"/>
                        <w:tcBorders>
                          <w:top w:val="single" w:sz="6" w:space="0" w:color="000000"/>
                          <w:left w:val="single" w:sz="9" w:space="0" w:color="FFFFFF"/>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6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94"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1"/>
                          <w:ind w:left="20" w:right="-23"/>
                          <w:jc w:val="both"/>
                          <w:rPr>
                            <w:rFonts w:ascii="宋体" w:hAnsi="宋体" w:cs="宋体" w:eastAsia="宋体" w:hint="default"/>
                            <w:sz w:val="18"/>
                            <w:szCs w:val="18"/>
                          </w:rPr>
                        </w:pPr>
                        <w:r>
                          <w:rPr>
                            <w:rFonts w:ascii="宋体" w:hAnsi="宋体" w:cs="宋体" w:eastAsia="宋体" w:hint="default"/>
                            <w:spacing w:val="27"/>
                            <w:sz w:val="18"/>
                            <w:szCs w:val="18"/>
                          </w:rPr>
                          <w:t>中国证监会</w:t>
                        </w:r>
                        <w:r>
                          <w:rPr>
                            <w:rFonts w:ascii="宋体" w:hAnsi="宋体" w:cs="宋体" w:eastAsia="宋体" w:hint="default"/>
                            <w:spacing w:val="-56"/>
                            <w:sz w:val="18"/>
                            <w:szCs w:val="18"/>
                          </w:rPr>
                          <w:t> </w:t>
                        </w:r>
                        <w:r>
                          <w:rPr>
                            <w:rFonts w:ascii="宋体" w:hAnsi="宋体" w:cs="宋体" w:eastAsia="宋体" w:hint="default"/>
                            <w:spacing w:val="27"/>
                            <w:sz w:val="18"/>
                            <w:szCs w:val="18"/>
                          </w:rPr>
                          <w:t>指定的创业</w:t>
                        </w:r>
                        <w:r>
                          <w:rPr>
                            <w:rFonts w:ascii="宋体" w:hAnsi="宋体" w:cs="宋体" w:eastAsia="宋体" w:hint="default"/>
                            <w:spacing w:val="-56"/>
                            <w:sz w:val="18"/>
                            <w:szCs w:val="18"/>
                          </w:rPr>
                          <w:t> </w:t>
                        </w:r>
                        <w:r>
                          <w:rPr>
                            <w:rFonts w:ascii="宋体" w:hAnsi="宋体" w:cs="宋体" w:eastAsia="宋体" w:hint="default"/>
                            <w:spacing w:val="27"/>
                            <w:sz w:val="18"/>
                            <w:szCs w:val="18"/>
                          </w:rPr>
                          <w:t>板信息披露</w:t>
                        </w:r>
                        <w:r>
                          <w:rPr>
                            <w:rFonts w:ascii="宋体" w:hAnsi="宋体" w:cs="宋体" w:eastAsia="宋体" w:hint="default"/>
                            <w:spacing w:val="-56"/>
                            <w:sz w:val="18"/>
                            <w:szCs w:val="18"/>
                          </w:rPr>
                          <w:t> </w:t>
                        </w:r>
                        <w:r>
                          <w:rPr>
                            <w:rFonts w:ascii="宋体" w:hAnsi="宋体" w:cs="宋体" w:eastAsia="宋体" w:hint="default"/>
                            <w:spacing w:val="27"/>
                            <w:sz w:val="18"/>
                            <w:szCs w:val="18"/>
                          </w:rPr>
                          <w:t>网站－巨潮</w:t>
                        </w:r>
                        <w:r>
                          <w:rPr>
                            <w:rFonts w:ascii="宋体" w:hAnsi="宋体" w:cs="宋体" w:eastAsia="宋体" w:hint="default"/>
                            <w:spacing w:val="-56"/>
                            <w:sz w:val="18"/>
                            <w:szCs w:val="18"/>
                          </w:rPr>
                          <w:t> </w:t>
                        </w:r>
                        <w:r>
                          <w:rPr>
                            <w:rFonts w:ascii="宋体" w:hAnsi="宋体" w:cs="宋体" w:eastAsia="宋体" w:hint="default"/>
                            <w:spacing w:val="-7"/>
                            <w:sz w:val="18"/>
                            <w:szCs w:val="18"/>
                          </w:rPr>
                          <w:t>资讯网《关于</w:t>
                        </w:r>
                        <w:r>
                          <w:rPr>
                            <w:rFonts w:ascii="宋体" w:hAnsi="宋体" w:cs="宋体" w:eastAsia="宋体" w:hint="default"/>
                            <w:sz w:val="18"/>
                            <w:szCs w:val="18"/>
                          </w:rPr>
                          <w:t> </w:t>
                        </w:r>
                        <w:r>
                          <w:rPr>
                            <w:rFonts w:ascii="宋体" w:hAnsi="宋体" w:cs="宋体" w:eastAsia="宋体" w:hint="default"/>
                            <w:spacing w:val="27"/>
                            <w:sz w:val="18"/>
                            <w:szCs w:val="18"/>
                          </w:rPr>
                          <w:t>发行股份及</w:t>
                        </w:r>
                        <w:r>
                          <w:rPr>
                            <w:rFonts w:ascii="宋体" w:hAnsi="宋体" w:cs="宋体" w:eastAsia="宋体" w:hint="default"/>
                            <w:spacing w:val="-56"/>
                            <w:sz w:val="18"/>
                            <w:szCs w:val="18"/>
                          </w:rPr>
                          <w:t> </w:t>
                        </w:r>
                        <w:r>
                          <w:rPr>
                            <w:rFonts w:ascii="宋体" w:hAnsi="宋体" w:cs="宋体" w:eastAsia="宋体" w:hint="default"/>
                            <w:spacing w:val="27"/>
                            <w:sz w:val="18"/>
                            <w:szCs w:val="18"/>
                          </w:rPr>
                          <w:t>支付现金购</w:t>
                        </w:r>
                        <w:r>
                          <w:rPr>
                            <w:rFonts w:ascii="宋体" w:hAnsi="宋体" w:cs="宋体" w:eastAsia="宋体" w:hint="default"/>
                            <w:spacing w:val="-56"/>
                            <w:sz w:val="18"/>
                            <w:szCs w:val="18"/>
                          </w:rPr>
                          <w:t> </w:t>
                        </w:r>
                        <w:r>
                          <w:rPr>
                            <w:rFonts w:ascii="宋体" w:hAnsi="宋体" w:cs="宋体" w:eastAsia="宋体" w:hint="default"/>
                            <w:spacing w:val="27"/>
                            <w:sz w:val="18"/>
                            <w:szCs w:val="18"/>
                          </w:rPr>
                          <w:t>买资产之标</w:t>
                        </w:r>
                        <w:r>
                          <w:rPr>
                            <w:rFonts w:ascii="宋体" w:hAnsi="宋体" w:cs="宋体" w:eastAsia="宋体" w:hint="default"/>
                            <w:spacing w:val="-56"/>
                            <w:sz w:val="18"/>
                            <w:szCs w:val="18"/>
                          </w:rPr>
                          <w:t> </w:t>
                        </w:r>
                        <w:r>
                          <w:rPr>
                            <w:rFonts w:ascii="宋体" w:hAnsi="宋体" w:cs="宋体" w:eastAsia="宋体" w:hint="default"/>
                            <w:spacing w:val="27"/>
                            <w:sz w:val="18"/>
                            <w:szCs w:val="18"/>
                          </w:rPr>
                          <w:t>的资产过户</w:t>
                        </w:r>
                        <w:r>
                          <w:rPr>
                            <w:rFonts w:ascii="宋体" w:hAnsi="宋体" w:cs="宋体" w:eastAsia="宋体" w:hint="default"/>
                            <w:spacing w:val="-56"/>
                            <w:sz w:val="18"/>
                            <w:szCs w:val="18"/>
                          </w:rPr>
                          <w:t> </w:t>
                        </w:r>
                        <w:r>
                          <w:rPr>
                            <w:rFonts w:ascii="宋体" w:hAnsi="宋体" w:cs="宋体" w:eastAsia="宋体" w:hint="default"/>
                            <w:sz w:val="18"/>
                            <w:szCs w:val="18"/>
                          </w:rPr>
                          <w:t>完 成 的</w:t>
                        </w:r>
                        <w:r>
                          <w:rPr>
                            <w:rFonts w:ascii="宋体" w:hAnsi="宋体" w:cs="宋体" w:eastAsia="宋体" w:hint="default"/>
                            <w:spacing w:val="48"/>
                            <w:sz w:val="18"/>
                            <w:szCs w:val="18"/>
                          </w:rPr>
                          <w:t> </w:t>
                        </w:r>
                        <w:r>
                          <w:rPr>
                            <w:rFonts w:ascii="宋体" w:hAnsi="宋体" w:cs="宋体" w:eastAsia="宋体" w:hint="default"/>
                            <w:sz w:val="18"/>
                            <w:szCs w:val="18"/>
                          </w:rPr>
                          <w:t>公</w:t>
                        </w:r>
                        <w:r>
                          <w:rPr>
                            <w:rFonts w:ascii="宋体" w:hAnsi="宋体" w:cs="宋体" w:eastAsia="宋体" w:hint="default"/>
                            <w:sz w:val="18"/>
                            <w:szCs w:val="18"/>
                          </w:rPr>
                          <w:t> 告</w:t>
                        </w:r>
                        <w:r>
                          <w:rPr>
                            <w:rFonts w:ascii="宋体" w:hAnsi="宋体" w:cs="宋体" w:eastAsia="宋体" w:hint="default"/>
                            <w:spacing w:val="2"/>
                            <w:sz w:val="18"/>
                            <w:szCs w:val="18"/>
                          </w:rPr>
                          <w:t> </w:t>
                        </w:r>
                        <w:r>
                          <w:rPr>
                            <w:rFonts w:ascii="宋体" w:hAnsi="宋体" w:cs="宋体" w:eastAsia="宋体" w:hint="default"/>
                            <w:spacing w:val="-27"/>
                            <w:sz w:val="18"/>
                            <w:szCs w:val="18"/>
                          </w:rPr>
                          <w:t>》（公告编</w:t>
                        </w:r>
                        <w:r>
                          <w:rPr>
                            <w:rFonts w:ascii="宋体" w:hAnsi="宋体" w:cs="宋体" w:eastAsia="宋体" w:hint="default"/>
                            <w:sz w:val="18"/>
                            <w:szCs w:val="18"/>
                          </w:rPr>
                          <w:t> </w:t>
                        </w:r>
                        <w:r>
                          <w:rPr>
                            <w:rFonts w:ascii="宋体" w:hAnsi="宋体" w:cs="宋体" w:eastAsia="宋体" w:hint="default"/>
                            <w:spacing w:val="23"/>
                            <w:sz w:val="18"/>
                            <w:szCs w:val="18"/>
                          </w:rPr>
                          <w:t>码（</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 </w:t>
                        </w:r>
                        <w:r>
                          <w:rPr>
                            <w:rFonts w:ascii="宋体" w:hAnsi="宋体" w:cs="宋体" w:eastAsia="宋体" w:hint="default"/>
                            <w:sz w:val="18"/>
                            <w:szCs w:val="18"/>
                          </w:rPr>
                          <w:t>1230-093</w:t>
                        </w:r>
                        <w:r>
                          <w:rPr>
                            <w:rFonts w:ascii="宋体" w:hAnsi="宋体" w:cs="宋体" w:eastAsia="宋体" w:hint="default"/>
                            <w:spacing w:val="-46"/>
                            <w:sz w:val="18"/>
                            <w:szCs w:val="18"/>
                          </w:rPr>
                          <w:t> </w:t>
                        </w:r>
                        <w:r>
                          <w:rPr>
                            <w:rFonts w:ascii="宋体" w:hAnsi="宋体" w:cs="宋体" w:eastAsia="宋体" w:hint="default"/>
                            <w:sz w:val="18"/>
                            <w:szCs w:val="18"/>
                          </w:rPr>
                          <w:t>号</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000" w:top="1040" w:bottom="1180" w:left="980" w:right="860"/>
        </w:sectPr>
      </w:pPr>
    </w:p>
    <w:p>
      <w:pPr>
        <w:spacing w:line="240" w:lineRule="auto" w:before="0"/>
        <w:rPr>
          <w:rFonts w:ascii="宋体" w:hAnsi="宋体" w:cs="宋体" w:eastAsia="宋体" w:hint="default"/>
          <w:sz w:val="20"/>
          <w:szCs w:val="20"/>
        </w:rPr>
      </w:pPr>
      <w:r>
        <w:rPr/>
        <w:pict>
          <v:group style="position:absolute;margin-left:265.600006pt;margin-top:651.519958pt;width:34.050pt;height:108.3pt;mso-position-horizontal-relative:page;mso-position-vertical-relative:page;z-index:-914080" coordorigin="5312,13030" coordsize="681,2166">
            <v:shape style="position:absolute;left:5312;top:13030;width:681;height:2166" coordorigin="5312,13030" coordsize="681,2166" path="m5312,15196l5992,15196,5992,13030,5312,13030,5312,15196xe" filled="true" fillcolor="#ffffff" stroked="false">
              <v:path arrowok="t"/>
              <v:fill type="solid"/>
            </v:shape>
            <w10:wrap type="none"/>
          </v:group>
        </w:pict>
      </w:r>
    </w:p>
    <w:p>
      <w:pPr>
        <w:spacing w:line="240" w:lineRule="auto" w:before="1"/>
        <w:rPr>
          <w:rFonts w:ascii="宋体" w:hAnsi="宋体" w:cs="宋体" w:eastAsia="宋体" w:hint="default"/>
          <w:sz w:val="14"/>
          <w:szCs w:val="14"/>
        </w:rPr>
      </w:pPr>
    </w:p>
    <w:p>
      <w:pPr>
        <w:pStyle w:val="BodyText"/>
        <w:spacing w:line="240" w:lineRule="auto" w:before="0"/>
        <w:ind w:right="0"/>
        <w:jc w:val="left"/>
      </w:pPr>
      <w:r>
        <w:rPr/>
        <w:t>收购资产情况说明</w:t>
      </w:r>
    </w:p>
    <w:p>
      <w:pPr>
        <w:spacing w:line="240" w:lineRule="auto" w:before="10"/>
        <w:rPr>
          <w:rFonts w:ascii="宋体" w:hAnsi="宋体" w:cs="宋体" w:eastAsia="宋体" w:hint="default"/>
          <w:sz w:val="14"/>
          <w:szCs w:val="14"/>
        </w:rPr>
      </w:pPr>
    </w:p>
    <w:p>
      <w:pPr>
        <w:pStyle w:val="BodyText"/>
        <w:spacing w:line="408" w:lineRule="auto" w:before="0"/>
        <w:ind w:right="151" w:firstLine="420"/>
        <w:jc w:val="both"/>
      </w:pPr>
      <w:r>
        <w:rPr>
          <w:spacing w:val="-1"/>
        </w:rPr>
        <w:t>（</w:t>
      </w:r>
      <w:r>
        <w:rPr>
          <w:rFonts w:ascii="宋体" w:hAnsi="宋体" w:cs="宋体" w:eastAsia="宋体" w:hint="default"/>
          <w:spacing w:val="-1"/>
        </w:rPr>
        <w:t>1</w:t>
      </w:r>
      <w:r>
        <w:rPr>
          <w:spacing w:val="-1"/>
        </w:rPr>
        <w:t>）</w:t>
      </w:r>
      <w:r>
        <w:rPr>
          <w:rFonts w:ascii="宋体" w:hAnsi="宋体" w:cs="宋体" w:eastAsia="宋体" w:hint="default"/>
          <w:spacing w:val="-1"/>
        </w:rPr>
        <w:t>2014</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19</w:t>
      </w:r>
      <w:r>
        <w:rPr>
          <w:spacing w:val="-1"/>
        </w:rPr>
        <w:t>日，公司披露了《对外投资公告》（公告编码（</w:t>
      </w:r>
      <w:r>
        <w:rPr>
          <w:rFonts w:ascii="宋体" w:hAnsi="宋体" w:cs="宋体" w:eastAsia="宋体" w:hint="default"/>
          <w:spacing w:val="-1"/>
        </w:rPr>
        <w:t>2014</w:t>
      </w:r>
      <w:r>
        <w:rPr>
          <w:spacing w:val="-1"/>
        </w:rPr>
        <w:t>）</w:t>
      </w:r>
      <w:r>
        <w:rPr>
          <w:rFonts w:ascii="宋体" w:hAnsi="宋体" w:cs="宋体" w:eastAsia="宋体" w:hint="default"/>
          <w:spacing w:val="-1"/>
        </w:rPr>
        <w:t>0219-006</w:t>
      </w:r>
      <w:r>
        <w:rPr>
          <w:spacing w:val="-1"/>
        </w:rPr>
        <w:t>号），公司以自有</w:t>
      </w:r>
      <w:r>
        <w:rPr/>
        <w:t> 资金</w:t>
      </w:r>
      <w:r>
        <w:rPr>
          <w:rFonts w:ascii="宋体" w:hAnsi="宋体" w:cs="宋体" w:eastAsia="宋体" w:hint="default"/>
        </w:rPr>
        <w:t>1,144</w:t>
      </w:r>
      <w:r>
        <w:rPr/>
        <w:t>万元向南京云商天下增资，增资后公司持有南京云商天下</w:t>
      </w:r>
      <w:r>
        <w:rPr>
          <w:rFonts w:ascii="宋体" w:hAnsi="宋体" w:cs="宋体" w:eastAsia="宋体" w:hint="default"/>
        </w:rPr>
        <w:t>51%</w:t>
      </w:r>
      <w:r>
        <w:rPr/>
        <w:t>的股权。南京云商天下于</w:t>
      </w:r>
      <w:r>
        <w:rPr>
          <w:rFonts w:ascii="宋体" w:hAnsi="宋体" w:cs="宋体" w:eastAsia="宋体" w:hint="default"/>
        </w:rPr>
        <w:t>2014</w:t>
      </w:r>
      <w:r>
        <w:rPr/>
        <w:t>年</w:t>
      </w:r>
      <w:r>
        <w:rPr>
          <w:rFonts w:ascii="宋体" w:hAnsi="宋体" w:cs="宋体" w:eastAsia="宋体" w:hint="default"/>
        </w:rPr>
        <w:t>4</w:t>
      </w:r>
      <w:r>
        <w:rPr>
          <w:rFonts w:ascii="宋体" w:hAnsi="宋体" w:cs="宋体" w:eastAsia="宋体" w:hint="default"/>
          <w:spacing w:val="-29"/>
        </w:rPr>
        <w:t> </w:t>
      </w:r>
      <w:r>
        <w:rPr/>
        <w:t>月</w:t>
      </w:r>
      <w:r>
        <w:rPr>
          <w:rFonts w:ascii="宋体" w:hAnsi="宋体" w:cs="宋体" w:eastAsia="宋体" w:hint="default"/>
        </w:rPr>
        <w:t>10</w:t>
      </w:r>
      <w:r>
        <w:rPr/>
        <w:t>日完成工商变更，自</w:t>
      </w:r>
      <w:r>
        <w:rPr>
          <w:rFonts w:ascii="宋体" w:hAnsi="宋体" w:cs="宋体" w:eastAsia="宋体" w:hint="default"/>
        </w:rPr>
        <w:t>2014</w:t>
      </w:r>
      <w:r>
        <w:rPr/>
        <w:t>年</w:t>
      </w:r>
      <w:r>
        <w:rPr>
          <w:rFonts w:ascii="宋体" w:hAnsi="宋体" w:cs="宋体" w:eastAsia="宋体" w:hint="default"/>
        </w:rPr>
        <w:t>4</w:t>
      </w:r>
      <w:r>
        <w:rPr/>
        <w:t>月起其纳入公司合并范围。</w:t>
      </w:r>
    </w:p>
    <w:p>
      <w:pPr>
        <w:pStyle w:val="BodyText"/>
        <w:spacing w:line="240" w:lineRule="auto"/>
        <w:ind w:left="573" w:right="0"/>
        <w:jc w:val="left"/>
      </w:pPr>
      <w:r>
        <w:rPr/>
        <w:t>报告期内，合并南京云商天下对本期归属于上市公司净利润的影响为</w:t>
      </w:r>
      <w:r>
        <w:rPr>
          <w:rFonts w:ascii="宋体" w:hAnsi="宋体" w:cs="宋体" w:eastAsia="宋体" w:hint="default"/>
        </w:rPr>
        <w:t>-65.50</w:t>
      </w:r>
      <w:r>
        <w:rPr/>
        <w:t>万元。</w:t>
      </w:r>
    </w:p>
    <w:p>
      <w:pPr>
        <w:spacing w:line="240" w:lineRule="auto" w:before="10"/>
        <w:rPr>
          <w:rFonts w:ascii="宋体" w:hAnsi="宋体" w:cs="宋体" w:eastAsia="宋体" w:hint="default"/>
          <w:sz w:val="14"/>
          <w:szCs w:val="14"/>
        </w:rPr>
      </w:pPr>
    </w:p>
    <w:p>
      <w:pPr>
        <w:pStyle w:val="BodyText"/>
        <w:spacing w:line="408" w:lineRule="auto" w:before="0"/>
        <w:ind w:right="151" w:firstLine="420"/>
        <w:jc w:val="both"/>
      </w:pPr>
      <w:r>
        <w:rPr/>
        <w:t>（</w:t>
      </w:r>
      <w:r>
        <w:rPr>
          <w:rFonts w:ascii="宋体" w:hAnsi="宋体" w:cs="宋体" w:eastAsia="宋体" w:hint="default"/>
        </w:rPr>
        <w:t>2</w:t>
      </w:r>
      <w:r>
        <w:rPr/>
        <w:t>）</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24</w:t>
      </w:r>
      <w:r>
        <w:rPr/>
        <w:t>日，经中国证券监督管理委员会《关于核准光一科技股份有限公司向任昌兆等发 </w:t>
      </w:r>
      <w:r>
        <w:rPr>
          <w:spacing w:val="-1"/>
        </w:rPr>
        <w:t>行股份购买资产的批复》（证监许可</w:t>
      </w:r>
      <w:r>
        <w:rPr>
          <w:rFonts w:ascii="宋体" w:hAnsi="宋体" w:cs="宋体" w:eastAsia="宋体" w:hint="default"/>
          <w:spacing w:val="-1"/>
        </w:rPr>
        <w:t>[2014]1399</w:t>
      </w:r>
      <w:r>
        <w:rPr>
          <w:spacing w:val="-1"/>
        </w:rPr>
        <w:t>号）核准，公司以发行股份及支付现金购买资产的方式向</w:t>
      </w:r>
      <w:r>
        <w:rPr>
          <w:spacing w:val="-79"/>
        </w:rPr>
        <w:t> </w:t>
      </w:r>
      <w:r>
        <w:rPr>
          <w:spacing w:val="-79"/>
        </w:rPr>
      </w:r>
      <w:r>
        <w:rPr>
          <w:spacing w:val="-1"/>
        </w:rPr>
        <w:t>初步完成了对索瑞电气的重大资产重组，索瑞电气于</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26</w:t>
      </w:r>
      <w:r>
        <w:rPr>
          <w:spacing w:val="-1"/>
        </w:rPr>
        <w:t>日完成工商变更，其资产负债表于本报</w:t>
      </w:r>
      <w:r>
        <w:rPr>
          <w:spacing w:val="-81"/>
        </w:rPr>
        <w:t> </w:t>
      </w:r>
      <w:r>
        <w:rPr>
          <w:spacing w:val="-81"/>
        </w:rPr>
      </w:r>
      <w:r>
        <w:rPr/>
        <w:t>告期末纳入合并范围，利润表和现金流量自</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w:t>
      </w:r>
      <w:r>
        <w:rPr/>
        <w:t>日起表纳入合并范围。</w:t>
      </w:r>
    </w:p>
    <w:p>
      <w:pPr>
        <w:spacing w:line="604" w:lineRule="auto" w:before="46"/>
        <w:ind w:left="153" w:right="3893" w:firstLine="420"/>
        <w:jc w:val="left"/>
        <w:rPr>
          <w:rFonts w:ascii="宋体" w:hAnsi="宋体" w:cs="宋体" w:eastAsia="宋体" w:hint="default"/>
          <w:sz w:val="21"/>
          <w:szCs w:val="21"/>
        </w:rPr>
      </w:pPr>
      <w:r>
        <w:rPr>
          <w:rFonts w:ascii="宋体" w:hAnsi="宋体" w:cs="宋体" w:eastAsia="宋体" w:hint="default"/>
          <w:sz w:val="21"/>
          <w:szCs w:val="21"/>
        </w:rPr>
        <w:t>报告期内，收购索瑞电气对</w:t>
      </w:r>
      <w:r>
        <w:rPr>
          <w:rFonts w:ascii="宋体" w:hAnsi="宋体" w:cs="宋体" w:eastAsia="宋体" w:hint="default"/>
          <w:sz w:val="21"/>
          <w:szCs w:val="21"/>
        </w:rPr>
        <w:t>2014</w:t>
      </w:r>
      <w:r>
        <w:rPr>
          <w:rFonts w:ascii="宋体" w:hAnsi="宋体" w:cs="宋体" w:eastAsia="宋体" w:hint="default"/>
          <w:sz w:val="21"/>
          <w:szCs w:val="21"/>
        </w:rPr>
        <w:t>年度公司损益不产生影响。 </w:t>
      </w:r>
      <w:bookmarkStart w:name="2、出售资产情况" w:id="42"/>
      <w:bookmarkEnd w:id="42"/>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pStyle w:val="BodyText"/>
        <w:spacing w:line="240" w:lineRule="auto" w:before="97"/>
        <w:ind w:right="0"/>
        <w:jc w:val="left"/>
      </w:pPr>
      <w:r>
        <w:rPr/>
        <w:t>√ 适用 □</w:t>
      </w:r>
      <w:r>
        <w:rPr>
          <w:spacing w:val="-1"/>
        </w:rPr>
        <w:t> </w:t>
      </w:r>
      <w:r>
        <w:rPr/>
        <w:t>不适用</w:t>
      </w:r>
    </w:p>
    <w:p>
      <w:pPr>
        <w:spacing w:line="240" w:lineRule="auto" w:before="11"/>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696"/>
        <w:gridCol w:w="695"/>
        <w:gridCol w:w="696"/>
        <w:gridCol w:w="695"/>
        <w:gridCol w:w="695"/>
        <w:gridCol w:w="695"/>
        <w:gridCol w:w="695"/>
        <w:gridCol w:w="694"/>
        <w:gridCol w:w="692"/>
        <w:gridCol w:w="838"/>
        <w:gridCol w:w="566"/>
        <w:gridCol w:w="676"/>
        <w:gridCol w:w="589"/>
        <w:gridCol w:w="652"/>
      </w:tblGrid>
      <w:tr>
        <w:trPr>
          <w:trHeight w:val="2911" w:hRule="exact"/>
        </w:trPr>
        <w:tc>
          <w:tcPr>
            <w:tcW w:w="6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2" w:right="69"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60" w:right="67"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70"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0" w:right="18" w:hanging="2"/>
              <w:jc w:val="center"/>
              <w:rPr>
                <w:rFonts w:ascii="宋体" w:hAnsi="宋体" w:cs="宋体" w:eastAsia="宋体" w:hint="default"/>
                <w:sz w:val="18"/>
                <w:szCs w:val="18"/>
              </w:rPr>
            </w:pPr>
            <w:r>
              <w:rPr>
                <w:rFonts w:ascii="宋体" w:hAnsi="宋体" w:cs="宋体" w:eastAsia="宋体" w:hint="default"/>
                <w:sz w:val="18"/>
                <w:szCs w:val="18"/>
              </w:rPr>
              <w:t>出售对 公司的 </w:t>
            </w:r>
            <w:r>
              <w:rPr>
                <w:rFonts w:ascii="宋体" w:hAnsi="宋体" w:cs="宋体" w:eastAsia="宋体" w:hint="default"/>
                <w:spacing w:val="-21"/>
                <w:sz w:val="18"/>
                <w:szCs w:val="18"/>
              </w:rPr>
              <w:t>影响（注</w:t>
            </w:r>
            <w:r>
              <w:rPr>
                <w:rFonts w:ascii="宋体" w:hAnsi="宋体" w:cs="宋体" w:eastAsia="宋体" w:hint="default"/>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6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9" w:right="67"/>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8" w:right="67"/>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3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1" w:right="51"/>
              <w:jc w:val="both"/>
              <w:rPr>
                <w:rFonts w:ascii="宋体" w:hAnsi="宋体" w:cs="宋体" w:eastAsia="宋体" w:hint="default"/>
                <w:sz w:val="18"/>
                <w:szCs w:val="18"/>
              </w:rPr>
            </w:pPr>
            <w:r>
              <w:rPr>
                <w:rFonts w:ascii="宋体" w:hAnsi="宋体" w:cs="宋体" w:eastAsia="宋体" w:hint="default"/>
                <w:sz w:val="18"/>
                <w:szCs w:val="18"/>
              </w:rPr>
              <w:t>与交易对 方的关联 关系（适 用关联交 易情形）</w:t>
            </w:r>
          </w:p>
        </w:tc>
        <w:tc>
          <w:tcPr>
            <w:tcW w:w="5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5" w:right="95"/>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6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1" w:right="59"/>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58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06" w:right="107"/>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5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9" w:right="38"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743" w:hRule="exact"/>
        </w:trPr>
        <w:tc>
          <w:tcPr>
            <w:tcW w:w="69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13" w:right="118"/>
              <w:jc w:val="both"/>
              <w:rPr>
                <w:rFonts w:ascii="宋体" w:hAnsi="宋体" w:cs="宋体" w:eastAsia="宋体" w:hint="default"/>
                <w:sz w:val="18"/>
                <w:szCs w:val="18"/>
              </w:rPr>
            </w:pPr>
            <w:r>
              <w:rPr>
                <w:rFonts w:ascii="宋体" w:hAnsi="宋体" w:cs="宋体" w:eastAsia="宋体" w:hint="default"/>
                <w:sz w:val="18"/>
                <w:szCs w:val="18"/>
              </w:rPr>
              <w:t>江苏光 一投资 管理有 限责任 公司</w:t>
            </w:r>
          </w:p>
        </w:tc>
        <w:tc>
          <w:tcPr>
            <w:tcW w:w="6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1" w:right="116"/>
              <w:jc w:val="both"/>
              <w:rPr>
                <w:rFonts w:ascii="宋体" w:hAnsi="宋体" w:cs="宋体" w:eastAsia="宋体" w:hint="default"/>
                <w:sz w:val="18"/>
                <w:szCs w:val="18"/>
              </w:rPr>
            </w:pPr>
            <w:r>
              <w:rPr>
                <w:rFonts w:ascii="宋体" w:hAnsi="宋体" w:cs="宋体" w:eastAsia="宋体" w:hint="default"/>
                <w:sz w:val="18"/>
                <w:szCs w:val="18"/>
              </w:rPr>
              <w:t>南京宇 能仪表 有限公 司</w:t>
            </w:r>
            <w:r>
              <w:rPr>
                <w:rFonts w:ascii="宋体" w:hAnsi="宋体" w:cs="宋体" w:eastAsia="宋体" w:hint="default"/>
                <w:spacing w:val="-46"/>
                <w:sz w:val="18"/>
                <w:szCs w:val="18"/>
              </w:rPr>
              <w:t> </w:t>
            </w:r>
            <w:r>
              <w:rPr>
                <w:rFonts w:ascii="宋体" w:hAnsi="宋体" w:cs="宋体" w:eastAsia="宋体" w:hint="default"/>
                <w:sz w:val="18"/>
                <w:szCs w:val="18"/>
              </w:rPr>
              <w:t>55%</w:t>
            </w:r>
          </w:p>
          <w:p>
            <w:pPr>
              <w:pStyle w:val="TableParagraph"/>
              <w:spacing w:line="319" w:lineRule="auto" w:before="19"/>
              <w:ind w:left="21" w:right="17"/>
              <w:jc w:val="left"/>
              <w:rPr>
                <w:rFonts w:ascii="宋体" w:hAnsi="宋体" w:cs="宋体" w:eastAsia="宋体" w:hint="default"/>
                <w:sz w:val="18"/>
                <w:szCs w:val="18"/>
              </w:rPr>
            </w:pPr>
            <w:r>
              <w:rPr>
                <w:rFonts w:ascii="宋体" w:hAnsi="宋体" w:cs="宋体" w:eastAsia="宋体" w:hint="default"/>
                <w:spacing w:val="-21"/>
                <w:sz w:val="18"/>
                <w:szCs w:val="18"/>
              </w:rPr>
              <w:t>股权、全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部债权 及相应 权利</w:t>
            </w:r>
          </w:p>
        </w:tc>
        <w:tc>
          <w:tcPr>
            <w:tcW w:w="6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08" w:right="0"/>
              <w:jc w:val="left"/>
              <w:rPr>
                <w:rFonts w:ascii="宋体" w:hAnsi="宋体" w:cs="宋体" w:eastAsia="宋体" w:hint="default"/>
                <w:sz w:val="18"/>
                <w:szCs w:val="18"/>
              </w:rPr>
            </w:pPr>
            <w:r>
              <w:rPr>
                <w:rFonts w:ascii="宋体"/>
                <w:sz w:val="18"/>
              </w:rPr>
              <w:t>9,000</w:t>
            </w:r>
          </w:p>
        </w:tc>
        <w:tc>
          <w:tcPr>
            <w:tcW w:w="6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8" w:right="0"/>
              <w:jc w:val="left"/>
              <w:rPr>
                <w:rFonts w:ascii="宋体" w:hAnsi="宋体" w:cs="宋体" w:eastAsia="宋体" w:hint="default"/>
                <w:sz w:val="18"/>
                <w:szCs w:val="18"/>
              </w:rPr>
            </w:pPr>
            <w:r>
              <w:rPr>
                <w:rFonts w:ascii="宋体"/>
                <w:sz w:val="18"/>
              </w:rPr>
              <w:t>-728.22</w:t>
            </w:r>
          </w:p>
        </w:tc>
        <w:tc>
          <w:tcPr>
            <w:tcW w:w="695" w:type="dxa"/>
            <w:tcBorders>
              <w:top w:val="single" w:sz="6" w:space="0" w:color="000000"/>
              <w:left w:val="single" w:sz="6" w:space="0" w:color="000000"/>
              <w:bottom w:val="single" w:sz="12" w:space="0" w:color="000000"/>
              <w:right w:val="single" w:sz="8" w:space="0" w:color="FFFFFF"/>
            </w:tcBorders>
          </w:tcPr>
          <w:p>
            <w:pPr>
              <w:pStyle w:val="TableParagraph"/>
              <w:spacing w:line="316" w:lineRule="auto" w:before="51"/>
              <w:ind w:left="20" w:right="-31"/>
              <w:jc w:val="left"/>
              <w:rPr>
                <w:rFonts w:ascii="宋体" w:hAnsi="宋体" w:cs="宋体" w:eastAsia="宋体" w:hint="default"/>
                <w:sz w:val="18"/>
                <w:szCs w:val="18"/>
              </w:rPr>
            </w:pPr>
            <w:r>
              <w:rPr>
                <w:rFonts w:ascii="宋体" w:hAnsi="宋体" w:cs="宋体" w:eastAsia="宋体" w:hint="default"/>
                <w:spacing w:val="32"/>
                <w:sz w:val="18"/>
                <w:szCs w:val="18"/>
              </w:rPr>
              <w:t>有利于</w:t>
            </w:r>
            <w:r>
              <w:rPr>
                <w:rFonts w:ascii="宋体" w:hAnsi="宋体" w:cs="宋体" w:eastAsia="宋体" w:hint="default"/>
                <w:spacing w:val="-41"/>
                <w:sz w:val="18"/>
                <w:szCs w:val="18"/>
              </w:rPr>
              <w:t> </w:t>
            </w:r>
            <w:r>
              <w:rPr>
                <w:rFonts w:ascii="宋体" w:hAnsi="宋体" w:cs="宋体" w:eastAsia="宋体" w:hint="default"/>
                <w:spacing w:val="32"/>
                <w:sz w:val="18"/>
                <w:szCs w:val="18"/>
              </w:rPr>
              <w:t>公司降</w:t>
            </w:r>
            <w:r>
              <w:rPr>
                <w:rFonts w:ascii="宋体" w:hAnsi="宋体" w:cs="宋体" w:eastAsia="宋体" w:hint="default"/>
                <w:spacing w:val="-41"/>
                <w:sz w:val="18"/>
                <w:szCs w:val="18"/>
              </w:rPr>
              <w:t> </w:t>
            </w:r>
            <w:r>
              <w:rPr>
                <w:rFonts w:ascii="宋体" w:hAnsi="宋体" w:cs="宋体" w:eastAsia="宋体" w:hint="default"/>
                <w:spacing w:val="32"/>
                <w:sz w:val="18"/>
                <w:szCs w:val="18"/>
              </w:rPr>
              <w:t>低对外</w:t>
            </w:r>
            <w:r>
              <w:rPr>
                <w:rFonts w:ascii="宋体" w:hAnsi="宋体" w:cs="宋体" w:eastAsia="宋体" w:hint="default"/>
                <w:spacing w:val="-41"/>
                <w:sz w:val="18"/>
                <w:szCs w:val="18"/>
              </w:rPr>
              <w:t> </w:t>
            </w:r>
            <w:r>
              <w:rPr>
                <w:rFonts w:ascii="宋体" w:hAnsi="宋体" w:cs="宋体" w:eastAsia="宋体" w:hint="default"/>
                <w:spacing w:val="32"/>
                <w:sz w:val="18"/>
                <w:szCs w:val="18"/>
              </w:rPr>
              <w:t>投资风</w:t>
            </w:r>
            <w:r>
              <w:rPr>
                <w:rFonts w:ascii="宋体" w:hAnsi="宋体" w:cs="宋体" w:eastAsia="宋体" w:hint="default"/>
                <w:spacing w:val="-41"/>
                <w:sz w:val="18"/>
                <w:szCs w:val="18"/>
              </w:rPr>
              <w:t> </w:t>
            </w:r>
            <w:r>
              <w:rPr>
                <w:rFonts w:ascii="宋体" w:hAnsi="宋体" w:cs="宋体" w:eastAsia="宋体" w:hint="default"/>
                <w:spacing w:val="-21"/>
                <w:sz w:val="18"/>
                <w:szCs w:val="18"/>
              </w:rPr>
              <w:t>险，保护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4"/>
                <w:sz w:val="18"/>
                <w:szCs w:val="18"/>
              </w:rPr>
              <w:t>公司</w:t>
            </w:r>
            <w:r>
              <w:rPr>
                <w:rFonts w:ascii="宋体" w:hAnsi="宋体" w:cs="宋体" w:eastAsia="宋体" w:hint="default"/>
                <w:spacing w:val="-41"/>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r>
              <w:rPr>
                <w:rFonts w:ascii="宋体" w:hAnsi="宋体" w:cs="宋体" w:eastAsia="宋体" w:hint="default"/>
                <w:spacing w:val="32"/>
                <w:sz w:val="18"/>
                <w:szCs w:val="18"/>
              </w:rPr>
              <w:t>东特别</w:t>
            </w:r>
            <w:r>
              <w:rPr>
                <w:rFonts w:ascii="宋体" w:hAnsi="宋体" w:cs="宋体" w:eastAsia="宋体" w:hint="default"/>
                <w:spacing w:val="-41"/>
                <w:sz w:val="18"/>
                <w:szCs w:val="18"/>
              </w:rPr>
              <w:t> </w:t>
            </w:r>
            <w:r>
              <w:rPr>
                <w:rFonts w:ascii="宋体" w:hAnsi="宋体" w:cs="宋体" w:eastAsia="宋体" w:hint="default"/>
                <w:spacing w:val="32"/>
                <w:sz w:val="18"/>
                <w:szCs w:val="18"/>
              </w:rPr>
              <w:t>是中小</w:t>
            </w:r>
            <w:r>
              <w:rPr>
                <w:rFonts w:ascii="宋体" w:hAnsi="宋体" w:cs="宋体" w:eastAsia="宋体" w:hint="default"/>
                <w:spacing w:val="-41"/>
                <w:sz w:val="18"/>
                <w:szCs w:val="18"/>
              </w:rPr>
              <w:t> </w:t>
            </w:r>
            <w:r>
              <w:rPr>
                <w:rFonts w:ascii="宋体" w:hAnsi="宋体" w:cs="宋体" w:eastAsia="宋体" w:hint="default"/>
                <w:spacing w:val="32"/>
                <w:sz w:val="18"/>
                <w:szCs w:val="18"/>
              </w:rPr>
              <w:t>股东利</w:t>
            </w:r>
            <w:r>
              <w:rPr>
                <w:rFonts w:ascii="宋体" w:hAnsi="宋体" w:cs="宋体" w:eastAsia="宋体" w:hint="default"/>
                <w:spacing w:val="-41"/>
                <w:sz w:val="18"/>
                <w:szCs w:val="18"/>
              </w:rPr>
              <w:t> </w:t>
            </w:r>
            <w:r>
              <w:rPr>
                <w:rFonts w:ascii="宋体" w:hAnsi="宋体" w:cs="宋体" w:eastAsia="宋体" w:hint="default"/>
                <w:spacing w:val="-21"/>
                <w:sz w:val="18"/>
                <w:szCs w:val="18"/>
              </w:rPr>
              <w:t>益，增强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持续经</w:t>
            </w:r>
            <w:r>
              <w:rPr>
                <w:rFonts w:ascii="宋体" w:hAnsi="宋体" w:cs="宋体" w:eastAsia="宋体" w:hint="default"/>
                <w:spacing w:val="-41"/>
                <w:sz w:val="18"/>
                <w:szCs w:val="18"/>
              </w:rPr>
              <w:t> </w:t>
            </w:r>
            <w:r>
              <w:rPr>
                <w:rFonts w:ascii="宋体" w:hAnsi="宋体" w:cs="宋体" w:eastAsia="宋体" w:hint="default"/>
                <w:sz w:val="18"/>
                <w:szCs w:val="18"/>
              </w:rPr>
              <w:t>营能力</w:t>
            </w:r>
            <w:r>
              <w:rPr>
                <w:rFonts w:ascii="宋体" w:hAnsi="宋体" w:cs="宋体" w:eastAsia="宋体" w:hint="default"/>
                <w:sz w:val="18"/>
                <w:szCs w:val="18"/>
              </w:rPr>
              <w:t> </w:t>
            </w:r>
            <w:r>
              <w:rPr>
                <w:rFonts w:ascii="宋体" w:hAnsi="宋体" w:cs="宋体" w:eastAsia="宋体" w:hint="default"/>
                <w:spacing w:val="32"/>
                <w:sz w:val="18"/>
                <w:szCs w:val="18"/>
              </w:rPr>
              <w:t>符合公</w:t>
            </w:r>
            <w:r>
              <w:rPr>
                <w:rFonts w:ascii="宋体" w:hAnsi="宋体" w:cs="宋体" w:eastAsia="宋体" w:hint="default"/>
                <w:spacing w:val="-41"/>
                <w:sz w:val="18"/>
                <w:szCs w:val="18"/>
              </w:rPr>
              <w:t> </w:t>
            </w:r>
            <w:r>
              <w:rPr>
                <w:rFonts w:ascii="宋体" w:hAnsi="宋体" w:cs="宋体" w:eastAsia="宋体" w:hint="default"/>
                <w:spacing w:val="32"/>
                <w:sz w:val="18"/>
                <w:szCs w:val="18"/>
              </w:rPr>
              <w:t>司可持</w:t>
            </w:r>
            <w:r>
              <w:rPr>
                <w:rFonts w:ascii="宋体" w:hAnsi="宋体" w:cs="宋体" w:eastAsia="宋体" w:hint="default"/>
                <w:spacing w:val="-41"/>
                <w:sz w:val="18"/>
                <w:szCs w:val="18"/>
              </w:rPr>
              <w:t> </w:t>
            </w:r>
            <w:r>
              <w:rPr>
                <w:rFonts w:ascii="宋体" w:hAnsi="宋体" w:cs="宋体" w:eastAsia="宋体" w:hint="default"/>
                <w:spacing w:val="32"/>
                <w:sz w:val="18"/>
                <w:szCs w:val="18"/>
              </w:rPr>
              <w:t>续发展</w:t>
            </w:r>
            <w:r>
              <w:rPr>
                <w:rFonts w:ascii="宋体" w:hAnsi="宋体" w:cs="宋体" w:eastAsia="宋体" w:hint="default"/>
                <w:spacing w:val="-41"/>
                <w:sz w:val="18"/>
                <w:szCs w:val="18"/>
              </w:rPr>
              <w:t> </w:t>
            </w:r>
            <w:r>
              <w:rPr>
                <w:rFonts w:ascii="宋体" w:hAnsi="宋体" w:cs="宋体" w:eastAsia="宋体" w:hint="default"/>
                <w:sz w:val="18"/>
                <w:szCs w:val="18"/>
              </w:rPr>
            </w:r>
          </w:p>
        </w:tc>
        <w:tc>
          <w:tcPr>
            <w:tcW w:w="695" w:type="dxa"/>
            <w:tcBorders>
              <w:top w:val="single" w:sz="6" w:space="0" w:color="000000"/>
              <w:left w:val="single" w:sz="8" w:space="0" w:color="FFFFFF"/>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5" w:right="0"/>
              <w:jc w:val="left"/>
              <w:rPr>
                <w:rFonts w:ascii="宋体" w:hAnsi="宋体" w:cs="宋体" w:eastAsia="宋体" w:hint="default"/>
                <w:sz w:val="18"/>
                <w:szCs w:val="18"/>
              </w:rPr>
            </w:pPr>
            <w:r>
              <w:rPr>
                <w:rFonts w:ascii="宋体"/>
                <w:sz w:val="18"/>
              </w:rPr>
              <w:t>-20.27%</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1"/>
              <w:ind w:left="21" w:right="71"/>
              <w:jc w:val="both"/>
              <w:rPr>
                <w:rFonts w:ascii="宋体" w:hAnsi="宋体" w:cs="宋体" w:eastAsia="宋体" w:hint="default"/>
                <w:sz w:val="18"/>
                <w:szCs w:val="18"/>
              </w:rPr>
            </w:pPr>
            <w:r>
              <w:rPr>
                <w:rFonts w:ascii="宋体" w:hAnsi="宋体" w:cs="宋体" w:eastAsia="宋体" w:hint="default"/>
                <w:sz w:val="18"/>
                <w:szCs w:val="18"/>
              </w:rPr>
              <w:t>股权转 让价格 按照公 司初始 取得南 京宇能 相应股 权的对 价为依 据确定 人民币 </w:t>
            </w:r>
            <w:r>
              <w:rPr>
                <w:rFonts w:ascii="宋体" w:hAnsi="宋体" w:cs="宋体" w:eastAsia="宋体" w:hint="default"/>
                <w:sz w:val="18"/>
                <w:szCs w:val="18"/>
              </w:rPr>
              <w:t>2250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316" w:lineRule="auto" w:before="19"/>
              <w:ind w:left="21" w:right="18"/>
              <w:jc w:val="left"/>
              <w:rPr>
                <w:rFonts w:ascii="宋体" w:hAnsi="宋体" w:cs="宋体" w:eastAsia="宋体" w:hint="default"/>
                <w:sz w:val="18"/>
                <w:szCs w:val="18"/>
              </w:rPr>
            </w:pPr>
            <w:r>
              <w:rPr>
                <w:rFonts w:ascii="宋体" w:hAnsi="宋体" w:cs="宋体" w:eastAsia="宋体" w:hint="default"/>
                <w:spacing w:val="-21"/>
                <w:sz w:val="18"/>
                <w:szCs w:val="18"/>
              </w:rPr>
              <w:t>元；转让</w:t>
            </w:r>
            <w:r>
              <w:rPr>
                <w:rFonts w:ascii="宋体" w:hAnsi="宋体" w:cs="宋体" w:eastAsia="宋体" w:hint="default"/>
                <w:sz w:val="18"/>
                <w:szCs w:val="18"/>
              </w:rPr>
              <w:t> 债权的 价格按</w:t>
            </w:r>
          </w:p>
        </w:tc>
        <w:tc>
          <w:tcPr>
            <w:tcW w:w="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0" w:right="0"/>
              <w:jc w:val="left"/>
              <w:rPr>
                <w:rFonts w:ascii="宋体" w:hAnsi="宋体" w:cs="宋体" w:eastAsia="宋体" w:hint="default"/>
                <w:sz w:val="18"/>
                <w:szCs w:val="18"/>
              </w:rPr>
            </w:pPr>
            <w:r>
              <w:rPr>
                <w:rFonts w:ascii="宋体"/>
                <w:sz w:val="18"/>
              </w:rPr>
              <w:t>2014</w:t>
            </w:r>
          </w:p>
          <w:p>
            <w:pPr>
              <w:pStyle w:val="TableParagraph"/>
              <w:spacing w:line="240" w:lineRule="auto" w:before="75"/>
              <w:ind w:left="2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0" w:right="14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 </w:t>
            </w:r>
            <w:r>
              <w:rPr>
                <w:rFonts w:ascii="宋体" w:hAnsi="宋体" w:cs="宋体" w:eastAsia="宋体" w:hint="default"/>
                <w:sz w:val="18"/>
                <w:szCs w:val="18"/>
              </w:rPr>
              <w:t>日</w:t>
            </w:r>
          </w:p>
        </w:tc>
        <w:tc>
          <w:tcPr>
            <w:tcW w:w="652"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1"/>
              <w:ind w:left="21" w:right="66"/>
              <w:jc w:val="both"/>
              <w:rPr>
                <w:rFonts w:ascii="宋体" w:hAnsi="宋体" w:cs="宋体" w:eastAsia="宋体" w:hint="default"/>
                <w:sz w:val="18"/>
                <w:szCs w:val="18"/>
              </w:rPr>
            </w:pPr>
            <w:r>
              <w:rPr>
                <w:rFonts w:ascii="宋体" w:hAnsi="宋体" w:cs="宋体" w:eastAsia="宋体" w:hint="default"/>
                <w:sz w:val="18"/>
                <w:szCs w:val="18"/>
              </w:rPr>
              <w:t>中国证 监会指 定的创 业板信 息披露 网站－ 巨潮资 讯网</w:t>
            </w:r>
          </w:p>
          <w:p>
            <w:pPr>
              <w:pStyle w:val="TableParagraph"/>
              <w:spacing w:line="316" w:lineRule="auto" w:before="19"/>
              <w:ind w:left="21" w:right="10"/>
              <w:jc w:val="both"/>
              <w:rPr>
                <w:rFonts w:ascii="宋体" w:hAnsi="宋体" w:cs="宋体" w:eastAsia="宋体" w:hint="default"/>
                <w:sz w:val="18"/>
                <w:szCs w:val="18"/>
              </w:rPr>
            </w:pPr>
            <w:r>
              <w:rPr>
                <w:rFonts w:ascii="宋体" w:hAnsi="宋体" w:cs="宋体" w:eastAsia="宋体" w:hint="default"/>
                <w:sz w:val="18"/>
                <w:szCs w:val="18"/>
              </w:rPr>
              <w:t>《关于 拟出售 资产暨 关联交 易的公 </w:t>
            </w:r>
            <w:r>
              <w:rPr>
                <w:rFonts w:ascii="宋体" w:hAnsi="宋体" w:cs="宋体" w:eastAsia="宋体" w:hint="default"/>
                <w:spacing w:val="-31"/>
                <w:sz w:val="18"/>
                <w:szCs w:val="18"/>
              </w:rPr>
              <w:t>告》（公</w:t>
            </w:r>
            <w:r>
              <w:rPr>
                <w:rFonts w:ascii="宋体" w:hAnsi="宋体" w:cs="宋体" w:eastAsia="宋体" w:hint="default"/>
                <w:sz w:val="18"/>
                <w:szCs w:val="18"/>
              </w:rPr>
              <w:t> 告编码</w:t>
            </w:r>
          </w:p>
        </w:tc>
      </w:tr>
    </w:tbl>
    <w:p>
      <w:pPr>
        <w:spacing w:after="0" w:line="316" w:lineRule="auto"/>
        <w:jc w:val="both"/>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696"/>
        <w:gridCol w:w="695"/>
        <w:gridCol w:w="696"/>
        <w:gridCol w:w="695"/>
        <w:gridCol w:w="695"/>
        <w:gridCol w:w="695"/>
        <w:gridCol w:w="695"/>
        <w:gridCol w:w="694"/>
        <w:gridCol w:w="692"/>
        <w:gridCol w:w="838"/>
        <w:gridCol w:w="566"/>
        <w:gridCol w:w="676"/>
        <w:gridCol w:w="589"/>
        <w:gridCol w:w="660"/>
      </w:tblGrid>
      <w:tr>
        <w:trPr>
          <w:trHeight w:val="2878" w:hRule="exact"/>
        </w:trPr>
        <w:tc>
          <w:tcPr>
            <w:tcW w:w="696" w:type="dxa"/>
            <w:tcBorders>
              <w:top w:val="single" w:sz="12" w:space="0" w:color="000000"/>
              <w:left w:val="single" w:sz="12" w:space="0" w:color="000000"/>
              <w:bottom w:val="single" w:sz="12" w:space="0" w:color="000000"/>
              <w:right w:val="single" w:sz="6" w:space="0" w:color="000000"/>
            </w:tcBorders>
          </w:tcPr>
          <w:p>
            <w:pPr/>
          </w:p>
        </w:tc>
        <w:tc>
          <w:tcPr>
            <w:tcW w:w="695" w:type="dxa"/>
            <w:tcBorders>
              <w:top w:val="single" w:sz="12" w:space="0" w:color="000000"/>
              <w:left w:val="single" w:sz="6" w:space="0" w:color="000000"/>
              <w:bottom w:val="single" w:sz="12" w:space="0" w:color="000000"/>
              <w:right w:val="single" w:sz="6" w:space="0" w:color="000000"/>
            </w:tcBorders>
          </w:tcPr>
          <w:p>
            <w:pPr/>
          </w:p>
        </w:tc>
        <w:tc>
          <w:tcPr>
            <w:tcW w:w="696" w:type="dxa"/>
            <w:tcBorders>
              <w:top w:val="single" w:sz="12" w:space="0" w:color="000000"/>
              <w:left w:val="single" w:sz="6" w:space="0" w:color="000000"/>
              <w:bottom w:val="single" w:sz="12" w:space="0" w:color="000000"/>
              <w:right w:val="single" w:sz="6" w:space="0" w:color="000000"/>
            </w:tcBorders>
          </w:tcPr>
          <w:p>
            <w:pPr/>
          </w:p>
        </w:tc>
        <w:tc>
          <w:tcPr>
            <w:tcW w:w="695" w:type="dxa"/>
            <w:tcBorders>
              <w:top w:val="single" w:sz="12" w:space="0" w:color="000000"/>
              <w:left w:val="single" w:sz="6" w:space="0" w:color="000000"/>
              <w:bottom w:val="single" w:sz="12" w:space="0" w:color="000000"/>
              <w:right w:val="single" w:sz="6" w:space="0" w:color="000000"/>
            </w:tcBorders>
          </w:tcPr>
          <w:p>
            <w:pPr/>
          </w:p>
        </w:tc>
        <w:tc>
          <w:tcPr>
            <w:tcW w:w="695" w:type="dxa"/>
            <w:tcBorders>
              <w:top w:val="single" w:sz="12" w:space="0" w:color="000000"/>
              <w:left w:val="single" w:sz="6" w:space="0" w:color="000000"/>
              <w:bottom w:val="single" w:sz="12" w:space="0" w:color="000000"/>
              <w:right w:val="single" w:sz="6" w:space="0" w:color="000000"/>
            </w:tcBorders>
          </w:tcPr>
          <w:p>
            <w:pPr/>
          </w:p>
        </w:tc>
        <w:tc>
          <w:tcPr>
            <w:tcW w:w="695"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0" w:right="-28"/>
              <w:jc w:val="both"/>
              <w:rPr>
                <w:rFonts w:ascii="宋体" w:hAnsi="宋体" w:cs="宋体" w:eastAsia="宋体" w:hint="default"/>
                <w:sz w:val="18"/>
                <w:szCs w:val="18"/>
              </w:rPr>
            </w:pPr>
            <w:r>
              <w:rPr>
                <w:rFonts w:ascii="宋体" w:hAnsi="宋体" w:cs="宋体" w:eastAsia="宋体" w:hint="default"/>
                <w:spacing w:val="-21"/>
                <w:sz w:val="18"/>
                <w:szCs w:val="18"/>
              </w:rPr>
              <w:t>需要。该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项资产</w:t>
            </w:r>
            <w:r>
              <w:rPr>
                <w:rFonts w:ascii="宋体" w:hAnsi="宋体" w:cs="宋体" w:eastAsia="宋体" w:hint="default"/>
                <w:spacing w:val="-41"/>
                <w:sz w:val="18"/>
                <w:szCs w:val="18"/>
              </w:rPr>
              <w:t> </w:t>
            </w:r>
            <w:r>
              <w:rPr>
                <w:rFonts w:ascii="宋体" w:hAnsi="宋体" w:cs="宋体" w:eastAsia="宋体" w:hint="default"/>
                <w:spacing w:val="32"/>
                <w:sz w:val="18"/>
                <w:szCs w:val="18"/>
              </w:rPr>
              <w:t>的处置</w:t>
            </w:r>
            <w:r>
              <w:rPr>
                <w:rFonts w:ascii="宋体" w:hAnsi="宋体" w:cs="宋体" w:eastAsia="宋体" w:hint="default"/>
                <w:spacing w:val="-41"/>
                <w:sz w:val="18"/>
                <w:szCs w:val="18"/>
              </w:rPr>
              <w:t> </w:t>
            </w:r>
            <w:r>
              <w:rPr>
                <w:rFonts w:ascii="宋体" w:hAnsi="宋体" w:cs="宋体" w:eastAsia="宋体" w:hint="default"/>
                <w:spacing w:val="32"/>
                <w:sz w:val="18"/>
                <w:szCs w:val="18"/>
              </w:rPr>
              <w:t>不会对</w:t>
            </w:r>
            <w:r>
              <w:rPr>
                <w:rFonts w:ascii="宋体" w:hAnsi="宋体" w:cs="宋体" w:eastAsia="宋体" w:hint="default"/>
                <w:spacing w:val="-41"/>
                <w:sz w:val="18"/>
                <w:szCs w:val="18"/>
              </w:rPr>
              <w:t> </w:t>
            </w:r>
            <w:r>
              <w:rPr>
                <w:rFonts w:ascii="宋体" w:hAnsi="宋体" w:cs="宋体" w:eastAsia="宋体" w:hint="default"/>
                <w:spacing w:val="32"/>
                <w:sz w:val="18"/>
                <w:szCs w:val="18"/>
              </w:rPr>
              <w:t>公司的</w:t>
            </w:r>
            <w:r>
              <w:rPr>
                <w:rFonts w:ascii="宋体" w:hAnsi="宋体" w:cs="宋体" w:eastAsia="宋体" w:hint="default"/>
                <w:spacing w:val="-41"/>
                <w:sz w:val="18"/>
                <w:szCs w:val="18"/>
              </w:rPr>
              <w:t> </w:t>
            </w:r>
            <w:r>
              <w:rPr>
                <w:rFonts w:ascii="宋体" w:hAnsi="宋体" w:cs="宋体" w:eastAsia="宋体" w:hint="default"/>
                <w:spacing w:val="32"/>
                <w:sz w:val="18"/>
                <w:szCs w:val="18"/>
              </w:rPr>
              <w:t>日常生</w:t>
            </w:r>
            <w:r>
              <w:rPr>
                <w:rFonts w:ascii="宋体" w:hAnsi="宋体" w:cs="宋体" w:eastAsia="宋体" w:hint="default"/>
                <w:spacing w:val="-41"/>
                <w:sz w:val="18"/>
                <w:szCs w:val="18"/>
              </w:rPr>
              <w:t> </w:t>
            </w:r>
            <w:r>
              <w:rPr>
                <w:rFonts w:ascii="宋体" w:hAnsi="宋体" w:cs="宋体" w:eastAsia="宋体" w:hint="default"/>
                <w:spacing w:val="32"/>
                <w:sz w:val="18"/>
                <w:szCs w:val="18"/>
              </w:rPr>
              <w:t>产经营</w:t>
            </w:r>
            <w:r>
              <w:rPr>
                <w:rFonts w:ascii="宋体" w:hAnsi="宋体" w:cs="宋体" w:eastAsia="宋体" w:hint="default"/>
                <w:spacing w:val="-41"/>
                <w:sz w:val="18"/>
                <w:szCs w:val="18"/>
              </w:rPr>
              <w:t> </w:t>
            </w:r>
            <w:r>
              <w:rPr>
                <w:rFonts w:ascii="宋体" w:hAnsi="宋体" w:cs="宋体" w:eastAsia="宋体" w:hint="default"/>
                <w:spacing w:val="32"/>
                <w:sz w:val="18"/>
                <w:szCs w:val="18"/>
              </w:rPr>
              <w:t>产生不</w:t>
            </w:r>
            <w:r>
              <w:rPr>
                <w:rFonts w:ascii="宋体" w:hAnsi="宋体" w:cs="宋体" w:eastAsia="宋体" w:hint="default"/>
                <w:spacing w:val="-41"/>
                <w:sz w:val="18"/>
                <w:szCs w:val="18"/>
              </w:rPr>
              <w:t> </w:t>
            </w:r>
            <w:r>
              <w:rPr>
                <w:rFonts w:ascii="宋体" w:hAnsi="宋体" w:cs="宋体" w:eastAsia="宋体" w:hint="default"/>
                <w:sz w:val="18"/>
                <w:szCs w:val="18"/>
              </w:rPr>
              <w:t>利影响</w:t>
            </w:r>
          </w:p>
        </w:tc>
        <w:tc>
          <w:tcPr>
            <w:tcW w:w="6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69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1" w:right="71"/>
              <w:jc w:val="left"/>
              <w:rPr>
                <w:rFonts w:ascii="宋体" w:hAnsi="宋体" w:cs="宋体" w:eastAsia="宋体" w:hint="default"/>
                <w:sz w:val="18"/>
                <w:szCs w:val="18"/>
              </w:rPr>
            </w:pPr>
            <w:r>
              <w:rPr>
                <w:rFonts w:ascii="宋体" w:hAnsi="宋体" w:cs="宋体" w:eastAsia="宋体" w:hint="default"/>
                <w:sz w:val="18"/>
                <w:szCs w:val="18"/>
              </w:rPr>
              <w:t>照债权 的账面 价值确 定为人 民币 </w:t>
            </w:r>
            <w:r>
              <w:rPr>
                <w:rFonts w:ascii="宋体" w:hAnsi="宋体" w:cs="宋体" w:eastAsia="宋体" w:hint="default"/>
                <w:sz w:val="18"/>
                <w:szCs w:val="18"/>
              </w:rPr>
              <w:t>6750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92" w:type="dxa"/>
            <w:tcBorders>
              <w:top w:val="single" w:sz="12" w:space="0" w:color="000000"/>
              <w:left w:val="single" w:sz="6" w:space="0" w:color="000000"/>
              <w:bottom w:val="single" w:sz="12" w:space="0" w:color="000000"/>
              <w:right w:val="single" w:sz="6" w:space="0" w:color="000000"/>
            </w:tcBorders>
          </w:tcPr>
          <w:p>
            <w:pPr/>
          </w:p>
        </w:tc>
        <w:tc>
          <w:tcPr>
            <w:tcW w:w="838" w:type="dxa"/>
            <w:tcBorders>
              <w:top w:val="single" w:sz="12" w:space="0" w:color="000000"/>
              <w:left w:val="single" w:sz="6" w:space="0" w:color="000000"/>
              <w:bottom w:val="single" w:sz="12" w:space="0" w:color="000000"/>
              <w:right w:val="single" w:sz="6" w:space="0" w:color="000000"/>
            </w:tcBorders>
          </w:tcPr>
          <w:p>
            <w:pPr/>
          </w:p>
        </w:tc>
        <w:tc>
          <w:tcPr>
            <w:tcW w:w="566" w:type="dxa"/>
            <w:tcBorders>
              <w:top w:val="single" w:sz="12" w:space="0" w:color="000000"/>
              <w:left w:val="single" w:sz="6" w:space="0" w:color="000000"/>
              <w:bottom w:val="single" w:sz="12" w:space="0" w:color="000000"/>
              <w:right w:val="single" w:sz="6" w:space="0" w:color="000000"/>
            </w:tcBorders>
          </w:tcPr>
          <w:p>
            <w:pPr/>
          </w:p>
        </w:tc>
        <w:tc>
          <w:tcPr>
            <w:tcW w:w="676" w:type="dxa"/>
            <w:tcBorders>
              <w:top w:val="single" w:sz="12" w:space="0" w:color="000000"/>
              <w:left w:val="single" w:sz="6" w:space="0" w:color="000000"/>
              <w:bottom w:val="single" w:sz="12" w:space="0" w:color="000000"/>
              <w:right w:val="single" w:sz="6" w:space="0" w:color="000000"/>
            </w:tcBorders>
          </w:tcPr>
          <w:p>
            <w:pPr/>
          </w:p>
        </w:tc>
        <w:tc>
          <w:tcPr>
            <w:tcW w:w="589" w:type="dxa"/>
            <w:tcBorders>
              <w:top w:val="single" w:sz="12" w:space="0" w:color="000000"/>
              <w:left w:val="single" w:sz="6" w:space="0" w:color="000000"/>
              <w:bottom w:val="single" w:sz="12" w:space="0" w:color="000000"/>
              <w:right w:val="single" w:sz="6" w:space="0" w:color="000000"/>
            </w:tcBorders>
          </w:tcPr>
          <w:p>
            <w:pPr/>
          </w:p>
        </w:tc>
        <w:tc>
          <w:tcPr>
            <w:tcW w:w="66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1" w:right="0"/>
              <w:jc w:val="left"/>
              <w:rPr>
                <w:rFonts w:ascii="宋体" w:hAnsi="宋体" w:cs="宋体" w:eastAsia="宋体" w:hint="default"/>
                <w:sz w:val="18"/>
                <w:szCs w:val="18"/>
              </w:rPr>
            </w:pPr>
            <w:r>
              <w:rPr>
                <w:rFonts w:ascii="宋体"/>
                <w:sz w:val="18"/>
              </w:rPr>
              <w:t>0808-0</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54</w:t>
            </w:r>
            <w:r>
              <w:rPr>
                <w:rFonts w:ascii="宋体" w:hAnsi="宋体" w:cs="宋体" w:eastAsia="宋体" w:hint="default"/>
                <w:spacing w:val="-46"/>
                <w:sz w:val="18"/>
                <w:szCs w:val="18"/>
              </w:rPr>
              <w:t> </w:t>
            </w:r>
            <w:r>
              <w:rPr>
                <w:rFonts w:ascii="宋体" w:hAnsi="宋体" w:cs="宋体" w:eastAsia="宋体" w:hint="default"/>
                <w:sz w:val="18"/>
                <w:szCs w:val="18"/>
              </w:rPr>
              <w:t>号）</w:t>
            </w:r>
          </w:p>
        </w:tc>
      </w:tr>
    </w:tbl>
    <w:p>
      <w:pPr>
        <w:spacing w:line="240" w:lineRule="auto" w:before="1"/>
        <w:rPr>
          <w:rFonts w:ascii="宋体" w:hAnsi="宋体" w:cs="宋体" w:eastAsia="宋体" w:hint="default"/>
          <w:sz w:val="14"/>
          <w:szCs w:val="14"/>
        </w:rPr>
      </w:pPr>
    </w:p>
    <w:p>
      <w:pPr>
        <w:pStyle w:val="BodyText"/>
        <w:spacing w:line="408" w:lineRule="auto" w:before="35"/>
        <w:ind w:left="575" w:right="0" w:hanging="422"/>
        <w:jc w:val="left"/>
      </w:pPr>
      <w:r>
        <w:rPr/>
        <w:pict>
          <v:group style="position:absolute;margin-left:265.600006pt;margin-top:-153.106339pt;width:34.050pt;height:142.4pt;mso-position-horizontal-relative:page;mso-position-vertical-relative:paragraph;z-index:-914056" coordorigin="5312,-3062" coordsize="681,2848">
            <v:shape style="position:absolute;left:5312;top:-3062;width:681;height:2848" coordorigin="5312,-3062" coordsize="681,2848" path="m5312,-214l5992,-214,5992,-3062,5312,-3062,5312,-214xe" filled="true" fillcolor="#ffffff" stroked="false">
              <v:path arrowok="t"/>
              <v:fill type="solid"/>
            </v:shape>
            <w10:wrap type="none"/>
          </v:group>
        </w:pict>
      </w:r>
      <w:r>
        <w:rPr/>
        <w:t>出售资产情况说明 </w:t>
      </w:r>
      <w:r>
        <w:rPr>
          <w:spacing w:val="-1"/>
        </w:rPr>
        <w:t>为降低公司对外投资风险、保护公司及股东的合法权益免受损失，维护上市公司和非关联股东特别是</w:t>
      </w:r>
    </w:p>
    <w:p>
      <w:pPr>
        <w:pStyle w:val="BodyText"/>
        <w:spacing w:line="408" w:lineRule="auto"/>
        <w:ind w:right="150"/>
        <w:jc w:val="left"/>
        <w:rPr>
          <w:rFonts w:ascii="宋体" w:hAnsi="宋体" w:cs="宋体" w:eastAsia="宋体" w:hint="default"/>
        </w:rPr>
      </w:pPr>
      <w:r>
        <w:rPr>
          <w:spacing w:val="-1"/>
        </w:rPr>
        <w:t>中小股东的利益，</w:t>
      </w:r>
      <w:r>
        <w:rPr>
          <w:rFonts w:ascii="宋体" w:hAnsi="宋体" w:cs="宋体" w:eastAsia="宋体" w:hint="default"/>
          <w:spacing w:val="-1"/>
        </w:rPr>
        <w:t>2014</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7</w:t>
      </w:r>
      <w:r>
        <w:rPr>
          <w:spacing w:val="-1"/>
        </w:rPr>
        <w:t>日经公司第二届董事会第十一次会议审议通过了《关于拟出售资产暨关联交</w:t>
      </w:r>
      <w:r>
        <w:rPr>
          <w:spacing w:val="-80"/>
        </w:rPr>
        <w:t> </w:t>
      </w:r>
      <w:r>
        <w:rPr>
          <w:spacing w:val="-80"/>
        </w:rPr>
      </w:r>
      <w:r>
        <w:rPr>
          <w:spacing w:val="-5"/>
        </w:rPr>
        <w:t>易的议案》，具体内容详见《关于拟出售资产暨关联交易的公告》（公告编码（</w:t>
      </w:r>
      <w:r>
        <w:rPr>
          <w:rFonts w:ascii="宋体" w:hAnsi="宋体" w:cs="宋体" w:eastAsia="宋体" w:hint="default"/>
          <w:spacing w:val="-5"/>
        </w:rPr>
        <w:t>2014</w:t>
      </w:r>
      <w:r>
        <w:rPr>
          <w:spacing w:val="-5"/>
        </w:rPr>
        <w:t>）</w:t>
      </w:r>
      <w:r>
        <w:rPr>
          <w:rFonts w:ascii="宋体" w:hAnsi="宋体" w:cs="宋体" w:eastAsia="宋体" w:hint="default"/>
          <w:spacing w:val="-5"/>
        </w:rPr>
        <w:t>0808-054</w:t>
      </w:r>
      <w:r>
        <w:rPr>
          <w:spacing w:val="-5"/>
        </w:rPr>
        <w:t>号），</w:t>
      </w:r>
      <w:r>
        <w:rPr>
          <w:rFonts w:ascii="宋体" w:hAnsi="宋体" w:cs="宋体" w:eastAsia="宋体" w:hint="default"/>
          <w:spacing w:val="-5"/>
        </w:rPr>
        <w:t>2014</w:t>
      </w:r>
      <w:r>
        <w:rPr>
          <w:rFonts w:ascii="宋体" w:hAnsi="宋体" w:cs="宋体" w:eastAsia="宋体" w:hint="default"/>
          <w:spacing w:val="-70"/>
        </w:rPr>
        <w:t> </w:t>
      </w:r>
      <w:r>
        <w:rPr/>
        <w:t>年</w:t>
      </w:r>
      <w:r>
        <w:rPr>
          <w:rFonts w:ascii="宋体" w:hAnsi="宋体" w:cs="宋体" w:eastAsia="宋体" w:hint="default"/>
        </w:rPr>
        <w:t>12</w:t>
      </w:r>
      <w:r>
        <w:rPr/>
        <w:t>月</w:t>
      </w:r>
      <w:r>
        <w:rPr>
          <w:rFonts w:ascii="宋体" w:hAnsi="宋体" w:cs="宋体" w:eastAsia="宋体" w:hint="default"/>
        </w:rPr>
        <w:t>26</w:t>
      </w:r>
      <w:r>
        <w:rPr/>
        <w:t>日经公司</w:t>
      </w:r>
      <w:r>
        <w:rPr>
          <w:rFonts w:ascii="宋体" w:hAnsi="宋体" w:cs="宋体" w:eastAsia="宋体" w:hint="default"/>
        </w:rPr>
        <w:t>2014</w:t>
      </w:r>
      <w:r>
        <w:rPr/>
        <w:t>年第二次临时股东大会审议批准，将持有的控股子公司南京宇能</w:t>
      </w:r>
      <w:r>
        <w:rPr>
          <w:rFonts w:ascii="宋体" w:hAnsi="宋体" w:cs="宋体" w:eastAsia="宋体" w:hint="default"/>
        </w:rPr>
        <w:t>55%</w:t>
      </w:r>
      <w:r>
        <w:rPr/>
        <w:t>的股权、全部</w:t>
      </w:r>
      <w:r>
        <w:rPr>
          <w:spacing w:val="-30"/>
        </w:rPr>
        <w:t> </w:t>
      </w:r>
      <w:r>
        <w:rPr>
          <w:spacing w:val="-30"/>
        </w:rPr>
      </w:r>
      <w:r>
        <w:rPr/>
        <w:t>债权及相应权利转让给公司控股股东光一投资。报告期末，南京宇能不再是公司控股子公司。 </w:t>
      </w:r>
      <w:bookmarkStart w:name="3、企业合并情况" w:id="43"/>
      <w:bookmarkEnd w:id="43"/>
      <w:r>
        <w:rPr/>
      </w:r>
      <w:r>
        <w:rPr>
          <w:rFonts w:ascii="宋体" w:hAnsi="宋体" w:cs="宋体" w:eastAsia="宋体" w:hint="default"/>
          <w:b/>
          <w:bCs/>
        </w:rPr>
        <w:t>3</w:t>
      </w:r>
      <w:r>
        <w:rPr>
          <w:rFonts w:ascii="宋体" w:hAnsi="宋体" w:cs="宋体" w:eastAsia="宋体" w:hint="default"/>
          <w:b/>
          <w:bCs/>
        </w:rPr>
        <w:t>、企业合并情况</w:t>
      </w:r>
      <w:r>
        <w:rPr>
          <w:rFonts w:ascii="宋体" w:hAnsi="宋体" w:cs="宋体" w:eastAsia="宋体" w:hint="default"/>
        </w:rPr>
      </w:r>
    </w:p>
    <w:p>
      <w:pPr>
        <w:pStyle w:val="BodyText"/>
        <w:spacing w:line="408" w:lineRule="auto"/>
        <w:ind w:left="154" w:right="6622"/>
        <w:jc w:val="left"/>
      </w:pPr>
      <w:r>
        <w:rPr/>
        <w:t>□ 适用 √</w:t>
      </w:r>
      <w:r>
        <w:rPr>
          <w:spacing w:val="-1"/>
        </w:rPr>
        <w:t> </w:t>
      </w:r>
      <w:r>
        <w:rPr/>
        <w:t>不适用</w:t>
      </w:r>
      <w:r>
        <w:rPr/>
        <w:t> 公司报告期未发生企业合并情况。</w:t>
      </w:r>
    </w:p>
    <w:p>
      <w:pPr>
        <w:pStyle w:val="Heading4"/>
        <w:spacing w:line="408" w:lineRule="auto" w:before="46"/>
        <w:ind w:left="153" w:right="0"/>
        <w:jc w:val="left"/>
        <w:rPr>
          <w:b w:val="0"/>
          <w:bCs w:val="0"/>
        </w:rPr>
      </w:pPr>
      <w:bookmarkStart w:name="4、自资产重组报告书或收购出售资产公告刊登后，该事项的进展情况及对报告期经营成果" w:id="44"/>
      <w:bookmarkEnd w:id="44"/>
      <w:r>
        <w:rPr>
          <w:b w:val="0"/>
          <w:bCs w:val="0"/>
        </w:rPr>
      </w:r>
      <w:r>
        <w:rPr>
          <w:rFonts w:ascii="宋体" w:hAnsi="宋体" w:cs="宋体" w:eastAsia="宋体" w:hint="default"/>
        </w:rPr>
        <w:t>4</w:t>
      </w:r>
      <w:r>
        <w:rPr/>
        <w:t>、自资产重组报告书或收购出售资产公告刊登后，该事项的进展情况及对报告期经营成果与财务状况的</w:t>
      </w:r>
      <w:r>
        <w:rPr>
          <w:spacing w:val="-73"/>
        </w:rPr>
        <w:t> </w:t>
      </w:r>
      <w:r>
        <w:rPr>
          <w:spacing w:val="-73"/>
        </w:rPr>
      </w:r>
      <w:r>
        <w:rPr/>
        <w:t>影响</w:t>
      </w:r>
      <w:r>
        <w:rPr>
          <w:b w:val="0"/>
          <w:bCs w:val="0"/>
        </w:rPr>
      </w:r>
    </w:p>
    <w:p>
      <w:pPr>
        <w:pStyle w:val="BodyText"/>
        <w:spacing w:line="408" w:lineRule="auto"/>
        <w:ind w:left="525" w:right="0" w:hanging="372"/>
        <w:jc w:val="left"/>
      </w:pPr>
      <w:r>
        <w:rPr/>
        <w:t>√ 适用 □</w:t>
      </w:r>
      <w:r>
        <w:rPr>
          <w:spacing w:val="-1"/>
        </w:rPr>
        <w:t> </w:t>
      </w:r>
      <w:r>
        <w:rPr/>
        <w:t>不适用</w:t>
      </w:r>
      <w:r>
        <w:rPr/>
        <w:t> 索瑞电气于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26</w:t>
      </w:r>
      <w:r>
        <w:rPr/>
        <w:t>日完成工商变更备案手续，其资产负债表于报告期末纳入合并范围，其利润</w:t>
      </w:r>
    </w:p>
    <w:p>
      <w:pPr>
        <w:pStyle w:val="BodyText"/>
        <w:spacing w:line="240" w:lineRule="auto"/>
        <w:ind w:left="154" w:right="0"/>
        <w:jc w:val="left"/>
      </w:pPr>
      <w:r>
        <w:rPr/>
        <w:t>表和现金流量表自</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w:t>
      </w:r>
      <w:r>
        <w:rPr/>
        <w:t>日起纳入合并范围。报告期内，该事项对</w:t>
      </w:r>
      <w:r>
        <w:rPr>
          <w:rFonts w:ascii="宋体" w:hAnsi="宋体" w:cs="宋体" w:eastAsia="宋体" w:hint="default"/>
        </w:rPr>
        <w:t>2014</w:t>
      </w:r>
      <w:r>
        <w:rPr/>
        <w:t>年度公司损益不产生影响。</w:t>
      </w:r>
    </w:p>
    <w:p>
      <w:pPr>
        <w:pStyle w:val="Heading2"/>
        <w:spacing w:line="240" w:lineRule="auto" w:before="170"/>
        <w:ind w:right="0"/>
        <w:jc w:val="left"/>
        <w:rPr>
          <w:b w:val="0"/>
          <w:bCs w:val="0"/>
        </w:rPr>
      </w:pPr>
      <w:bookmarkStart w:name="五、公司股权激励的实施情况及其影响" w:id="45"/>
      <w:bookmarkEnd w:id="45"/>
      <w:r>
        <w:rPr>
          <w:b w:val="0"/>
          <w:bCs w:val="0"/>
        </w:rPr>
      </w:r>
      <w:r>
        <w:rPr/>
        <w:t>五、公司股权激励的实施情况及其影响</w:t>
      </w:r>
      <w:r>
        <w:rPr>
          <w:b w:val="0"/>
          <w:bCs w:val="0"/>
        </w:rPr>
      </w:r>
    </w:p>
    <w:p>
      <w:pPr>
        <w:spacing w:line="391" w:lineRule="auto" w:before="177"/>
        <w:ind w:left="154" w:right="578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公司报告期无股权激励计划及其实施情况。 </w:t>
      </w:r>
      <w:bookmarkStart w:name="六、重大关联交易" w:id="46"/>
      <w:bookmarkEnd w:id="46"/>
      <w:r>
        <w:rPr>
          <w:rFonts w:ascii="宋体" w:hAnsi="宋体" w:cs="宋体" w:eastAsia="宋体" w:hint="default"/>
          <w:sz w:val="21"/>
          <w:szCs w:val="21"/>
        </w:rPr>
      </w:r>
      <w:r>
        <w:rPr>
          <w:rFonts w:ascii="宋体" w:hAnsi="宋体" w:cs="宋体" w:eastAsia="宋体" w:hint="default"/>
          <w:b/>
          <w:bCs/>
          <w:sz w:val="24"/>
          <w:szCs w:val="24"/>
        </w:rPr>
        <w:t>六、重大关联交易</w:t>
      </w:r>
      <w:r>
        <w:rPr>
          <w:rFonts w:ascii="宋体" w:hAnsi="宋体" w:cs="宋体" w:eastAsia="宋体" w:hint="default"/>
          <w:b/>
          <w:bCs/>
          <w:w w:val="99"/>
          <w:sz w:val="24"/>
          <w:szCs w:val="24"/>
        </w:rPr>
        <w:t> </w:t>
      </w:r>
      <w:bookmarkStart w:name="1、与日常经营相关的关联交易" w:id="47"/>
      <w:bookmarkEnd w:id="47"/>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408" w:lineRule="auto" w:before="61"/>
        <w:ind w:left="154" w:right="53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公司报告期未发生与日常经营相关的关联交易。 </w:t>
      </w:r>
      <w:bookmarkStart w:name="2、资产收购、出售发生的关联交易" w:id="48"/>
      <w:bookmarkEnd w:id="48"/>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pStyle w:val="BodyText"/>
        <w:spacing w:line="240" w:lineRule="auto"/>
        <w:ind w:left="154" w:right="0"/>
        <w:jc w:val="left"/>
      </w:pPr>
      <w:r>
        <w:rPr/>
        <w:t>√ 适用 □</w:t>
      </w:r>
      <w:r>
        <w:rPr>
          <w:spacing w:val="-1"/>
        </w:rPr>
        <w:t> </w:t>
      </w:r>
      <w:r>
        <w:rPr/>
        <w:t>不适用</w:t>
      </w:r>
    </w:p>
    <w:p>
      <w:pPr>
        <w:spacing w:after="0" w:line="240" w:lineRule="auto"/>
        <w:jc w:val="left"/>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749"/>
        <w:gridCol w:w="764"/>
        <w:gridCol w:w="748"/>
        <w:gridCol w:w="746"/>
        <w:gridCol w:w="750"/>
        <w:gridCol w:w="743"/>
        <w:gridCol w:w="745"/>
        <w:gridCol w:w="745"/>
        <w:gridCol w:w="745"/>
        <w:gridCol w:w="746"/>
        <w:gridCol w:w="750"/>
        <w:gridCol w:w="559"/>
        <w:gridCol w:w="782"/>
      </w:tblGrid>
      <w:tr>
        <w:trPr>
          <w:trHeight w:val="1351" w:hRule="exact"/>
        </w:trPr>
        <w:tc>
          <w:tcPr>
            <w:tcW w:w="74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6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4" w:right="103"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4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5" w:right="95"/>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6" w:right="9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7" w:right="96"/>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4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93" w:right="92"/>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20"/>
              <w:ind w:left="20"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95" w:right="92"/>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20"/>
              <w:ind w:left="21"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0" w:right="-10"/>
              <w:jc w:val="left"/>
              <w:rPr>
                <w:rFonts w:ascii="宋体" w:hAnsi="宋体" w:cs="宋体" w:eastAsia="宋体" w:hint="default"/>
                <w:sz w:val="18"/>
                <w:szCs w:val="18"/>
              </w:rPr>
            </w:pPr>
            <w:r>
              <w:rPr>
                <w:rFonts w:ascii="宋体" w:hAnsi="宋体" w:cs="宋体" w:eastAsia="宋体" w:hint="default"/>
                <w:sz w:val="18"/>
                <w:szCs w:val="18"/>
              </w:rPr>
              <w:t>（万元）</w:t>
            </w:r>
          </w:p>
        </w:tc>
        <w:tc>
          <w:tcPr>
            <w:tcW w:w="74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4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7" w:right="96"/>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0"/>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78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023" w:hRule="exact"/>
        </w:trPr>
        <w:tc>
          <w:tcPr>
            <w:tcW w:w="74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3" w:right="171"/>
              <w:jc w:val="both"/>
              <w:rPr>
                <w:rFonts w:ascii="宋体" w:hAnsi="宋体" w:cs="宋体" w:eastAsia="宋体" w:hint="default"/>
                <w:sz w:val="18"/>
                <w:szCs w:val="18"/>
              </w:rPr>
            </w:pPr>
            <w:r>
              <w:rPr>
                <w:rFonts w:ascii="宋体" w:hAnsi="宋体" w:cs="宋体" w:eastAsia="宋体" w:hint="default"/>
                <w:sz w:val="18"/>
                <w:szCs w:val="18"/>
              </w:rPr>
              <w:t>江苏光 一投资 管理有 限责任 公司</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0" w:right="19"/>
              <w:jc w:val="left"/>
              <w:rPr>
                <w:rFonts w:ascii="宋体" w:hAnsi="宋体" w:cs="宋体" w:eastAsia="宋体" w:hint="default"/>
                <w:sz w:val="18"/>
                <w:szCs w:val="18"/>
              </w:rPr>
            </w:pPr>
            <w:r>
              <w:rPr>
                <w:rFonts w:ascii="宋体" w:hAnsi="宋体" w:cs="宋体" w:eastAsia="宋体" w:hint="default"/>
                <w:spacing w:val="-8"/>
                <w:sz w:val="18"/>
                <w:szCs w:val="18"/>
              </w:rPr>
              <w:t>股权、债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权及相 应权利 转让</w:t>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0" w:right="169"/>
              <w:jc w:val="both"/>
              <w:rPr>
                <w:rFonts w:ascii="宋体" w:hAnsi="宋体" w:cs="宋体" w:eastAsia="宋体" w:hint="default"/>
                <w:sz w:val="18"/>
                <w:szCs w:val="18"/>
              </w:rPr>
            </w:pPr>
            <w:r>
              <w:rPr>
                <w:rFonts w:ascii="宋体" w:hAnsi="宋体" w:cs="宋体" w:eastAsia="宋体" w:hint="default"/>
                <w:sz w:val="18"/>
                <w:szCs w:val="18"/>
              </w:rPr>
              <w:t>转让南 京宇能 仪表有 限公司 股权与 债权及 相应权 利</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0" w:right="129"/>
              <w:jc w:val="left"/>
              <w:rPr>
                <w:rFonts w:ascii="宋体" w:hAnsi="宋体" w:cs="宋体" w:eastAsia="宋体" w:hint="default"/>
                <w:sz w:val="18"/>
                <w:szCs w:val="18"/>
              </w:rPr>
            </w:pPr>
            <w:r>
              <w:rPr>
                <w:rFonts w:ascii="宋体" w:hAnsi="宋体" w:cs="宋体" w:eastAsia="宋体" w:hint="default"/>
                <w:sz w:val="18"/>
                <w:szCs w:val="18"/>
              </w:rPr>
              <w:t>按照公 司初始 取得南 京宇能 相应股 权的对 价为依 据为人 民币 </w:t>
            </w:r>
            <w:r>
              <w:rPr>
                <w:rFonts w:ascii="宋体" w:hAnsi="宋体" w:cs="宋体" w:eastAsia="宋体" w:hint="default"/>
                <w:sz w:val="18"/>
                <w:szCs w:val="18"/>
              </w:rPr>
              <w:t>2250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316" w:lineRule="auto" w:before="19"/>
              <w:ind w:left="20" w:right="20"/>
              <w:jc w:val="left"/>
              <w:rPr>
                <w:rFonts w:ascii="宋体" w:hAnsi="宋体" w:cs="宋体" w:eastAsia="宋体" w:hint="default"/>
                <w:sz w:val="18"/>
                <w:szCs w:val="18"/>
              </w:rPr>
            </w:pPr>
            <w:r>
              <w:rPr>
                <w:rFonts w:ascii="宋体" w:hAnsi="宋体" w:cs="宋体" w:eastAsia="宋体" w:hint="default"/>
                <w:spacing w:val="-7"/>
                <w:sz w:val="18"/>
                <w:szCs w:val="18"/>
              </w:rPr>
              <w:t>元；转让</w:t>
            </w:r>
            <w:r>
              <w:rPr>
                <w:rFonts w:ascii="宋体" w:hAnsi="宋体" w:cs="宋体" w:eastAsia="宋体" w:hint="default"/>
                <w:sz w:val="18"/>
                <w:szCs w:val="18"/>
              </w:rPr>
              <w:t> 债权的 价格按 照债权 账面价 值确定 为人民 币</w:t>
            </w:r>
            <w:r>
              <w:rPr>
                <w:rFonts w:ascii="宋体" w:hAnsi="宋体" w:cs="宋体" w:eastAsia="宋体" w:hint="default"/>
                <w:spacing w:val="-46"/>
                <w:sz w:val="18"/>
                <w:szCs w:val="18"/>
              </w:rPr>
              <w:t> </w:t>
            </w:r>
            <w:r>
              <w:rPr>
                <w:rFonts w:ascii="宋体" w:hAnsi="宋体" w:cs="宋体" w:eastAsia="宋体" w:hint="default"/>
                <w:sz w:val="18"/>
                <w:szCs w:val="18"/>
              </w:rPr>
              <w:t>6750</w:t>
            </w:r>
          </w:p>
          <w:p>
            <w:pPr>
              <w:pStyle w:val="TableParagraph"/>
              <w:spacing w:line="240" w:lineRule="auto" w:before="20"/>
              <w:ind w:left="2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57" w:right="0"/>
              <w:jc w:val="left"/>
              <w:rPr>
                <w:rFonts w:ascii="宋体" w:hAnsi="宋体" w:cs="宋体" w:eastAsia="宋体" w:hint="default"/>
                <w:sz w:val="18"/>
                <w:szCs w:val="18"/>
              </w:rPr>
            </w:pPr>
            <w:r>
              <w:rPr>
                <w:rFonts w:ascii="宋体"/>
                <w:sz w:val="18"/>
              </w:rPr>
              <w:t>9,000</w:t>
            </w:r>
          </w:p>
        </w:tc>
        <w:tc>
          <w:tcPr>
            <w:tcW w:w="745"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59" w:right="0"/>
              <w:jc w:val="left"/>
              <w:rPr>
                <w:rFonts w:ascii="宋体" w:hAnsi="宋体" w:cs="宋体" w:eastAsia="宋体" w:hint="default"/>
                <w:sz w:val="18"/>
                <w:szCs w:val="18"/>
              </w:rPr>
            </w:pPr>
            <w:r>
              <w:rPr>
                <w:rFonts w:ascii="宋体"/>
                <w:sz w:val="18"/>
              </w:rPr>
              <w:t>9,000</w:t>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宋体" w:hAnsi="宋体" w:cs="宋体" w:eastAsia="宋体" w:hint="default"/>
                <w:sz w:val="18"/>
                <w:szCs w:val="18"/>
              </w:rPr>
            </w:pPr>
            <w:r>
              <w:rPr>
                <w:rFonts w:ascii="宋体"/>
                <w:sz w:val="18"/>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0" w:right="0"/>
              <w:jc w:val="left"/>
              <w:rPr>
                <w:rFonts w:ascii="宋体" w:hAnsi="宋体" w:cs="宋体" w:eastAsia="宋体" w:hint="default"/>
                <w:sz w:val="18"/>
                <w:szCs w:val="18"/>
              </w:rPr>
            </w:pPr>
            <w:r>
              <w:rPr>
                <w:rFonts w:ascii="宋体"/>
                <w:sz w:val="18"/>
              </w:rPr>
              <w:t>2014</w:t>
            </w:r>
          </w:p>
          <w:p>
            <w:pPr>
              <w:pStyle w:val="TableParagraph"/>
              <w:spacing w:line="240" w:lineRule="auto" w:before="75"/>
              <w:ind w:left="2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319" w:lineRule="auto" w:before="76"/>
              <w:ind w:left="20" w:right="1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 </w:t>
            </w:r>
            <w:r>
              <w:rPr>
                <w:rFonts w:ascii="宋体" w:hAnsi="宋体" w:cs="宋体" w:eastAsia="宋体" w:hint="default"/>
                <w:sz w:val="18"/>
                <w:szCs w:val="18"/>
              </w:rPr>
              <w:t>日</w:t>
            </w:r>
          </w:p>
        </w:tc>
        <w:tc>
          <w:tcPr>
            <w:tcW w:w="7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 w:right="17"/>
              <w:jc w:val="both"/>
              <w:rPr>
                <w:rFonts w:ascii="宋体" w:hAnsi="宋体" w:cs="宋体" w:eastAsia="宋体" w:hint="default"/>
                <w:sz w:val="18"/>
                <w:szCs w:val="18"/>
              </w:rPr>
            </w:pPr>
            <w:r>
              <w:rPr>
                <w:rFonts w:ascii="宋体" w:hAnsi="宋体" w:cs="宋体" w:eastAsia="宋体" w:hint="default"/>
                <w:sz w:val="18"/>
                <w:szCs w:val="18"/>
              </w:rPr>
              <w:t>中国证监 会指定的 创业板信 息披露网 站－巨潮 资讯网</w:t>
            </w:r>
          </w:p>
          <w:p>
            <w:pPr>
              <w:pStyle w:val="TableParagraph"/>
              <w:spacing w:line="316" w:lineRule="auto" w:before="19"/>
              <w:ind w:left="21" w:right="10"/>
              <w:jc w:val="left"/>
              <w:rPr>
                <w:rFonts w:ascii="宋体" w:hAnsi="宋体" w:cs="宋体" w:eastAsia="宋体" w:hint="default"/>
                <w:sz w:val="18"/>
                <w:szCs w:val="18"/>
              </w:rPr>
            </w:pPr>
            <w:r>
              <w:rPr>
                <w:rFonts w:ascii="宋体" w:hAnsi="宋体" w:cs="宋体" w:eastAsia="宋体" w:hint="default"/>
                <w:sz w:val="18"/>
                <w:szCs w:val="18"/>
              </w:rPr>
              <w:t>《关于拟 出售资产 暨关联交 易的公 </w:t>
            </w:r>
            <w:r>
              <w:rPr>
                <w:rFonts w:ascii="宋体" w:hAnsi="宋体" w:cs="宋体" w:eastAsia="宋体" w:hint="default"/>
                <w:spacing w:val="-35"/>
                <w:sz w:val="18"/>
                <w:szCs w:val="18"/>
              </w:rPr>
              <w:t>告》（公告</w:t>
            </w:r>
            <w:r>
              <w:rPr>
                <w:rFonts w:ascii="宋体" w:hAnsi="宋体" w:cs="宋体" w:eastAsia="宋体" w:hint="default"/>
                <w:sz w:val="18"/>
                <w:szCs w:val="18"/>
              </w:rPr>
              <w:t> 编码</w:t>
            </w:r>
          </w:p>
          <w:p>
            <w:pPr>
              <w:pStyle w:val="TableParagraph"/>
              <w:spacing w:line="316" w:lineRule="auto" w:before="19"/>
              <w:ind w:left="21" w:right="1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z w:val="18"/>
                <w:szCs w:val="18"/>
              </w:rPr>
              <w:t>） </w:t>
            </w:r>
            <w:r>
              <w:rPr>
                <w:rFonts w:ascii="宋体" w:hAnsi="宋体" w:cs="宋体" w:eastAsia="宋体" w:hint="default"/>
                <w:sz w:val="18"/>
                <w:szCs w:val="18"/>
              </w:rPr>
              <w:t>0808-054</w:t>
            </w:r>
          </w:p>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719" w:hRule="exact"/>
        </w:trPr>
        <w:tc>
          <w:tcPr>
            <w:tcW w:w="3007" w:type="dxa"/>
            <w:gridSpan w:val="4"/>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13" w:right="89"/>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较大的原因（若有）</w:t>
            </w:r>
          </w:p>
        </w:tc>
        <w:tc>
          <w:tcPr>
            <w:tcW w:w="6565" w:type="dxa"/>
            <w:gridSpan w:val="9"/>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27" w:hRule="exact"/>
        </w:trPr>
        <w:tc>
          <w:tcPr>
            <w:tcW w:w="3007" w:type="dxa"/>
            <w:gridSpan w:val="4"/>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9" w:lineRule="auto" w:before="51"/>
              <w:ind w:left="13" w:right="89"/>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65" w:type="dxa"/>
            <w:gridSpan w:val="9"/>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报告期内，合并南京宇能对本期归属于上市公司净利润的影响为</w:t>
            </w:r>
            <w:r>
              <w:rPr>
                <w:rFonts w:ascii="宋体" w:hAnsi="宋体" w:cs="宋体" w:eastAsia="宋体" w:hint="default"/>
                <w:sz w:val="18"/>
                <w:szCs w:val="18"/>
              </w:rPr>
              <w:t>-728.22</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pStyle w:val="Heading4"/>
        <w:spacing w:line="240" w:lineRule="auto" w:before="63"/>
        <w:ind w:right="0"/>
        <w:jc w:val="left"/>
        <w:rPr>
          <w:b w:val="0"/>
          <w:bCs w:val="0"/>
        </w:rPr>
      </w:pPr>
      <w:bookmarkStart w:name="3、共同对外投资的重大关联交易" w:id="49"/>
      <w:bookmarkEnd w:id="49"/>
      <w:r>
        <w:rPr>
          <w:b w:val="0"/>
          <w:bCs w:val="0"/>
        </w:rPr>
      </w:r>
      <w:r>
        <w:rPr>
          <w:rFonts w:ascii="宋体" w:hAnsi="宋体" w:cs="宋体" w:eastAsia="宋体" w:hint="default"/>
        </w:rPr>
        <w:t>3</w:t>
      </w:r>
      <w:r>
        <w:rPr/>
        <w:t>、共同对外投资的重大关联交易</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515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公司报告期未发生共同对外投资的重大关联交易。 </w:t>
      </w:r>
      <w:bookmarkStart w:name="4、关联债权债务往来" w:id="50"/>
      <w:bookmarkEnd w:id="50"/>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pStyle w:val="BodyText"/>
        <w:spacing w:line="408" w:lineRule="auto"/>
        <w:ind w:left="154" w:right="6412"/>
        <w:jc w:val="left"/>
      </w:pPr>
      <w:r>
        <w:rPr/>
        <w:t>√ 适用 □</w:t>
      </w:r>
      <w:r>
        <w:rPr>
          <w:spacing w:val="-1"/>
        </w:rPr>
        <w:t> </w:t>
      </w:r>
      <w:r>
        <w:rPr/>
        <w:t>不适用</w:t>
      </w:r>
      <w:r>
        <w:rPr/>
        <w:t> 是否存在非经营性关联债权债务往来</w:t>
      </w:r>
    </w:p>
    <w:p>
      <w:pPr>
        <w:pStyle w:val="BodyText"/>
        <w:spacing w:line="240" w:lineRule="auto"/>
        <w:ind w:left="154" w:right="0"/>
        <w:jc w:val="left"/>
      </w:pPr>
      <w:r>
        <w:rPr/>
        <w:t>√ 是 □ 否</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419"/>
        <w:gridCol w:w="850"/>
        <w:gridCol w:w="1418"/>
        <w:gridCol w:w="1701"/>
        <w:gridCol w:w="1134"/>
        <w:gridCol w:w="914"/>
        <w:gridCol w:w="1135"/>
        <w:gridCol w:w="1001"/>
      </w:tblGrid>
      <w:tr>
        <w:trPr>
          <w:trHeight w:val="1039" w:hRule="exact"/>
        </w:trPr>
        <w:tc>
          <w:tcPr>
            <w:tcW w:w="141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1"/>
              <w:jc w:val="right"/>
              <w:rPr>
                <w:rFonts w:ascii="宋体" w:hAnsi="宋体" w:cs="宋体" w:eastAsia="宋体" w:hint="default"/>
                <w:sz w:val="18"/>
                <w:szCs w:val="18"/>
              </w:rPr>
            </w:pPr>
            <w:r>
              <w:rPr>
                <w:rFonts w:ascii="宋体" w:hAnsi="宋体" w:cs="宋体" w:eastAsia="宋体" w:hint="default"/>
                <w:sz w:val="18"/>
                <w:szCs w:val="18"/>
              </w:rPr>
              <w:t>债权债务类型</w:t>
            </w:r>
          </w:p>
        </w:tc>
        <w:tc>
          <w:tcPr>
            <w:tcW w:w="17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110" w:right="107"/>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7"/>
              <w:ind w:left="8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7"/>
              <w:ind w:left="19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7"/>
              <w:ind w:left="13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27" w:hRule="exact"/>
        </w:trPr>
        <w:tc>
          <w:tcPr>
            <w:tcW w:w="1419" w:type="dxa"/>
            <w:tcBorders>
              <w:top w:val="single" w:sz="6" w:space="0" w:color="000000"/>
              <w:left w:val="single" w:sz="12" w:space="0" w:color="000000"/>
              <w:bottom w:val="single" w:sz="12" w:space="0" w:color="000000"/>
              <w:right w:val="single" w:sz="6" w:space="0" w:color="000000"/>
            </w:tcBorders>
          </w:tcPr>
          <w:p>
            <w:pPr>
              <w:pStyle w:val="TableParagraph"/>
              <w:spacing w:line="319" w:lineRule="auto" w:before="51"/>
              <w:ind w:left="13" w:right="123"/>
              <w:jc w:val="left"/>
              <w:rPr>
                <w:rFonts w:ascii="宋体" w:hAnsi="宋体" w:cs="宋体" w:eastAsia="宋体" w:hint="default"/>
                <w:sz w:val="18"/>
                <w:szCs w:val="18"/>
              </w:rPr>
            </w:pPr>
            <w:r>
              <w:rPr>
                <w:rFonts w:ascii="宋体" w:hAnsi="宋体" w:cs="宋体" w:eastAsia="宋体" w:hint="default"/>
                <w:sz w:val="18"/>
                <w:szCs w:val="18"/>
              </w:rPr>
              <w:t>江苏光一投资管 理有限责任公司</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1"/>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51"/>
              <w:ind w:left="20" w:right="45"/>
              <w:jc w:val="left"/>
              <w:rPr>
                <w:rFonts w:ascii="宋体" w:hAnsi="宋体" w:cs="宋体" w:eastAsia="宋体" w:hint="default"/>
                <w:sz w:val="18"/>
                <w:szCs w:val="18"/>
              </w:rPr>
            </w:pPr>
            <w:r>
              <w:rPr>
                <w:rFonts w:ascii="宋体" w:hAnsi="宋体" w:cs="宋体" w:eastAsia="宋体" w:hint="default"/>
                <w:sz w:val="18"/>
                <w:szCs w:val="18"/>
              </w:rPr>
              <w:t>转让南京宇能仪表有 限公司股权与债权</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9" w:right="0"/>
              <w:jc w:val="left"/>
              <w:rPr>
                <w:rFonts w:ascii="宋体" w:hAnsi="宋体" w:cs="宋体" w:eastAsia="宋体" w:hint="default"/>
                <w:sz w:val="18"/>
                <w:szCs w:val="18"/>
              </w:rPr>
            </w:pPr>
            <w:r>
              <w:rPr>
                <w:rFonts w:ascii="宋体"/>
                <w:sz w:val="18"/>
              </w:rPr>
              <w:t>9,000</w:t>
            </w:r>
          </w:p>
        </w:tc>
        <w:tc>
          <w:tcPr>
            <w:tcW w:w="10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5" w:right="0"/>
              <w:jc w:val="left"/>
              <w:rPr>
                <w:rFonts w:ascii="宋体" w:hAnsi="宋体" w:cs="宋体" w:eastAsia="宋体" w:hint="default"/>
                <w:sz w:val="18"/>
                <w:szCs w:val="18"/>
              </w:rPr>
            </w:pPr>
            <w:r>
              <w:rPr>
                <w:rFonts w:ascii="宋体"/>
                <w:sz w:val="18"/>
              </w:rPr>
              <w:t>7,875</w:t>
            </w:r>
          </w:p>
        </w:tc>
      </w:tr>
    </w:tbl>
    <w:p>
      <w:pPr>
        <w:spacing w:after="0" w:line="240" w:lineRule="auto"/>
        <w:jc w:val="lef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53" w:right="0"/>
        <w:jc w:val="left"/>
        <w:rPr>
          <w:b w:val="0"/>
          <w:bCs w:val="0"/>
        </w:rPr>
      </w:pPr>
      <w:bookmarkStart w:name="5、其他重大关联交易" w:id="51"/>
      <w:bookmarkEnd w:id="51"/>
      <w:r>
        <w:rPr>
          <w:b w:val="0"/>
          <w:bCs w:val="0"/>
        </w:rPr>
      </w:r>
      <w:r>
        <w:rPr>
          <w:rFonts w:ascii="宋体" w:hAnsi="宋体" w:cs="宋体" w:eastAsia="宋体" w:hint="default"/>
        </w:rPr>
        <w:t>5</w:t>
      </w:r>
      <w:r>
        <w:rPr/>
        <w:t>、其他重大关联交易</w:t>
      </w:r>
      <w:r>
        <w:rPr>
          <w:b w:val="0"/>
          <w:bCs w:val="0"/>
        </w:rPr>
      </w:r>
    </w:p>
    <w:p>
      <w:pPr>
        <w:spacing w:line="240" w:lineRule="auto" w:before="10"/>
        <w:rPr>
          <w:rFonts w:ascii="宋体" w:hAnsi="宋体" w:cs="宋体" w:eastAsia="宋体" w:hint="default"/>
          <w:b/>
          <w:bCs/>
          <w:sz w:val="14"/>
          <w:szCs w:val="14"/>
        </w:rPr>
      </w:pPr>
    </w:p>
    <w:p>
      <w:pPr>
        <w:spacing w:line="391" w:lineRule="auto" w:before="0"/>
        <w:ind w:left="154" w:right="662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公司报告期无其他重大关联交易。 </w:t>
      </w:r>
      <w:bookmarkStart w:name="七、重大合同及其履行情况" w:id="52"/>
      <w:bookmarkEnd w:id="52"/>
      <w:r>
        <w:rPr>
          <w:rFonts w:ascii="宋体" w:hAnsi="宋体" w:cs="宋体" w:eastAsia="宋体" w:hint="default"/>
          <w:sz w:val="21"/>
          <w:szCs w:val="21"/>
        </w:rPr>
      </w:r>
      <w:r>
        <w:rPr>
          <w:rFonts w:ascii="宋体" w:hAnsi="宋体" w:cs="宋体" w:eastAsia="宋体" w:hint="default"/>
          <w:b/>
          <w:bCs/>
          <w:sz w:val="24"/>
          <w:szCs w:val="24"/>
        </w:rPr>
        <w:t>七、重大合同及其履行情况</w:t>
      </w:r>
      <w:r>
        <w:rPr>
          <w:rFonts w:ascii="宋体" w:hAnsi="宋体" w:cs="宋体" w:eastAsia="宋体" w:hint="default"/>
          <w:b/>
          <w:bCs/>
          <w:w w:val="99"/>
          <w:sz w:val="24"/>
          <w:szCs w:val="24"/>
        </w:rPr>
        <w:t> </w:t>
      </w:r>
      <w:bookmarkStart w:name="1、托管、承包、租赁事项情况" w:id="53"/>
      <w:bookmarkEnd w:id="53"/>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pStyle w:val="Heading4"/>
        <w:spacing w:line="240" w:lineRule="auto" w:before="61"/>
        <w:ind w:right="0"/>
        <w:jc w:val="left"/>
        <w:rPr>
          <w:b w:val="0"/>
          <w:bCs w:val="0"/>
        </w:rPr>
      </w:pPr>
      <w:bookmarkStart w:name="（1）托管情况" w:id="54"/>
      <w:bookmarkEnd w:id="54"/>
      <w:r>
        <w:rPr>
          <w:b w:val="0"/>
          <w:bCs w:val="0"/>
        </w:rPr>
      </w:r>
      <w:r>
        <w:rPr/>
        <w:t>（</w:t>
      </w:r>
      <w:r>
        <w:rPr>
          <w:rFonts w:ascii="宋体" w:hAnsi="宋体" w:cs="宋体" w:eastAsia="宋体" w:hint="default"/>
        </w:rPr>
        <w:t>1</w:t>
      </w:r>
      <w:r>
        <w:rPr/>
        <w:t>）托管情况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4" w:right="7042"/>
        <w:jc w:val="left"/>
      </w:pPr>
      <w:r>
        <w:rPr/>
        <w:t>□ 适用 √</w:t>
      </w:r>
      <w:r>
        <w:rPr>
          <w:spacing w:val="-1"/>
        </w:rPr>
        <w:t> </w:t>
      </w:r>
      <w:r>
        <w:rPr/>
        <w:t>不适用</w:t>
      </w:r>
      <w:r>
        <w:rPr/>
        <w:t> 公司报告期不存在托管情况。</w:t>
      </w:r>
    </w:p>
    <w:p>
      <w:pPr>
        <w:pStyle w:val="Heading4"/>
        <w:spacing w:line="240" w:lineRule="auto" w:before="46"/>
        <w:ind w:left="153" w:right="0"/>
        <w:jc w:val="left"/>
        <w:rPr>
          <w:b w:val="0"/>
          <w:bCs w:val="0"/>
        </w:rPr>
      </w:pPr>
      <w:bookmarkStart w:name="（2）承包情况" w:id="55"/>
      <w:bookmarkEnd w:id="55"/>
      <w:r>
        <w:rPr>
          <w:b w:val="0"/>
          <w:bCs w:val="0"/>
        </w:rPr>
      </w:r>
      <w:r>
        <w:rPr/>
        <w:t>（</w:t>
      </w:r>
      <w:r>
        <w:rPr>
          <w:rFonts w:ascii="宋体" w:hAnsi="宋体" w:cs="宋体" w:eastAsia="宋体" w:hint="default"/>
        </w:rPr>
        <w:t>2</w:t>
      </w:r>
      <w:r>
        <w:rPr/>
        <w:t>）承包情况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4" w:right="7042"/>
        <w:jc w:val="left"/>
      </w:pPr>
      <w:r>
        <w:rPr/>
        <w:t>□ 适用 √</w:t>
      </w:r>
      <w:r>
        <w:rPr>
          <w:spacing w:val="-1"/>
        </w:rPr>
        <w:t> </w:t>
      </w:r>
      <w:r>
        <w:rPr/>
        <w:t>不适用</w:t>
      </w:r>
      <w:r>
        <w:rPr/>
        <w:t> 公司报告期不存在承包情况。</w:t>
      </w:r>
    </w:p>
    <w:p>
      <w:pPr>
        <w:pStyle w:val="Heading4"/>
        <w:spacing w:line="240" w:lineRule="auto" w:before="46"/>
        <w:ind w:right="0"/>
        <w:jc w:val="left"/>
        <w:rPr>
          <w:b w:val="0"/>
          <w:bCs w:val="0"/>
        </w:rPr>
      </w:pPr>
      <w:bookmarkStart w:name="（3）租赁情况" w:id="56"/>
      <w:bookmarkEnd w:id="56"/>
      <w:r>
        <w:rPr>
          <w:b w:val="0"/>
          <w:bCs w:val="0"/>
        </w:rPr>
      </w:r>
      <w:r>
        <w:rPr/>
        <w:t>（</w:t>
      </w:r>
      <w:r>
        <w:rPr>
          <w:rFonts w:ascii="宋体" w:hAnsi="宋体" w:cs="宋体" w:eastAsia="宋体" w:hint="default"/>
        </w:rPr>
        <w:t>3</w:t>
      </w:r>
      <w:r>
        <w:rPr/>
        <w:t>）租赁情况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4" w:right="7042"/>
        <w:jc w:val="left"/>
        <w:rPr>
          <w:rFonts w:ascii="宋体" w:hAnsi="宋体" w:cs="宋体" w:eastAsia="宋体" w:hint="default"/>
        </w:rPr>
      </w:pPr>
      <w:r>
        <w:rPr/>
        <w:t>□ 适用 √</w:t>
      </w:r>
      <w:r>
        <w:rPr>
          <w:spacing w:val="-1"/>
        </w:rPr>
        <w:t> </w:t>
      </w:r>
      <w:r>
        <w:rPr/>
        <w:t>不适用</w:t>
      </w:r>
      <w:r>
        <w:rPr/>
        <w:t> 公司报告期不存在租赁情况。 </w:t>
      </w:r>
      <w:bookmarkStart w:name="2、担保情况" w:id="57"/>
      <w:bookmarkEnd w:id="57"/>
      <w:r>
        <w:rPr/>
      </w:r>
      <w:r>
        <w:rPr>
          <w:rFonts w:ascii="宋体" w:hAnsi="宋体" w:cs="宋体" w:eastAsia="宋体" w:hint="default"/>
          <w:b/>
          <w:bCs/>
        </w:rPr>
        <w:t>2</w:t>
      </w:r>
      <w:r>
        <w:rPr>
          <w:rFonts w:ascii="宋体" w:hAnsi="宋体" w:cs="宋体" w:eastAsia="宋体" w:hint="default"/>
          <w:b/>
          <w:bCs/>
        </w:rPr>
        <w:t>、担保情况</w:t>
      </w:r>
      <w:r>
        <w:rPr>
          <w:rFonts w:ascii="宋体" w:hAnsi="宋体" w:cs="宋体" w:eastAsia="宋体" w:hint="default"/>
        </w:rPr>
      </w:r>
    </w:p>
    <w:p>
      <w:pPr>
        <w:spacing w:line="408" w:lineRule="auto" w:before="46"/>
        <w:ind w:left="154" w:right="587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公司报告期不存在担保情况。 </w:t>
      </w:r>
      <w:bookmarkStart w:name="3、委托理财、衍生品投资和委托贷款情况" w:id="58"/>
      <w:bookmarkEnd w:id="58"/>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pStyle w:val="Heading4"/>
        <w:spacing w:line="240" w:lineRule="auto" w:before="46"/>
        <w:ind w:right="0"/>
        <w:jc w:val="left"/>
        <w:rPr>
          <w:b w:val="0"/>
          <w:bCs w:val="0"/>
        </w:rPr>
      </w:pPr>
      <w:bookmarkStart w:name="（1）委托理财情况" w:id="59"/>
      <w:bookmarkEnd w:id="59"/>
      <w:r>
        <w:rPr>
          <w:b w:val="0"/>
          <w:bCs w:val="0"/>
        </w:rPr>
      </w:r>
      <w:r>
        <w:rPr/>
        <w:t>（</w:t>
      </w:r>
      <w:r>
        <w:rPr>
          <w:rFonts w:ascii="宋体" w:hAnsi="宋体" w:cs="宋体" w:eastAsia="宋体" w:hint="default"/>
        </w:rPr>
        <w:t>1</w:t>
      </w:r>
      <w:r>
        <w:rPr/>
        <w:t>）委托理财情况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4" w:right="7042"/>
        <w:jc w:val="left"/>
      </w:pPr>
      <w:r>
        <w:rPr/>
        <w:t>□ 适用 √</w:t>
      </w:r>
      <w:r>
        <w:rPr>
          <w:spacing w:val="-1"/>
        </w:rPr>
        <w:t> </w:t>
      </w:r>
      <w:r>
        <w:rPr/>
        <w:t>不适用</w:t>
      </w:r>
      <w:r>
        <w:rPr/>
        <w:t> 公司报告期不存在委托理财。</w:t>
      </w:r>
    </w:p>
    <w:p>
      <w:pPr>
        <w:pStyle w:val="Heading4"/>
        <w:spacing w:line="240" w:lineRule="auto" w:before="46"/>
        <w:ind w:right="0"/>
        <w:jc w:val="left"/>
        <w:rPr>
          <w:b w:val="0"/>
          <w:bCs w:val="0"/>
        </w:rPr>
      </w:pPr>
      <w:bookmarkStart w:name="（2）衍生品投资情况" w:id="60"/>
      <w:bookmarkEnd w:id="60"/>
      <w:r>
        <w:rPr>
          <w:b w:val="0"/>
          <w:bCs w:val="0"/>
        </w:rPr>
      </w:r>
      <w:r>
        <w:rPr/>
        <w:t>（</w:t>
      </w:r>
      <w:r>
        <w:rPr>
          <w:rFonts w:ascii="宋体" w:hAnsi="宋体" w:cs="宋体" w:eastAsia="宋体" w:hint="default"/>
        </w:rPr>
        <w:t>2</w:t>
      </w:r>
      <w:r>
        <w:rPr/>
        <w:t>）衍生品投资情况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4" w:right="6832"/>
        <w:jc w:val="left"/>
      </w:pPr>
      <w:r>
        <w:rPr/>
        <w:t>□ 适用 √</w:t>
      </w:r>
      <w:r>
        <w:rPr>
          <w:spacing w:val="-1"/>
        </w:rPr>
        <w:t> </w:t>
      </w:r>
      <w:r>
        <w:rPr/>
        <w:t>不适用</w:t>
      </w:r>
      <w:r>
        <w:rPr/>
        <w:t> 公司报告期不存在衍生品投资。</w:t>
      </w:r>
    </w:p>
    <w:p>
      <w:pPr>
        <w:pStyle w:val="Heading4"/>
        <w:spacing w:line="240" w:lineRule="auto" w:before="46"/>
        <w:ind w:right="0"/>
        <w:jc w:val="left"/>
        <w:rPr>
          <w:b w:val="0"/>
          <w:bCs w:val="0"/>
        </w:rPr>
      </w:pPr>
      <w:bookmarkStart w:name="（3）委托贷款情况" w:id="61"/>
      <w:bookmarkEnd w:id="61"/>
      <w:r>
        <w:rPr>
          <w:b w:val="0"/>
          <w:bCs w:val="0"/>
        </w:rPr>
      </w:r>
      <w:r>
        <w:rPr/>
        <w:t>（</w:t>
      </w:r>
      <w:r>
        <w:rPr>
          <w:rFonts w:ascii="宋体" w:hAnsi="宋体" w:cs="宋体" w:eastAsia="宋体" w:hint="default"/>
        </w:rPr>
        <w:t>3</w:t>
      </w:r>
      <w:r>
        <w:rPr/>
        <w:t>）委托贷款情况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04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公司报告期不存在委托贷款。 </w:t>
      </w:r>
      <w:bookmarkStart w:name="4、其他重大合同" w:id="62"/>
      <w:bookmarkEnd w:id="62"/>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pStyle w:val="BodyText"/>
        <w:spacing w:line="408" w:lineRule="auto"/>
        <w:ind w:left="154" w:right="6622"/>
        <w:jc w:val="left"/>
      </w:pPr>
      <w:r>
        <w:rPr/>
        <w:t>□ 适用 √</w:t>
      </w:r>
      <w:r>
        <w:rPr>
          <w:spacing w:val="-1"/>
        </w:rPr>
        <w:t> </w:t>
      </w:r>
      <w:r>
        <w:rPr/>
        <w:t>不适用</w:t>
      </w:r>
      <w:r>
        <w:rPr/>
        <w:t> 公司报告期不存在其他重大合同。</w:t>
      </w:r>
    </w:p>
    <w:p>
      <w:pPr>
        <w:spacing w:after="0" w:line="408"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r>
        <w:rPr/>
        <w:pict>
          <v:shape style="position:absolute;margin-left:391.059998pt;margin-top:511.959991pt;width:55.25pt;height:256.5pt;mso-position-horizontal-relative:page;mso-position-vertical-relative:page;z-index:-9140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7.299988pt;margin-top:511.959991pt;width:49pt;height:256.5pt;mso-position-horizontal-relative:page;mso-position-vertical-relative:page;z-index:-913984" coordorigin="7946,10239" coordsize="980,5130">
            <v:shape style="position:absolute;left:7946;top:10239;width:980;height:5130" coordorigin="7946,10239" coordsize="980,5130" path="m7946,15368l8926,15368,8926,10239,7946,10239,7946,15368xe" filled="true" fillcolor="#ffffff" stroked="false">
              <v:path arrowok="t"/>
              <v:fill type="solid"/>
            </v:shape>
            <w10:wrap type="none"/>
          </v:group>
        </w:pict>
      </w:r>
    </w:p>
    <w:p>
      <w:pPr>
        <w:pStyle w:val="Heading2"/>
        <w:spacing w:line="240" w:lineRule="auto" w:before="161"/>
        <w:ind w:right="0"/>
        <w:jc w:val="left"/>
        <w:rPr>
          <w:b w:val="0"/>
          <w:bCs w:val="0"/>
        </w:rPr>
      </w:pPr>
      <w:bookmarkStart w:name="八、承诺事项履行情况" w:id="63"/>
      <w:bookmarkEnd w:id="63"/>
      <w:r>
        <w:rPr>
          <w:b w:val="0"/>
          <w:bCs w:val="0"/>
        </w:rPr>
      </w:r>
      <w:r>
        <w:rPr/>
        <w:t>八、承诺事项履行情况</w:t>
      </w:r>
      <w:r>
        <w:rPr>
          <w:b w:val="0"/>
          <w:bCs w:val="0"/>
        </w:rPr>
      </w:r>
    </w:p>
    <w:p>
      <w:pPr>
        <w:pStyle w:val="Heading4"/>
        <w:spacing w:line="240" w:lineRule="auto" w:before="177"/>
        <w:ind w:left="153" w:right="0"/>
        <w:jc w:val="left"/>
        <w:rPr>
          <w:b w:val="0"/>
          <w:bCs w:val="0"/>
        </w:rPr>
      </w:pPr>
      <w:bookmarkStart w:name="1、公司或持股5%以上股东在报告期内发生或以前期间发生但持续到报告期内的承诺事项" w:id="64"/>
      <w:bookmarkEnd w:id="64"/>
      <w:r>
        <w:rPr>
          <w:b w:val="0"/>
          <w:bCs w:val="0"/>
        </w:rPr>
      </w:r>
      <w:r>
        <w:rPr>
          <w:rFonts w:ascii="宋体" w:hAnsi="宋体" w:cs="宋体" w:eastAsia="宋体" w:hint="default"/>
        </w:rPr>
        <w:t>1</w:t>
      </w:r>
      <w:r>
        <w:rPr/>
        <w:t>、公司或持股</w:t>
      </w:r>
      <w:r>
        <w:rPr>
          <w:spacing w:val="-61"/>
        </w:rPr>
        <w:t> </w:t>
      </w:r>
      <w:r>
        <w:rPr>
          <w:rFonts w:ascii="宋体" w:hAnsi="宋体" w:cs="宋体" w:eastAsia="宋体" w:hint="default"/>
        </w:rPr>
        <w:t>5%</w:t>
      </w:r>
      <w:r>
        <w:rPr/>
        <w:t>以上股东在报告期内发生或以前期间发生但持续到报告期内的承诺事项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left"/>
      </w:pPr>
      <w:r>
        <w:rPr/>
        <w:pict>
          <v:group style="position:absolute;margin-left:397.299988pt;margin-top:98.383682pt;width:49pt;height:256.5pt;mso-position-horizontal-relative:page;mso-position-vertical-relative:paragraph;z-index:-914008" coordorigin="7946,1968" coordsize="980,5130">
            <v:shape style="position:absolute;left:7946;top:1968;width:980;height:5130" coordorigin="7946,1968" coordsize="980,5130" path="m7946,7097l8926,7097,8926,1968,7946,1968,7946,7097xe" filled="true" fillcolor="#ffffff" stroked="false">
              <v:path arrowok="t"/>
              <v:fill type="solid"/>
            </v:shape>
            <w10:wrap type="none"/>
          </v:group>
        </w:pict>
      </w:r>
      <w:r>
        <w:rPr/>
        <w:t>√ 适用 □</w:t>
      </w:r>
      <w:r>
        <w:rPr>
          <w:spacing w:val="-1"/>
        </w:rPr>
        <w:t> </w:t>
      </w:r>
      <w:r>
        <w:rPr/>
        <w:t>不适用</w:t>
      </w:r>
    </w:p>
    <w:p>
      <w:pPr>
        <w:spacing w:line="240" w:lineRule="auto" w:before="13"/>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844"/>
        <w:gridCol w:w="1276"/>
        <w:gridCol w:w="3686"/>
        <w:gridCol w:w="994"/>
        <w:gridCol w:w="850"/>
        <w:gridCol w:w="920"/>
      </w:tblGrid>
      <w:tr>
        <w:trPr>
          <w:trHeight w:val="415" w:hRule="exact"/>
        </w:trPr>
        <w:tc>
          <w:tcPr>
            <w:tcW w:w="184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68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nil" w:sz="6" w:space="0" w:color="auto"/>
              <w:left w:val="nil" w:sz="6" w:space="0" w:color="auto"/>
              <w:bottom w:val="single" w:sz="12" w:space="0" w:color="000000"/>
              <w:right w:val="nil" w:sz="6" w:space="0" w:color="auto"/>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7"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6" w:type="dxa"/>
            <w:tcBorders>
              <w:top w:val="single" w:sz="6" w:space="0" w:color="000000"/>
              <w:left w:val="single" w:sz="9" w:space="0" w:color="D2D2D2"/>
              <w:bottom w:val="single" w:sz="6" w:space="0" w:color="000000"/>
              <w:right w:val="single" w:sz="6" w:space="0" w:color="000000"/>
            </w:tcBorders>
          </w:tcPr>
          <w:p>
            <w:pPr/>
          </w:p>
        </w:tc>
        <w:tc>
          <w:tcPr>
            <w:tcW w:w="3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13" w:right="18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276" w:type="dxa"/>
            <w:tcBorders>
              <w:top w:val="single" w:sz="6" w:space="0" w:color="000000"/>
              <w:left w:val="single" w:sz="9" w:space="0" w:color="D2D2D2"/>
              <w:bottom w:val="single" w:sz="6" w:space="0" w:color="000000"/>
              <w:right w:val="single" w:sz="6" w:space="0" w:color="000000"/>
            </w:tcBorders>
          </w:tcPr>
          <w:p>
            <w:pPr/>
          </w:p>
        </w:tc>
        <w:tc>
          <w:tcPr>
            <w:tcW w:w="3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5292" w:hRule="exact"/>
        </w:trPr>
        <w:tc>
          <w:tcPr>
            <w:tcW w:w="1844" w:type="dxa"/>
            <w:tcBorders>
              <w:top w:val="single" w:sz="6" w:space="0" w:color="000000"/>
              <w:left w:val="single" w:sz="12" w:space="0" w:color="000000"/>
              <w:bottom w:val="nil" w:sz="6" w:space="0" w:color="auto"/>
              <w:right w:val="single" w:sz="6" w:space="0" w:color="000000"/>
            </w:tcBorders>
            <w:shd w:val="clear" w:color="auto" w:fill="D2D2D2"/>
          </w:tcPr>
          <w:p>
            <w:pPr/>
          </w:p>
        </w:tc>
        <w:tc>
          <w:tcPr>
            <w:tcW w:w="1276" w:type="dxa"/>
            <w:vMerge w:val="restart"/>
            <w:tcBorders>
              <w:top w:val="single" w:sz="6" w:space="0" w:color="000000"/>
              <w:left w:val="single" w:sz="9"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6" w:right="0"/>
              <w:jc w:val="left"/>
              <w:rPr>
                <w:rFonts w:ascii="宋体" w:hAnsi="宋体" w:cs="宋体" w:eastAsia="宋体" w:hint="default"/>
                <w:sz w:val="18"/>
                <w:szCs w:val="18"/>
              </w:rPr>
            </w:pPr>
            <w:r>
              <w:rPr>
                <w:rFonts w:ascii="宋体" w:hAnsi="宋体" w:cs="宋体" w:eastAsia="宋体" w:hint="default"/>
                <w:spacing w:val="-6"/>
                <w:sz w:val="18"/>
                <w:szCs w:val="18"/>
              </w:rPr>
              <w:t>任昌兆、任晶晶</w:t>
            </w:r>
          </w:p>
        </w:tc>
        <w:tc>
          <w:tcPr>
            <w:tcW w:w="3686" w:type="dxa"/>
            <w:vMerge w:val="restart"/>
            <w:tcBorders>
              <w:top w:val="single" w:sz="6" w:space="0" w:color="000000"/>
              <w:left w:val="single" w:sz="6" w:space="0" w:color="000000"/>
              <w:right w:val="single" w:sz="6" w:space="0" w:color="000000"/>
            </w:tcBorders>
          </w:tcPr>
          <w:p>
            <w:pPr>
              <w:pStyle w:val="TableParagraph"/>
              <w:spacing w:line="316" w:lineRule="auto" w:before="51"/>
              <w:ind w:left="21" w:right="18"/>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）自股份交割之日起 </w:t>
            </w:r>
            <w:r>
              <w:rPr>
                <w:rFonts w:ascii="宋体" w:hAnsi="宋体" w:cs="宋体" w:eastAsia="宋体" w:hint="default"/>
                <w:sz w:val="18"/>
                <w:szCs w:val="18"/>
              </w:rPr>
              <w:t>36</w:t>
            </w:r>
            <w:r>
              <w:rPr>
                <w:rFonts w:ascii="宋体" w:hAnsi="宋体" w:cs="宋体" w:eastAsia="宋体" w:hint="default"/>
                <w:spacing w:val="-62"/>
                <w:sz w:val="18"/>
                <w:szCs w:val="18"/>
              </w:rPr>
              <w:t> </w:t>
            </w:r>
            <w:r>
              <w:rPr>
                <w:rFonts w:ascii="宋体" w:hAnsi="宋体" w:cs="宋体" w:eastAsia="宋体" w:hint="default"/>
                <w:sz w:val="18"/>
                <w:szCs w:val="18"/>
              </w:rPr>
              <w:t>个月内不转让本人 因本次交易所取得的所支付股份。本人今后如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被光一科技选举为董事、监事或者聘任为高级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管理人员，则本人承诺按照关于董事、监事及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高管持股及减持的规定履行持股锁定及减持义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务。（</w:t>
            </w:r>
            <w:r>
              <w:rPr>
                <w:rFonts w:ascii="宋体" w:hAnsi="宋体" w:cs="宋体" w:eastAsia="宋体" w:hint="default"/>
                <w:spacing w:val="-4"/>
                <w:sz w:val="18"/>
                <w:szCs w:val="18"/>
              </w:rPr>
              <w:t>2</w:t>
            </w:r>
            <w:r>
              <w:rPr>
                <w:rFonts w:ascii="宋体" w:hAnsi="宋体" w:cs="宋体" w:eastAsia="宋体" w:hint="default"/>
                <w:spacing w:val="-4"/>
                <w:sz w:val="18"/>
                <w:szCs w:val="18"/>
              </w:rPr>
              <w:t>）为保证本次交易盈利预测补偿承诺的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可实现性，本人进一步承诺，如果在前述</w:t>
            </w:r>
            <w:r>
              <w:rPr>
                <w:rFonts w:ascii="宋体" w:hAnsi="宋体" w:cs="宋体" w:eastAsia="宋体" w:hint="default"/>
                <w:spacing w:val="-42"/>
                <w:sz w:val="18"/>
                <w:szCs w:val="18"/>
              </w:rPr>
              <w:t> </w:t>
            </w:r>
            <w:r>
              <w:rPr>
                <w:rFonts w:ascii="宋体" w:hAnsi="宋体" w:cs="宋体" w:eastAsia="宋体" w:hint="default"/>
                <w:sz w:val="18"/>
                <w:szCs w:val="18"/>
              </w:rPr>
              <w:t>36</w:t>
            </w:r>
            <w:r>
              <w:rPr>
                <w:rFonts w:ascii="宋体" w:hAnsi="宋体" w:cs="宋体" w:eastAsia="宋体" w:hint="default"/>
                <w:spacing w:val="-42"/>
                <w:sz w:val="18"/>
                <w:szCs w:val="18"/>
              </w:rPr>
              <w:t> </w:t>
            </w:r>
            <w:r>
              <w:rPr>
                <w:rFonts w:ascii="宋体" w:hAnsi="宋体" w:cs="宋体" w:eastAsia="宋体" w:hint="default"/>
                <w:sz w:val="18"/>
                <w:szCs w:val="18"/>
              </w:rPr>
              <w:t>个 月锁定期届满后本人按照《发行股份及支付现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金购买资产协议》约定负有股份补偿义务未履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行的，则锁定期自动延期至本人所负股份补偿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义务履行完毕时止。（</w:t>
            </w:r>
            <w:r>
              <w:rPr>
                <w:rFonts w:ascii="宋体" w:hAnsi="宋体" w:cs="宋体" w:eastAsia="宋体" w:hint="default"/>
                <w:spacing w:val="-4"/>
                <w:sz w:val="18"/>
                <w:szCs w:val="18"/>
              </w:rPr>
              <w:t>3</w:t>
            </w:r>
            <w:r>
              <w:rPr>
                <w:rFonts w:ascii="宋体" w:hAnsi="宋体" w:cs="宋体" w:eastAsia="宋体" w:hint="default"/>
                <w:spacing w:val="-4"/>
                <w:sz w:val="18"/>
                <w:szCs w:val="18"/>
              </w:rPr>
              <w:t>）本函第一条所述“因</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本次交易所取得的所支付股份”包括锁定期内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本人依据所支付股份按照光一科技分配股票股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利、资本公积转增股本等原因所取得的股份</w:t>
            </w:r>
          </w:p>
          <w:p>
            <w:pPr>
              <w:pStyle w:val="TableParagraph"/>
              <w:spacing w:line="316" w:lineRule="auto" w:before="19"/>
              <w:ind w:left="21" w:right="17"/>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4</w:t>
            </w:r>
            <w:r>
              <w:rPr>
                <w:rFonts w:ascii="宋体" w:hAnsi="宋体" w:cs="宋体" w:eastAsia="宋体" w:hint="default"/>
                <w:spacing w:val="-3"/>
                <w:sz w:val="18"/>
                <w:szCs w:val="18"/>
              </w:rPr>
              <w:t>）本人特别承诺：自本次交易所获得股份锁</w:t>
            </w:r>
            <w:r>
              <w:rPr>
                <w:rFonts w:ascii="宋体" w:hAnsi="宋体" w:cs="宋体" w:eastAsia="宋体" w:hint="default"/>
                <w:sz w:val="18"/>
                <w:szCs w:val="18"/>
              </w:rPr>
              <w:t> 定期结束至</w:t>
            </w:r>
            <w:r>
              <w:rPr>
                <w:rFonts w:ascii="宋体" w:hAnsi="宋体" w:cs="宋体" w:eastAsia="宋体" w:hint="default"/>
                <w:spacing w:val="-46"/>
                <w:sz w:val="18"/>
                <w:szCs w:val="18"/>
              </w:rPr>
              <w:t> </w:t>
            </w: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pacing w:val="-8"/>
                <w:sz w:val="18"/>
                <w:szCs w:val="18"/>
              </w:rPr>
              <w:t>日，本人每年可减</w:t>
            </w:r>
            <w:r>
              <w:rPr>
                <w:rFonts w:ascii="宋体" w:hAnsi="宋体" w:cs="宋体" w:eastAsia="宋体" w:hint="default"/>
                <w:sz w:val="18"/>
                <w:szCs w:val="18"/>
              </w:rPr>
              <w:t> 持的光一科技股份数量不超过上年末本人持有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光一科技股份总数的</w:t>
            </w:r>
            <w:r>
              <w:rPr>
                <w:rFonts w:ascii="宋体" w:hAnsi="宋体" w:cs="宋体" w:eastAsia="宋体" w:hint="default"/>
                <w:spacing w:val="20"/>
                <w:sz w:val="18"/>
                <w:szCs w:val="18"/>
              </w:rPr>
              <w:t> </w:t>
            </w:r>
            <w:r>
              <w:rPr>
                <w:rFonts w:ascii="宋体" w:hAnsi="宋体" w:cs="宋体" w:eastAsia="宋体" w:hint="default"/>
                <w:sz w:val="18"/>
                <w:szCs w:val="18"/>
              </w:rPr>
              <w:t>25%</w:t>
            </w:r>
            <w:r>
              <w:rPr>
                <w:rFonts w:ascii="宋体" w:hAnsi="宋体" w:cs="宋体" w:eastAsia="宋体" w:hint="default"/>
                <w:sz w:val="18"/>
                <w:szCs w:val="18"/>
              </w:rPr>
              <w:t>；在锁定期内，本人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持有的光一科技股份可用于股份质押融资的总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0"/>
                <w:sz w:val="18"/>
                <w:szCs w:val="18"/>
              </w:rPr>
              <w:t>数不超过本人持有全部光一科技股份数量的</w:t>
            </w:r>
            <w:r>
              <w:rPr>
                <w:rFonts w:ascii="宋体" w:hAnsi="宋体" w:cs="宋体" w:eastAsia="宋体" w:hint="default"/>
                <w:sz w:val="18"/>
                <w:szCs w:val="18"/>
              </w:rPr>
              <w:t> </w:t>
            </w:r>
            <w:r>
              <w:rPr>
                <w:rFonts w:ascii="宋体" w:hAnsi="宋体" w:cs="宋体" w:eastAsia="宋体" w:hint="default"/>
                <w:spacing w:val="-7"/>
                <w:sz w:val="18"/>
                <w:szCs w:val="18"/>
              </w:rPr>
              <w:t>85%</w:t>
            </w:r>
            <w:r>
              <w:rPr>
                <w:rFonts w:ascii="宋体" w:hAnsi="宋体" w:cs="宋体" w:eastAsia="宋体" w:hint="default"/>
                <w:spacing w:val="-7"/>
                <w:sz w:val="18"/>
                <w:szCs w:val="18"/>
              </w:rPr>
              <w:t>。（</w:t>
            </w:r>
            <w:r>
              <w:rPr>
                <w:rFonts w:ascii="宋体" w:hAnsi="宋体" w:cs="宋体" w:eastAsia="宋体" w:hint="default"/>
                <w:spacing w:val="-7"/>
                <w:sz w:val="18"/>
                <w:szCs w:val="18"/>
              </w:rPr>
              <w:t>5</w:t>
            </w:r>
            <w:r>
              <w:rPr>
                <w:rFonts w:ascii="宋体" w:hAnsi="宋体" w:cs="宋体" w:eastAsia="宋体" w:hint="default"/>
                <w:spacing w:val="-7"/>
                <w:sz w:val="18"/>
                <w:szCs w:val="18"/>
              </w:rPr>
              <w:t>）如果中国证监会及或深圳证券交易所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对于上述锁定期安排有不同意见及或要求的，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本人将按照中国证监会及或深圳证券交易所的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8"/>
                <w:sz w:val="18"/>
                <w:szCs w:val="18"/>
              </w:rPr>
              <w:t>意见对上述锁定期安排进行修订并予执行。（</w:t>
            </w:r>
            <w:r>
              <w:rPr>
                <w:rFonts w:ascii="宋体" w:hAnsi="宋体" w:cs="宋体" w:eastAsia="宋体" w:hint="default"/>
                <w:spacing w:val="-8"/>
                <w:sz w:val="18"/>
                <w:szCs w:val="18"/>
              </w:rPr>
              <w:t>6</w:t>
            </w:r>
            <w:r>
              <w:rPr>
                <w:rFonts w:ascii="宋体" w:hAnsi="宋体" w:cs="宋体" w:eastAsia="宋体" w:hint="default"/>
                <w:spacing w:val="-74"/>
                <w:sz w:val="18"/>
                <w:szCs w:val="18"/>
              </w:rPr>
              <w:t> </w:t>
            </w:r>
            <w:r>
              <w:rPr>
                <w:rFonts w:ascii="宋体" w:hAnsi="宋体" w:cs="宋体" w:eastAsia="宋体" w:hint="default"/>
                <w:sz w:val="18"/>
                <w:szCs w:val="18"/>
              </w:rPr>
              <w:t>如本人根据《发行股份及支付现金购买资产协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议》约定负有股份补偿义务，则本人将在《专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8"/>
                <w:sz w:val="18"/>
                <w:szCs w:val="18"/>
              </w:rPr>
              <w:t>项审核报告》及《减值测试报告》（如有）披露</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后十个工作日内向登记结算公司发出将本人应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补偿的股份划转至光一科技董事会设立的专门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账户并对该等用于支付补偿的股份进行锁定的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指令，并明确说明只有光一科技有权做出解除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该等锁定的指令。光一科技应为本人办理《发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行股份及支付现金购买资产协议》约定的补偿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股份划转手续提供协助及便利。（</w:t>
            </w:r>
            <w:r>
              <w:rPr>
                <w:rFonts w:ascii="宋体" w:hAnsi="宋体" w:cs="宋体" w:eastAsia="宋体" w:hint="default"/>
                <w:spacing w:val="-4"/>
                <w:sz w:val="18"/>
                <w:szCs w:val="18"/>
              </w:rPr>
              <w:t>7</w:t>
            </w:r>
            <w:r>
              <w:rPr>
                <w:rFonts w:ascii="宋体" w:hAnsi="宋体" w:cs="宋体" w:eastAsia="宋体" w:hint="default"/>
                <w:spacing w:val="-4"/>
                <w:sz w:val="18"/>
                <w:szCs w:val="18"/>
              </w:rPr>
              <w:t>）本人进一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步承诺，本人因本次交易所取得的所支付股份</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91" w:hRule="exact"/>
        </w:trPr>
        <w:tc>
          <w:tcPr>
            <w:tcW w:w="1844"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vMerge/>
            <w:tcBorders>
              <w:left w:val="single" w:sz="9" w:space="0" w:color="D2D2D2"/>
              <w:right w:val="single" w:sz="6" w:space="0" w:color="000000"/>
            </w:tcBorders>
          </w:tcPr>
          <w:p>
            <w:pPr/>
          </w:p>
        </w:tc>
        <w:tc>
          <w:tcPr>
            <w:tcW w:w="3686"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5300" w:hRule="exact"/>
        </w:trPr>
        <w:tc>
          <w:tcPr>
            <w:tcW w:w="1844" w:type="dxa"/>
            <w:tcBorders>
              <w:top w:val="nil" w:sz="6" w:space="0" w:color="auto"/>
              <w:left w:val="single" w:sz="12" w:space="0" w:color="000000"/>
              <w:bottom w:val="single" w:sz="12" w:space="0" w:color="000000"/>
              <w:right w:val="single" w:sz="6" w:space="0" w:color="000000"/>
            </w:tcBorders>
            <w:shd w:val="clear" w:color="auto" w:fill="D2D2D2"/>
          </w:tcPr>
          <w:p>
            <w:pPr/>
          </w:p>
        </w:tc>
        <w:tc>
          <w:tcPr>
            <w:tcW w:w="1276" w:type="dxa"/>
            <w:vMerge/>
            <w:tcBorders>
              <w:left w:val="single" w:sz="9" w:space="0" w:color="D2D2D2"/>
              <w:bottom w:val="single" w:sz="12" w:space="0" w:color="000000"/>
              <w:right w:val="single" w:sz="6" w:space="0" w:color="000000"/>
            </w:tcBorders>
          </w:tcPr>
          <w:p>
            <w:pPr/>
          </w:p>
        </w:tc>
        <w:tc>
          <w:tcPr>
            <w:tcW w:w="3686" w:type="dxa"/>
            <w:vMerge/>
            <w:tcBorders>
              <w:left w:val="single" w:sz="6" w:space="0" w:color="000000"/>
              <w:bottom w:val="single" w:sz="12" w:space="0" w:color="000000"/>
              <w:right w:val="single" w:sz="6" w:space="0" w:color="000000"/>
            </w:tcBorders>
          </w:tcPr>
          <w:p>
            <w:pPr/>
          </w:p>
        </w:tc>
        <w:tc>
          <w:tcPr>
            <w:tcW w:w="994" w:type="dxa"/>
            <w:vMerge/>
            <w:tcBorders>
              <w:left w:val="single" w:sz="6" w:space="0" w:color="000000"/>
              <w:bottom w:val="single" w:sz="12" w:space="0" w:color="000000"/>
              <w:right w:val="single" w:sz="6" w:space="0" w:color="000000"/>
            </w:tcBorders>
          </w:tcPr>
          <w:p>
            <w:pPr/>
          </w:p>
        </w:tc>
        <w:tc>
          <w:tcPr>
            <w:tcW w:w="850" w:type="dxa"/>
            <w:vMerge/>
            <w:tcBorders>
              <w:left w:val="single" w:sz="6" w:space="0" w:color="000000"/>
              <w:bottom w:val="single" w:sz="12" w:space="0" w:color="000000"/>
              <w:right w:val="single" w:sz="6" w:space="0" w:color="000000"/>
            </w:tcBorders>
          </w:tcPr>
          <w:p>
            <w:pPr/>
          </w:p>
        </w:tc>
        <w:tc>
          <w:tcPr>
            <w:tcW w:w="920" w:type="dxa"/>
            <w:vMerge/>
            <w:tcBorders>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38.040009pt;margin-top:73.499985pt;width:208.25pt;height:64.4pt;mso-position-horizontal-relative:page;mso-position-vertical-relative:page;z-index:-913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xbxContent>
            </v:textbox>
            <w10:wrap type="none"/>
          </v:shape>
        </w:pict>
      </w:r>
      <w:r>
        <w:rPr/>
        <w:pict>
          <v:shape style="position:absolute;margin-left:328.049011pt;margin-top:446.859985pt;width:118.25pt;height:273.05pt;mso-position-horizontal-relative:page;mso-position-vertical-relative:page;z-index:-913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《减值测试报告》</w:t>
                  </w:r>
                </w:p>
              </w:txbxContent>
            </v:textbox>
            <w10:wrap type="none"/>
          </v:shape>
        </w:pict>
      </w:r>
      <w:r>
        <w:rPr/>
        <w:pict>
          <v:group style="position:absolute;margin-left:397.299988pt;margin-top:446.859985pt;width:49pt;height:273.05pt;mso-position-horizontal-relative:page;mso-position-vertical-relative:page;z-index:-913888" coordorigin="7946,8937" coordsize="980,5461">
            <v:shape style="position:absolute;left:7946;top:8937;width:980;height:5461" coordorigin="7946,8937" coordsize="980,5461" path="m7946,14398l8926,14398,8926,8937,7946,8937,7946,14398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276"/>
        <w:gridCol w:w="3686"/>
        <w:gridCol w:w="994"/>
        <w:gridCol w:w="850"/>
        <w:gridCol w:w="920"/>
      </w:tblGrid>
      <w:tr>
        <w:trPr>
          <w:trHeight w:val="327" w:hRule="exact"/>
        </w:trPr>
        <w:tc>
          <w:tcPr>
            <w:tcW w:w="1844" w:type="dxa"/>
            <w:vMerge w:val="restart"/>
            <w:tcBorders>
              <w:top w:val="single" w:sz="12" w:space="0" w:color="000000"/>
              <w:left w:val="single" w:sz="12" w:space="0" w:color="000000"/>
              <w:right w:val="single" w:sz="6" w:space="0" w:color="000000"/>
            </w:tcBorders>
            <w:shd w:val="clear" w:color="auto" w:fill="D2D2D2"/>
          </w:tcPr>
          <w:p>
            <w:pPr/>
          </w:p>
        </w:tc>
        <w:tc>
          <w:tcPr>
            <w:tcW w:w="1276" w:type="dxa"/>
            <w:vMerge w:val="restart"/>
            <w:tcBorders>
              <w:top w:val="single" w:sz="12" w:space="0" w:color="000000"/>
              <w:left w:val="single" w:sz="6" w:space="0" w:color="000000"/>
              <w:right w:val="single" w:sz="6" w:space="0" w:color="000000"/>
            </w:tcBorders>
          </w:tcPr>
          <w:p>
            <w:pPr/>
          </w:p>
        </w:tc>
        <w:tc>
          <w:tcPr>
            <w:tcW w:w="368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在转让时会同时遵守当时有效</w:t>
            </w:r>
            <w:r>
              <w:rPr>
                <w:rFonts w:ascii="宋体" w:hAnsi="宋体" w:cs="宋体" w:eastAsia="宋体" w:hint="default"/>
                <w:spacing w:val="-76"/>
                <w:sz w:val="18"/>
                <w:szCs w:val="18"/>
              </w:rPr>
              <w:t>的</w:t>
            </w: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pacing w:val="-166"/>
                <w:sz w:val="18"/>
                <w:szCs w:val="18"/>
              </w:rPr>
              <w:t>、</w:t>
            </w:r>
            <w:r>
              <w:rPr>
                <w:rFonts w:ascii="宋体" w:hAnsi="宋体" w:cs="宋体" w:eastAsia="宋体" w:hint="default"/>
                <w:sz w:val="18"/>
                <w:szCs w:val="18"/>
              </w:rPr>
              <w:t>《证</w:t>
            </w:r>
          </w:p>
        </w:tc>
        <w:tc>
          <w:tcPr>
            <w:tcW w:w="994" w:type="dxa"/>
            <w:vMerge w:val="restart"/>
            <w:tcBorders>
              <w:top w:val="single" w:sz="12" w:space="0" w:color="000000"/>
              <w:left w:val="single" w:sz="6" w:space="0" w:color="000000"/>
              <w:right w:val="single" w:sz="6" w:space="0" w:color="000000"/>
            </w:tcBorders>
          </w:tcPr>
          <w:p>
            <w:pPr>
              <w:pStyle w:val="TableParagraph"/>
              <w:spacing w:line="128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pict>
                <v:group style="width:49pt;height:64.4pt;mso-position-horizontal-relative:char;mso-position-vertical-relative:line" coordorigin="0,0" coordsize="980,1288">
                  <v:group style="position:absolute;left:0;top:0;width:980;height:1288" coordorigin="0,0" coordsize="980,1288">
                    <v:shape style="position:absolute;left:0;top:0;width:980;height:1288" coordorigin="0,0" coordsize="980,1288" path="m0,1288l980,1288,980,0,0,0,0,1288xe" filled="true" fillcolor="#ffffff" stroked="false">
                      <v:path arrowok="t"/>
                      <v:fill type="solid"/>
                    </v:shape>
                  </v:group>
                </v:group>
              </w:pict>
            </w:r>
            <w:r>
              <w:rPr>
                <w:rFonts w:ascii="Times New Roman" w:hAnsi="Times New Roman" w:cs="Times New Roman" w:eastAsia="Times New Roman" w:hint="default"/>
                <w:position w:val="-25"/>
                <w:sz w:val="20"/>
                <w:szCs w:val="20"/>
              </w:rPr>
            </w:r>
          </w:p>
        </w:tc>
        <w:tc>
          <w:tcPr>
            <w:tcW w:w="850" w:type="dxa"/>
            <w:vMerge w:val="restart"/>
            <w:tcBorders>
              <w:top w:val="single" w:sz="12" w:space="0" w:color="000000"/>
              <w:left w:val="single" w:sz="6" w:space="0" w:color="000000"/>
              <w:right w:val="single" w:sz="6" w:space="0" w:color="000000"/>
            </w:tcBorders>
          </w:tcPr>
          <w:p>
            <w:pPr/>
          </w:p>
        </w:tc>
        <w:tc>
          <w:tcPr>
            <w:tcW w:w="920" w:type="dxa"/>
            <w:vMerge w:val="restart"/>
            <w:tcBorders>
              <w:top w:val="single" w:sz="12" w:space="0" w:color="000000"/>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券法</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3"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等法律、法规、规章和规范性文件以及光一科</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58"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tcPr>
          <w:p>
            <w:pPr/>
          </w:p>
        </w:tc>
        <w:tc>
          <w:tcPr>
            <w:tcW w:w="368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技《公司章程》的相关规定。</w:t>
            </w:r>
          </w:p>
        </w:tc>
        <w:tc>
          <w:tcPr>
            <w:tcW w:w="994"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20" w:type="dxa"/>
            <w:vMerge/>
            <w:tcBorders>
              <w:left w:val="single" w:sz="6" w:space="0" w:color="000000"/>
              <w:bottom w:val="single" w:sz="6" w:space="0" w:color="000000"/>
              <w:right w:val="single" w:sz="12" w:space="0" w:color="000000"/>
            </w:tcBorders>
          </w:tcPr>
          <w:p>
            <w:pPr/>
          </w:p>
        </w:tc>
      </w:tr>
      <w:tr>
        <w:trPr>
          <w:trHeight w:val="361" w:hRule="exact"/>
        </w:trPr>
        <w:tc>
          <w:tcPr>
            <w:tcW w:w="1844"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36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）自股份交割之日起 </w:t>
            </w:r>
            <w:r>
              <w:rPr>
                <w:rFonts w:ascii="宋体" w:hAnsi="宋体" w:cs="宋体" w:eastAsia="宋体" w:hint="default"/>
                <w:sz w:val="18"/>
                <w:szCs w:val="18"/>
              </w:rPr>
              <w:t>36</w:t>
            </w:r>
            <w:r>
              <w:rPr>
                <w:rFonts w:ascii="宋体" w:hAnsi="宋体" w:cs="宋体" w:eastAsia="宋体" w:hint="default"/>
                <w:spacing w:val="-62"/>
                <w:sz w:val="18"/>
                <w:szCs w:val="18"/>
              </w:rPr>
              <w:t> </w:t>
            </w:r>
            <w:r>
              <w:rPr>
                <w:rFonts w:ascii="宋体" w:hAnsi="宋体" w:cs="宋体" w:eastAsia="宋体" w:hint="default"/>
                <w:sz w:val="18"/>
                <w:szCs w:val="18"/>
              </w:rPr>
              <w:t>个月内不转让本公</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司因本次交</w:t>
            </w:r>
            <w:r>
              <w:rPr>
                <w:rFonts w:ascii="宋体" w:hAnsi="宋体" w:cs="宋体" w:eastAsia="宋体" w:hint="default"/>
                <w:spacing w:val="2"/>
                <w:sz w:val="18"/>
                <w:szCs w:val="18"/>
              </w:rPr>
              <w:t>易</w:t>
            </w:r>
            <w:r>
              <w:rPr>
                <w:rFonts w:ascii="宋体" w:hAnsi="宋体" w:cs="宋体" w:eastAsia="宋体" w:hint="default"/>
                <w:spacing w:val="1"/>
                <w:sz w:val="18"/>
                <w:szCs w:val="18"/>
              </w:rPr>
              <w:t>所取得的所</w:t>
            </w:r>
            <w:r>
              <w:rPr>
                <w:rFonts w:ascii="宋体" w:hAnsi="宋体" w:cs="宋体" w:eastAsia="宋体" w:hint="default"/>
                <w:spacing w:val="2"/>
                <w:sz w:val="18"/>
                <w:szCs w:val="18"/>
              </w:rPr>
              <w:t>支</w:t>
            </w:r>
            <w:r>
              <w:rPr>
                <w:rFonts w:ascii="宋体" w:hAnsi="宋体" w:cs="宋体" w:eastAsia="宋体" w:hint="default"/>
                <w:spacing w:val="1"/>
                <w:sz w:val="18"/>
                <w:szCs w:val="18"/>
              </w:rPr>
              <w:t>付股份</w:t>
            </w:r>
            <w:r>
              <w:rPr>
                <w:rFonts w:ascii="宋体" w:hAnsi="宋体" w:cs="宋体" w:eastAsia="宋体" w:hint="default"/>
                <w:spacing w:val="-89"/>
                <w:sz w:val="18"/>
                <w:szCs w:val="18"/>
              </w:rPr>
              <w:t>。</w:t>
            </w:r>
            <w:r>
              <w:rPr>
                <w:rFonts w:ascii="宋体" w:hAnsi="宋体" w:cs="宋体" w:eastAsia="宋体" w:hint="default"/>
                <w:spacing w:val="3"/>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为</w:t>
            </w:r>
            <w:r>
              <w:rPr>
                <w:rFonts w:ascii="宋体" w:hAnsi="宋体" w:cs="宋体" w:eastAsia="宋体" w:hint="default"/>
                <w:sz w:val="18"/>
                <w:szCs w:val="18"/>
              </w:rPr>
              <w:t>保</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证本次交易盈利预测补偿承诺的可实现性，本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5"/>
                <w:sz w:val="18"/>
                <w:szCs w:val="18"/>
              </w:rPr>
              <w:t>公司进一步承诺，如果在前述</w:t>
            </w:r>
            <w:r>
              <w:rPr>
                <w:rFonts w:ascii="宋体" w:hAnsi="宋体" w:cs="宋体" w:eastAsia="宋体" w:hint="default"/>
                <w:spacing w:val="-44"/>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个月锁定期届</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满后本公司按照《发行股份及支付现金购买资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产协议》约定负有股份补偿义务未履行的，则</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锁定期自动延期至本公司所负股份补偿义务履</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行完毕时止</w:t>
            </w:r>
            <w:r>
              <w:rPr>
                <w:rFonts w:ascii="宋体" w:hAnsi="宋体" w:cs="宋体" w:eastAsia="宋体" w:hint="default"/>
                <w:spacing w:val="-89"/>
                <w:sz w:val="18"/>
                <w:szCs w:val="18"/>
              </w:rPr>
              <w:t>。</w:t>
            </w:r>
            <w:r>
              <w:rPr>
                <w:rFonts w:ascii="宋体" w:hAnsi="宋体" w:cs="宋体" w:eastAsia="宋体" w:hint="default"/>
                <w:spacing w:val="3"/>
                <w:sz w:val="18"/>
                <w:szCs w:val="18"/>
              </w:rPr>
              <w:t>（</w:t>
            </w:r>
            <w:r>
              <w:rPr>
                <w:rFonts w:ascii="宋体" w:hAnsi="宋体" w:cs="宋体" w:eastAsia="宋体" w:hint="default"/>
                <w:spacing w:val="1"/>
                <w:sz w:val="18"/>
                <w:szCs w:val="18"/>
              </w:rPr>
              <w:t>3</w:t>
            </w:r>
            <w:r>
              <w:rPr>
                <w:rFonts w:ascii="宋体" w:hAnsi="宋体" w:cs="宋体" w:eastAsia="宋体" w:hint="default"/>
                <w:spacing w:val="1"/>
                <w:sz w:val="18"/>
                <w:szCs w:val="18"/>
              </w:rPr>
              <w:t>）本函第一</w:t>
            </w:r>
            <w:r>
              <w:rPr>
                <w:rFonts w:ascii="宋体" w:hAnsi="宋体" w:cs="宋体" w:eastAsia="宋体" w:hint="default"/>
                <w:spacing w:val="2"/>
                <w:sz w:val="18"/>
                <w:szCs w:val="18"/>
              </w:rPr>
              <w:t>条</w:t>
            </w:r>
            <w:r>
              <w:rPr>
                <w:rFonts w:ascii="宋体" w:hAnsi="宋体" w:cs="宋体" w:eastAsia="宋体" w:hint="default"/>
                <w:spacing w:val="1"/>
                <w:sz w:val="18"/>
                <w:szCs w:val="18"/>
              </w:rPr>
              <w:t>所</w:t>
            </w:r>
            <w:r>
              <w:rPr>
                <w:rFonts w:ascii="宋体" w:hAnsi="宋体" w:cs="宋体" w:eastAsia="宋体" w:hint="default"/>
                <w:spacing w:val="2"/>
                <w:sz w:val="18"/>
                <w:szCs w:val="18"/>
              </w:rPr>
              <w:t>述</w:t>
            </w:r>
            <w:r>
              <w:rPr>
                <w:rFonts w:ascii="宋体" w:hAnsi="宋体" w:cs="宋体" w:eastAsia="宋体" w:hint="default"/>
                <w:spacing w:val="1"/>
                <w:sz w:val="18"/>
                <w:szCs w:val="18"/>
              </w:rPr>
              <w:t>“因本</w:t>
            </w:r>
            <w:r>
              <w:rPr>
                <w:rFonts w:ascii="宋体" w:hAnsi="宋体" w:cs="宋体" w:eastAsia="宋体" w:hint="default"/>
                <w:spacing w:val="2"/>
                <w:sz w:val="18"/>
                <w:szCs w:val="18"/>
              </w:rPr>
              <w:t>次</w:t>
            </w:r>
            <w:r>
              <w:rPr>
                <w:rFonts w:ascii="宋体" w:hAnsi="宋体" w:cs="宋体" w:eastAsia="宋体" w:hint="default"/>
                <w:sz w:val="18"/>
                <w:szCs w:val="18"/>
              </w:rPr>
              <w:t>交</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易所取得的所支付股份”包括锁定期内本公司</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依据所支付股份按照光一科技分配股票股利、</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资本公积转</w:t>
            </w:r>
            <w:r>
              <w:rPr>
                <w:rFonts w:ascii="宋体" w:hAnsi="宋体" w:cs="宋体" w:eastAsia="宋体" w:hint="default"/>
                <w:spacing w:val="2"/>
                <w:sz w:val="18"/>
                <w:szCs w:val="18"/>
              </w:rPr>
              <w:t>增</w:t>
            </w:r>
            <w:r>
              <w:rPr>
                <w:rFonts w:ascii="宋体" w:hAnsi="宋体" w:cs="宋体" w:eastAsia="宋体" w:hint="default"/>
                <w:spacing w:val="1"/>
                <w:sz w:val="18"/>
                <w:szCs w:val="18"/>
              </w:rPr>
              <w:t>股本等原因</w:t>
            </w:r>
            <w:r>
              <w:rPr>
                <w:rFonts w:ascii="宋体" w:hAnsi="宋体" w:cs="宋体" w:eastAsia="宋体" w:hint="default"/>
                <w:spacing w:val="2"/>
                <w:sz w:val="18"/>
                <w:szCs w:val="18"/>
              </w:rPr>
              <w:t>所</w:t>
            </w:r>
            <w:r>
              <w:rPr>
                <w:rFonts w:ascii="宋体" w:hAnsi="宋体" w:cs="宋体" w:eastAsia="宋体" w:hint="default"/>
                <w:spacing w:val="1"/>
                <w:sz w:val="18"/>
                <w:szCs w:val="18"/>
              </w:rPr>
              <w:t>取得的股份</w:t>
            </w:r>
            <w:r>
              <w:rPr>
                <w:rFonts w:ascii="宋体" w:hAnsi="宋体" w:cs="宋体" w:eastAsia="宋体" w:hint="default"/>
                <w:spacing w:val="-89"/>
                <w:sz w:val="18"/>
                <w:szCs w:val="18"/>
              </w:rPr>
              <w:t>。</w:t>
            </w:r>
            <w:r>
              <w:rPr>
                <w:rFonts w:ascii="宋体" w:hAnsi="宋体" w:cs="宋体" w:eastAsia="宋体" w:hint="default"/>
                <w:spacing w:val="5"/>
                <w:sz w:val="18"/>
                <w:szCs w:val="18"/>
              </w:rPr>
              <w:t>（</w:t>
            </w:r>
            <w:r>
              <w:rPr>
                <w:rFonts w:ascii="宋体" w:hAnsi="宋体" w:cs="宋体" w:eastAsia="宋体" w:hint="default"/>
                <w:spacing w:val="1"/>
                <w:sz w:val="18"/>
                <w:szCs w:val="18"/>
              </w:rPr>
              <w:t>4</w:t>
            </w:r>
            <w:r>
              <w:rPr>
                <w:rFonts w:ascii="宋体" w:hAnsi="宋体" w:cs="宋体" w:eastAsia="宋体" w:hint="default"/>
                <w:sz w:val="18"/>
                <w:szCs w:val="18"/>
              </w:rPr>
              <w:t>）</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本公司特别承诺：自本次交易所获得股份锁定</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期结束至</w:t>
            </w:r>
            <w:r>
              <w:rPr>
                <w:rFonts w:ascii="宋体" w:hAnsi="宋体" w:cs="宋体" w:eastAsia="宋体" w:hint="default"/>
                <w:spacing w:val="-46"/>
                <w:sz w:val="18"/>
                <w:szCs w:val="18"/>
              </w:rPr>
              <w:t> </w:t>
            </w: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pacing w:val="-7"/>
                <w:sz w:val="18"/>
                <w:szCs w:val="18"/>
              </w:rPr>
              <w:t>日，本公司每年可减</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持的光一科技股份数量不超过上年末本人持有</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光一科技股份总数的</w:t>
            </w:r>
            <w:r>
              <w:rPr>
                <w:rFonts w:ascii="宋体" w:hAnsi="宋体" w:cs="宋体" w:eastAsia="宋体" w:hint="default"/>
                <w:spacing w:val="24"/>
                <w:sz w:val="18"/>
                <w:szCs w:val="18"/>
              </w:rPr>
              <w:t> </w:t>
            </w:r>
            <w:r>
              <w:rPr>
                <w:rFonts w:ascii="宋体" w:hAnsi="宋体" w:cs="宋体" w:eastAsia="宋体" w:hint="default"/>
                <w:sz w:val="18"/>
                <w:szCs w:val="18"/>
              </w:rPr>
              <w:t>25%</w:t>
            </w:r>
            <w:r>
              <w:rPr>
                <w:rFonts w:ascii="宋体" w:hAnsi="宋体" w:cs="宋体" w:eastAsia="宋体" w:hint="default"/>
                <w:sz w:val="18"/>
                <w:szCs w:val="18"/>
              </w:rPr>
              <w:t>；在锁定期内，本公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司持有的光一科技股份可用于股份质押融资的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总数不超过本公司持有全部光一科技股份数量</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936"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0" w:right="158"/>
              <w:jc w:val="left"/>
              <w:rPr>
                <w:rFonts w:ascii="宋体" w:hAnsi="宋体" w:cs="宋体" w:eastAsia="宋体" w:hint="default"/>
                <w:sz w:val="18"/>
                <w:szCs w:val="18"/>
              </w:rPr>
            </w:pPr>
            <w:r>
              <w:rPr>
                <w:rFonts w:ascii="宋体" w:hAnsi="宋体" w:cs="宋体" w:eastAsia="宋体" w:hint="default"/>
                <w:sz w:val="18"/>
                <w:szCs w:val="18"/>
              </w:rPr>
              <w:t>湖北乾瀚投资 有限公司</w:t>
            </w: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319" w:lineRule="auto" w:before="10"/>
              <w:ind w:left="21" w:right="19"/>
              <w:jc w:val="both"/>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15"/>
                <w:sz w:val="18"/>
                <w:szCs w:val="18"/>
              </w:rPr>
              <w:t> </w:t>
            </w:r>
            <w:r>
              <w:rPr>
                <w:rFonts w:ascii="宋体" w:hAnsi="宋体" w:cs="宋体" w:eastAsia="宋体" w:hint="default"/>
                <w:spacing w:val="-4"/>
                <w:sz w:val="18"/>
                <w:szCs w:val="18"/>
              </w:rPr>
              <w:t>85%</w:t>
            </w:r>
            <w:r>
              <w:rPr>
                <w:rFonts w:ascii="宋体" w:hAnsi="宋体" w:cs="宋体" w:eastAsia="宋体" w:hint="default"/>
                <w:spacing w:val="-4"/>
                <w:sz w:val="18"/>
                <w:szCs w:val="18"/>
              </w:rPr>
              <w:t>。（</w:t>
            </w:r>
            <w:r>
              <w:rPr>
                <w:rFonts w:ascii="宋体" w:hAnsi="宋体" w:cs="宋体" w:eastAsia="宋体" w:hint="default"/>
                <w:spacing w:val="-4"/>
                <w:sz w:val="18"/>
                <w:szCs w:val="18"/>
              </w:rPr>
              <w:t>5</w:t>
            </w:r>
            <w:r>
              <w:rPr>
                <w:rFonts w:ascii="宋体" w:hAnsi="宋体" w:cs="宋体" w:eastAsia="宋体" w:hint="default"/>
                <w:spacing w:val="-4"/>
                <w:sz w:val="18"/>
                <w:szCs w:val="18"/>
              </w:rPr>
              <w:t>）如果中国证监会及或深圳证券交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易所对于上述锁定期安排有不同意见及或要求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的，本公司将按照中国证监会及或深圳证券交</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易所的意见对上述锁定期安排进行修订并予执</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行</w:t>
            </w:r>
            <w:r>
              <w:rPr>
                <w:rFonts w:ascii="宋体" w:hAnsi="宋体" w:cs="宋体" w:eastAsia="宋体" w:hint="default"/>
                <w:spacing w:val="-89"/>
                <w:sz w:val="18"/>
                <w:szCs w:val="18"/>
              </w:rPr>
              <w:t>。</w:t>
            </w:r>
            <w:r>
              <w:rPr>
                <w:rFonts w:ascii="宋体" w:hAnsi="宋体" w:cs="宋体" w:eastAsia="宋体" w:hint="default"/>
                <w:spacing w:val="1"/>
                <w:sz w:val="18"/>
                <w:szCs w:val="18"/>
              </w:rPr>
              <w:t>（</w:t>
            </w:r>
            <w:r>
              <w:rPr>
                <w:rFonts w:ascii="宋体" w:hAnsi="宋体" w:cs="宋体" w:eastAsia="宋体" w:hint="default"/>
                <w:spacing w:val="1"/>
                <w:sz w:val="18"/>
                <w:szCs w:val="18"/>
              </w:rPr>
              <w:t>6</w:t>
            </w:r>
            <w:r>
              <w:rPr>
                <w:rFonts w:ascii="宋体" w:hAnsi="宋体" w:cs="宋体" w:eastAsia="宋体" w:hint="default"/>
                <w:spacing w:val="1"/>
                <w:sz w:val="18"/>
                <w:szCs w:val="18"/>
              </w:rPr>
              <w:t>）如</w:t>
            </w:r>
            <w:r>
              <w:rPr>
                <w:rFonts w:ascii="宋体" w:hAnsi="宋体" w:cs="宋体" w:eastAsia="宋体" w:hint="default"/>
                <w:spacing w:val="2"/>
                <w:sz w:val="18"/>
                <w:szCs w:val="18"/>
              </w:rPr>
              <w:t>本</w:t>
            </w:r>
            <w:r>
              <w:rPr>
                <w:rFonts w:ascii="宋体" w:hAnsi="宋体" w:cs="宋体" w:eastAsia="宋体" w:hint="default"/>
                <w:spacing w:val="1"/>
                <w:sz w:val="18"/>
                <w:szCs w:val="18"/>
              </w:rPr>
              <w:t>公司根据《</w:t>
            </w:r>
            <w:r>
              <w:rPr>
                <w:rFonts w:ascii="宋体" w:hAnsi="宋体" w:cs="宋体" w:eastAsia="宋体" w:hint="default"/>
                <w:spacing w:val="2"/>
                <w:sz w:val="18"/>
                <w:szCs w:val="18"/>
              </w:rPr>
              <w:t>发</w:t>
            </w:r>
            <w:r>
              <w:rPr>
                <w:rFonts w:ascii="宋体" w:hAnsi="宋体" w:cs="宋体" w:eastAsia="宋体" w:hint="default"/>
                <w:spacing w:val="1"/>
                <w:sz w:val="18"/>
                <w:szCs w:val="18"/>
              </w:rPr>
              <w:t>行股份及支</w:t>
            </w:r>
            <w:r>
              <w:rPr>
                <w:rFonts w:ascii="宋体" w:hAnsi="宋体" w:cs="宋体" w:eastAsia="宋体" w:hint="default"/>
                <w:spacing w:val="2"/>
                <w:sz w:val="18"/>
                <w:szCs w:val="18"/>
              </w:rPr>
              <w:t>付</w:t>
            </w:r>
            <w:r>
              <w:rPr>
                <w:rFonts w:ascii="宋体" w:hAnsi="宋体" w:cs="宋体" w:eastAsia="宋体" w:hint="default"/>
                <w:spacing w:val="1"/>
                <w:sz w:val="18"/>
                <w:szCs w:val="18"/>
              </w:rPr>
              <w:t>现</w:t>
            </w:r>
            <w:r>
              <w:rPr>
                <w:rFonts w:ascii="宋体" w:hAnsi="宋体" w:cs="宋体" w:eastAsia="宋体" w:hint="default"/>
                <w:sz w:val="18"/>
                <w:szCs w:val="18"/>
              </w:rPr>
              <w:t>金</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购买资产协议》约定负有股份补偿义务，则本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4"/>
                <w:sz w:val="18"/>
                <w:szCs w:val="18"/>
              </w:rPr>
              <w:t>公司将在《专项审核报告》及</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（如有）披露后十个工作日内向登记结算公司</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发出将本公司应补偿的股份划转至光一科技董</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事会设立的专门账户并对该等用于支付补偿的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股份进行锁定的指令，并明确说明只有光一科</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技有权做出解除该等锁定的指令。光一科技应</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为本公司办理《发行股份及支付现金购买资产</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协议》约定的补偿股份划转手续提供协助及便</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利</w:t>
            </w:r>
            <w:r>
              <w:rPr>
                <w:rFonts w:ascii="宋体" w:hAnsi="宋体" w:cs="宋体" w:eastAsia="宋体" w:hint="default"/>
                <w:spacing w:val="-89"/>
                <w:sz w:val="18"/>
                <w:szCs w:val="18"/>
              </w:rPr>
              <w:t>。</w:t>
            </w:r>
            <w:r>
              <w:rPr>
                <w:rFonts w:ascii="宋体" w:hAnsi="宋体" w:cs="宋体" w:eastAsia="宋体" w:hint="default"/>
                <w:spacing w:val="1"/>
                <w:sz w:val="18"/>
                <w:szCs w:val="18"/>
              </w:rPr>
              <w:t>（</w:t>
            </w:r>
            <w:r>
              <w:rPr>
                <w:rFonts w:ascii="宋体" w:hAnsi="宋体" w:cs="宋体" w:eastAsia="宋体" w:hint="default"/>
                <w:spacing w:val="1"/>
                <w:sz w:val="18"/>
                <w:szCs w:val="18"/>
              </w:rPr>
              <w:t>7</w:t>
            </w:r>
            <w:r>
              <w:rPr>
                <w:rFonts w:ascii="宋体" w:hAnsi="宋体" w:cs="宋体" w:eastAsia="宋体" w:hint="default"/>
                <w:spacing w:val="1"/>
                <w:sz w:val="18"/>
                <w:szCs w:val="18"/>
              </w:rPr>
              <w:t>）本</w:t>
            </w:r>
            <w:r>
              <w:rPr>
                <w:rFonts w:ascii="宋体" w:hAnsi="宋体" w:cs="宋体" w:eastAsia="宋体" w:hint="default"/>
                <w:spacing w:val="2"/>
                <w:sz w:val="18"/>
                <w:szCs w:val="18"/>
              </w:rPr>
              <w:t>公</w:t>
            </w:r>
            <w:r>
              <w:rPr>
                <w:rFonts w:ascii="宋体" w:hAnsi="宋体" w:cs="宋体" w:eastAsia="宋体" w:hint="default"/>
                <w:spacing w:val="1"/>
                <w:sz w:val="18"/>
                <w:szCs w:val="18"/>
              </w:rPr>
              <w:t>司进一步承</w:t>
            </w:r>
            <w:r>
              <w:rPr>
                <w:rFonts w:ascii="宋体" w:hAnsi="宋体" w:cs="宋体" w:eastAsia="宋体" w:hint="default"/>
                <w:spacing w:val="2"/>
                <w:sz w:val="18"/>
                <w:szCs w:val="18"/>
              </w:rPr>
              <w:t>诺</w:t>
            </w:r>
            <w:r>
              <w:rPr>
                <w:rFonts w:ascii="宋体" w:hAnsi="宋体" w:cs="宋体" w:eastAsia="宋体" w:hint="default"/>
                <w:spacing w:val="1"/>
                <w:sz w:val="18"/>
                <w:szCs w:val="18"/>
              </w:rPr>
              <w:t>，本公司因</w:t>
            </w:r>
            <w:r>
              <w:rPr>
                <w:rFonts w:ascii="宋体" w:hAnsi="宋体" w:cs="宋体" w:eastAsia="宋体" w:hint="default"/>
                <w:spacing w:val="2"/>
                <w:sz w:val="18"/>
                <w:szCs w:val="18"/>
              </w:rPr>
              <w:t>本</w:t>
            </w:r>
            <w:r>
              <w:rPr>
                <w:rFonts w:ascii="宋体" w:hAnsi="宋体" w:cs="宋体" w:eastAsia="宋体" w:hint="default"/>
                <w:spacing w:val="1"/>
                <w:sz w:val="18"/>
                <w:szCs w:val="18"/>
              </w:rPr>
              <w:t>次</w:t>
            </w:r>
            <w:r>
              <w:rPr>
                <w:rFonts w:ascii="宋体" w:hAnsi="宋体" w:cs="宋体" w:eastAsia="宋体" w:hint="default"/>
                <w:sz w:val="18"/>
                <w:szCs w:val="18"/>
              </w:rPr>
              <w:t>交</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易所取得的所支付股份在转让时会同时遵守当</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时有效的《</w:t>
            </w:r>
            <w:r>
              <w:rPr>
                <w:rFonts w:ascii="宋体" w:hAnsi="宋体" w:cs="宋体" w:eastAsia="宋体" w:hint="default"/>
                <w:spacing w:val="2"/>
                <w:sz w:val="18"/>
                <w:szCs w:val="18"/>
              </w:rPr>
              <w:t>公</w:t>
            </w:r>
            <w:r>
              <w:rPr>
                <w:rFonts w:ascii="宋体" w:hAnsi="宋体" w:cs="宋体" w:eastAsia="宋体" w:hint="default"/>
                <w:spacing w:val="1"/>
                <w:sz w:val="18"/>
                <w:szCs w:val="18"/>
              </w:rPr>
              <w:t>司法</w:t>
            </w:r>
            <w:r>
              <w:rPr>
                <w:rFonts w:ascii="宋体" w:hAnsi="宋体" w:cs="宋体" w:eastAsia="宋体" w:hint="default"/>
                <w:spacing w:val="-89"/>
                <w:sz w:val="18"/>
                <w:szCs w:val="18"/>
              </w:rPr>
              <w:t>》、</w:t>
            </w:r>
            <w:r>
              <w:rPr>
                <w:rFonts w:ascii="宋体" w:hAnsi="宋体" w:cs="宋体" w:eastAsia="宋体" w:hint="default"/>
                <w:spacing w:val="1"/>
                <w:sz w:val="18"/>
                <w:szCs w:val="18"/>
              </w:rPr>
              <w:t>《证</w:t>
            </w:r>
            <w:r>
              <w:rPr>
                <w:rFonts w:ascii="宋体" w:hAnsi="宋体" w:cs="宋体" w:eastAsia="宋体" w:hint="default"/>
                <w:spacing w:val="2"/>
                <w:sz w:val="18"/>
                <w:szCs w:val="18"/>
              </w:rPr>
              <w:t>券</w:t>
            </w:r>
            <w:r>
              <w:rPr>
                <w:rFonts w:ascii="宋体" w:hAnsi="宋体" w:cs="宋体" w:eastAsia="宋体" w:hint="default"/>
                <w:spacing w:val="1"/>
                <w:sz w:val="18"/>
                <w:szCs w:val="18"/>
              </w:rPr>
              <w:t>法</w:t>
            </w:r>
            <w:r>
              <w:rPr>
                <w:rFonts w:ascii="宋体" w:hAnsi="宋体" w:cs="宋体" w:eastAsia="宋体" w:hint="default"/>
                <w:spacing w:val="-89"/>
                <w:sz w:val="18"/>
                <w:szCs w:val="18"/>
              </w:rPr>
              <w:t>》、</w:t>
            </w:r>
            <w:r>
              <w:rPr>
                <w:rFonts w:ascii="宋体" w:hAnsi="宋体" w:cs="宋体" w:eastAsia="宋体" w:hint="default"/>
                <w:spacing w:val="1"/>
                <w:sz w:val="18"/>
                <w:szCs w:val="18"/>
              </w:rPr>
              <w:t>《深圳</w:t>
            </w:r>
            <w:r>
              <w:rPr>
                <w:rFonts w:ascii="宋体" w:hAnsi="宋体" w:cs="宋体" w:eastAsia="宋体" w:hint="default"/>
                <w:spacing w:val="2"/>
                <w:sz w:val="18"/>
                <w:szCs w:val="18"/>
              </w:rPr>
              <w:t>证</w:t>
            </w:r>
            <w:r>
              <w:rPr>
                <w:rFonts w:ascii="宋体" w:hAnsi="宋体" w:cs="宋体" w:eastAsia="宋体" w:hint="default"/>
                <w:spacing w:val="1"/>
                <w:sz w:val="18"/>
                <w:szCs w:val="18"/>
              </w:rPr>
              <w:t>券</w:t>
            </w:r>
            <w:r>
              <w:rPr>
                <w:rFonts w:ascii="宋体" w:hAnsi="宋体" w:cs="宋体" w:eastAsia="宋体" w:hint="default"/>
                <w:sz w:val="18"/>
                <w:szCs w:val="18"/>
              </w:rPr>
              <w:t>交</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易所创业板股票上市规则》等法律、法规、规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章和规范性文件以及光一科技《公司章程》的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58"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368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相关规定。</w:t>
            </w:r>
          </w:p>
        </w:tc>
        <w:tc>
          <w:tcPr>
            <w:tcW w:w="994" w:type="dxa"/>
            <w:tcBorders>
              <w:top w:val="nil" w:sz="6" w:space="0" w:color="auto"/>
              <w:left w:val="single" w:sz="6" w:space="0" w:color="000000"/>
              <w:bottom w:val="single" w:sz="6" w:space="0" w:color="000000"/>
              <w:right w:val="single" w:sz="6" w:space="0" w:color="000000"/>
            </w:tcBorders>
          </w:tcPr>
          <w:p>
            <w:pPr/>
          </w:p>
        </w:tc>
        <w:tc>
          <w:tcPr>
            <w:tcW w:w="850" w:type="dxa"/>
            <w:tcBorders>
              <w:top w:val="nil" w:sz="6" w:space="0" w:color="auto"/>
              <w:left w:val="single" w:sz="6" w:space="0" w:color="000000"/>
              <w:bottom w:val="single" w:sz="6" w:space="0" w:color="000000"/>
              <w:right w:val="single" w:sz="6" w:space="0" w:color="000000"/>
            </w:tcBorders>
          </w:tcPr>
          <w:p>
            <w:pPr/>
          </w:p>
        </w:tc>
        <w:tc>
          <w:tcPr>
            <w:tcW w:w="920" w:type="dxa"/>
            <w:tcBorders>
              <w:top w:val="nil" w:sz="6" w:space="0" w:color="auto"/>
              <w:left w:val="single" w:sz="6" w:space="0" w:color="000000"/>
              <w:bottom w:val="single" w:sz="6" w:space="0" w:color="000000"/>
              <w:right w:val="single" w:sz="12" w:space="0" w:color="000000"/>
            </w:tcBorders>
          </w:tcPr>
          <w:p>
            <w:pPr/>
          </w:p>
        </w:tc>
      </w:tr>
      <w:tr>
        <w:trPr>
          <w:trHeight w:val="728" w:hRule="exact"/>
        </w:trPr>
        <w:tc>
          <w:tcPr>
            <w:tcW w:w="1844"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73"/>
              <w:ind w:left="20" w:right="19"/>
              <w:jc w:val="left"/>
              <w:rPr>
                <w:rFonts w:ascii="宋体" w:hAnsi="宋体" w:cs="宋体" w:eastAsia="宋体" w:hint="default"/>
                <w:sz w:val="18"/>
                <w:szCs w:val="18"/>
              </w:rPr>
            </w:pPr>
            <w:r>
              <w:rPr>
                <w:rFonts w:ascii="宋体" w:hAnsi="宋体" w:cs="宋体" w:eastAsia="宋体" w:hint="default"/>
                <w:sz w:val="18"/>
                <w:szCs w:val="18"/>
              </w:rPr>
              <w:t>桂长钟、李善 </w:t>
            </w:r>
            <w:r>
              <w:rPr>
                <w:rFonts w:ascii="宋体" w:hAnsi="宋体" w:cs="宋体" w:eastAsia="宋体" w:hint="default"/>
                <w:spacing w:val="-6"/>
                <w:sz w:val="18"/>
                <w:szCs w:val="18"/>
              </w:rPr>
              <w:t>元、周军、田裕</w:t>
            </w:r>
          </w:p>
        </w:tc>
        <w:tc>
          <w:tcPr>
            <w:tcW w:w="368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73"/>
              <w:ind w:left="21" w:right="1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）自股份交割之日起 </w:t>
            </w:r>
            <w:r>
              <w:rPr>
                <w:rFonts w:ascii="宋体" w:hAnsi="宋体" w:cs="宋体" w:eastAsia="宋体" w:hint="default"/>
                <w:sz w:val="18"/>
                <w:szCs w:val="18"/>
              </w:rPr>
              <w:t>36</w:t>
            </w:r>
            <w:r>
              <w:rPr>
                <w:rFonts w:ascii="宋体" w:hAnsi="宋体" w:cs="宋体" w:eastAsia="宋体" w:hint="default"/>
                <w:spacing w:val="-62"/>
                <w:sz w:val="18"/>
                <w:szCs w:val="18"/>
              </w:rPr>
              <w:t> </w:t>
            </w:r>
            <w:r>
              <w:rPr>
                <w:rFonts w:ascii="宋体" w:hAnsi="宋体" w:cs="宋体" w:eastAsia="宋体" w:hint="default"/>
                <w:sz w:val="18"/>
                <w:szCs w:val="18"/>
              </w:rPr>
              <w:t>个月内不转让本人 因本次交易所取得的所支付股份。本人今后如</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38.040009pt;margin-top:73.499985pt;width:208.25pt;height:485.65pt;mso-position-horizontal-relative:page;mso-position-vertical-relative:page;z-index:-913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1"/>
                      <w:szCs w:val="21"/>
                    </w:rPr>
                  </w:pPr>
                </w:p>
                <w:p>
                  <w:pPr>
                    <w:spacing w:before="0"/>
                    <w:ind w:left="0" w:right="742" w:firstLine="0"/>
                    <w:jc w:val="center"/>
                    <w:rPr>
                      <w:rFonts w:ascii="宋体" w:hAnsi="宋体" w:cs="宋体" w:eastAsia="宋体" w:hint="default"/>
                      <w:sz w:val="18"/>
                      <w:szCs w:val="18"/>
                    </w:rPr>
                  </w:pPr>
                  <w:r>
                    <w:rPr>
                      <w:rFonts w:ascii="宋体" w:hAnsi="宋体" w:cs="宋体" w:eastAsia="宋体" w:hint="default"/>
                      <w:sz w:val="18"/>
                      <w:szCs w:val="18"/>
                    </w:rPr>
                    <w:t>《发行股份及支付现金购买资产协议》</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7"/>
                      <w:szCs w:val="17"/>
                    </w:rPr>
                  </w:pPr>
                </w:p>
                <w:p>
                  <w:pPr>
                    <w:spacing w:before="0"/>
                    <w:ind w:left="-1" w:right="922" w:firstLine="0"/>
                    <w:jc w:val="center"/>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xbxContent>
            </v:textbox>
            <w10:wrap type="none"/>
          </v:shape>
        </w:pict>
      </w:r>
      <w:r>
        <w:rPr/>
        <w:pict>
          <v:group style="position:absolute;margin-left:397.299988pt;margin-top:73.499985pt;width:49pt;height:485.65pt;mso-position-horizontal-relative:page;mso-position-vertical-relative:page;z-index:-913840" coordorigin="7946,1470" coordsize="980,9713">
            <v:shape style="position:absolute;left:7946;top:1470;width:980;height:9713" coordorigin="7946,1470" coordsize="980,9713" path="m7946,11182l8926,11182,8926,1470,7946,1470,7946,11182xe" filled="true" fillcolor="#ffffff" stroked="false">
              <v:path arrowok="t"/>
              <v:fill type="solid"/>
            </v:shape>
            <w10:wrap type="none"/>
          </v:group>
        </w:pict>
      </w:r>
    </w:p>
    <w:p>
      <w:pPr>
        <w:spacing w:line="240" w:lineRule="auto" w:before="7"/>
        <w:rPr>
          <w:rFonts w:ascii="Times New Roman" w:hAnsi="Times New Roman" w:cs="Times New Roman" w:eastAsia="Times New Roman"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1844"/>
        <w:gridCol w:w="1276"/>
        <w:gridCol w:w="3686"/>
        <w:gridCol w:w="994"/>
        <w:gridCol w:w="850"/>
        <w:gridCol w:w="927"/>
      </w:tblGrid>
      <w:tr>
        <w:trPr>
          <w:trHeight w:val="9735" w:hRule="exact"/>
        </w:trPr>
        <w:tc>
          <w:tcPr>
            <w:tcW w:w="1844" w:type="dxa"/>
            <w:vMerge w:val="restart"/>
            <w:tcBorders>
              <w:top w:val="single" w:sz="12" w:space="0" w:color="000000"/>
              <w:left w:val="single" w:sz="12"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0" w:right="19"/>
              <w:jc w:val="left"/>
              <w:rPr>
                <w:rFonts w:ascii="宋体" w:hAnsi="宋体" w:cs="宋体" w:eastAsia="宋体" w:hint="default"/>
                <w:sz w:val="18"/>
                <w:szCs w:val="18"/>
              </w:rPr>
            </w:pPr>
            <w:r>
              <w:rPr>
                <w:rFonts w:ascii="宋体" w:hAnsi="宋体" w:cs="宋体" w:eastAsia="宋体" w:hint="default"/>
                <w:spacing w:val="-6"/>
                <w:sz w:val="18"/>
                <w:szCs w:val="18"/>
              </w:rPr>
              <w:t>树、方旭东、李</w:t>
            </w:r>
            <w:r>
              <w:rPr>
                <w:rFonts w:ascii="宋体" w:hAnsi="宋体" w:cs="宋体" w:eastAsia="宋体" w:hint="default"/>
                <w:sz w:val="18"/>
                <w:szCs w:val="18"/>
              </w:rPr>
              <w:t> 强、徐光涛</w:t>
            </w:r>
          </w:p>
        </w:tc>
        <w:tc>
          <w:tcPr>
            <w:tcW w:w="3686"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1" w:right="17"/>
              <w:jc w:val="both"/>
              <w:rPr>
                <w:rFonts w:ascii="宋体" w:hAnsi="宋体" w:cs="宋体" w:eastAsia="宋体" w:hint="default"/>
                <w:sz w:val="18"/>
                <w:szCs w:val="18"/>
              </w:rPr>
            </w:pPr>
            <w:r>
              <w:rPr>
                <w:rFonts w:ascii="宋体" w:hAnsi="宋体" w:cs="宋体" w:eastAsia="宋体" w:hint="default"/>
                <w:sz w:val="18"/>
                <w:szCs w:val="18"/>
              </w:rPr>
              <w:t>被光一科技选举为董事、监事或者聘任为高级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管理人员，则本人承诺按照关于董事、监事及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高管持股及减持的规定履行持股锁定及减持义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务。（</w:t>
            </w:r>
            <w:r>
              <w:rPr>
                <w:rFonts w:ascii="宋体" w:hAnsi="宋体" w:cs="宋体" w:eastAsia="宋体" w:hint="default"/>
                <w:spacing w:val="-4"/>
                <w:sz w:val="18"/>
                <w:szCs w:val="18"/>
              </w:rPr>
              <w:t>2</w:t>
            </w:r>
            <w:r>
              <w:rPr>
                <w:rFonts w:ascii="宋体" w:hAnsi="宋体" w:cs="宋体" w:eastAsia="宋体" w:hint="default"/>
                <w:spacing w:val="-4"/>
                <w:sz w:val="18"/>
                <w:szCs w:val="18"/>
              </w:rPr>
              <w:t>）为保证本次交易盈利预测补偿承诺的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可实现性，本人进一步承诺，如果在前述</w:t>
            </w:r>
            <w:r>
              <w:rPr>
                <w:rFonts w:ascii="宋体" w:hAnsi="宋体" w:cs="宋体" w:eastAsia="宋体" w:hint="default"/>
                <w:spacing w:val="-42"/>
                <w:sz w:val="18"/>
                <w:szCs w:val="18"/>
              </w:rPr>
              <w:t> </w:t>
            </w:r>
            <w:r>
              <w:rPr>
                <w:rFonts w:ascii="宋体" w:hAnsi="宋体" w:cs="宋体" w:eastAsia="宋体" w:hint="default"/>
                <w:sz w:val="18"/>
                <w:szCs w:val="18"/>
              </w:rPr>
              <w:t>36</w:t>
            </w:r>
            <w:r>
              <w:rPr>
                <w:rFonts w:ascii="宋体" w:hAnsi="宋体" w:cs="宋体" w:eastAsia="宋体" w:hint="default"/>
                <w:spacing w:val="-42"/>
                <w:sz w:val="18"/>
                <w:szCs w:val="18"/>
              </w:rPr>
              <w:t> </w:t>
            </w:r>
            <w:r>
              <w:rPr>
                <w:rFonts w:ascii="宋体" w:hAnsi="宋体" w:cs="宋体" w:eastAsia="宋体" w:hint="default"/>
                <w:sz w:val="18"/>
                <w:szCs w:val="18"/>
              </w:rPr>
              <w:t>个 月锁定期届满后本人按照《发行股份及支付现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金购买资产协议》约定负有股份补偿义务未履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行的，则锁定期自动延期至本人所负股份补偿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义务履行完毕时止。（</w:t>
            </w:r>
            <w:r>
              <w:rPr>
                <w:rFonts w:ascii="宋体" w:hAnsi="宋体" w:cs="宋体" w:eastAsia="宋体" w:hint="default"/>
                <w:spacing w:val="-4"/>
                <w:sz w:val="18"/>
                <w:szCs w:val="18"/>
              </w:rPr>
              <w:t>3</w:t>
            </w:r>
            <w:r>
              <w:rPr>
                <w:rFonts w:ascii="宋体" w:hAnsi="宋体" w:cs="宋体" w:eastAsia="宋体" w:hint="default"/>
                <w:spacing w:val="-4"/>
                <w:sz w:val="18"/>
                <w:szCs w:val="18"/>
              </w:rPr>
              <w:t>）本函第一条所述“因</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本次交易所取得的所支付股份”包括锁定期内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本人依据所支付股份按照光一科技分配股票股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利、资本公积转增股本等原因所取得的股份</w:t>
            </w:r>
          </w:p>
          <w:p>
            <w:pPr>
              <w:pStyle w:val="TableParagraph"/>
              <w:spacing w:line="316" w:lineRule="auto" w:before="19"/>
              <w:ind w:left="21" w:right="18"/>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4</w:t>
            </w:r>
            <w:r>
              <w:rPr>
                <w:rFonts w:ascii="宋体" w:hAnsi="宋体" w:cs="宋体" w:eastAsia="宋体" w:hint="default"/>
                <w:spacing w:val="-3"/>
                <w:sz w:val="18"/>
                <w:szCs w:val="18"/>
              </w:rPr>
              <w:t>）如果中国证监会及或深圳证券交易所对于</w:t>
            </w:r>
            <w:r>
              <w:rPr>
                <w:rFonts w:ascii="宋体" w:hAnsi="宋体" w:cs="宋体" w:eastAsia="宋体" w:hint="default"/>
                <w:sz w:val="18"/>
                <w:szCs w:val="18"/>
              </w:rPr>
              <w:t> 上述锁定期安排有不同意见及或要求的，本人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将按照中国证监会及或深圳证券交易所的意见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对上述锁定期安排进行修订并予执行。（</w:t>
            </w:r>
            <w:r>
              <w:rPr>
                <w:rFonts w:ascii="宋体" w:hAnsi="宋体" w:cs="宋体" w:eastAsia="宋体" w:hint="default"/>
                <w:spacing w:val="-4"/>
                <w:sz w:val="18"/>
                <w:szCs w:val="18"/>
              </w:rPr>
              <w:t>5</w:t>
            </w:r>
            <w:r>
              <w:rPr>
                <w:rFonts w:ascii="宋体" w:hAnsi="宋体" w:cs="宋体" w:eastAsia="宋体" w:hint="default"/>
                <w:spacing w:val="-4"/>
                <w:sz w:val="18"/>
                <w:szCs w:val="18"/>
              </w:rPr>
              <w:t>）如</w:t>
            </w:r>
            <w:r>
              <w:rPr>
                <w:rFonts w:ascii="宋体" w:hAnsi="宋体" w:cs="宋体" w:eastAsia="宋体" w:hint="default"/>
                <w:spacing w:val="-71"/>
                <w:sz w:val="18"/>
                <w:szCs w:val="18"/>
              </w:rPr>
              <w:t> </w:t>
            </w:r>
            <w:r>
              <w:rPr>
                <w:rFonts w:ascii="宋体" w:hAnsi="宋体" w:cs="宋体" w:eastAsia="宋体" w:hint="default"/>
                <w:sz w:val="18"/>
                <w:szCs w:val="18"/>
              </w:rPr>
              <w:t>本人根据</w:t>
            </w:r>
            <w:r>
              <w:rPr>
                <w:rFonts w:ascii="宋体" w:hAnsi="宋体" w:cs="宋体" w:eastAsia="宋体" w:hint="default"/>
                <w:sz w:val="18"/>
                <w:szCs w:val="18"/>
              </w:rPr>
              <w:t> 约定负有股份补偿义务，则本人将在《专项审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8"/>
                <w:sz w:val="18"/>
                <w:szCs w:val="18"/>
              </w:rPr>
              <w:t>核报告》及《减值测试报告》（如有）披露后十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个工作日内向登记结算公司发出将本人应补偿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的股份划转至光一科技董事会设立的专门账户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0"/>
                <w:sz w:val="18"/>
                <w:szCs w:val="18"/>
              </w:rPr>
              <w:t>并对该等用于支付补偿的股份进行锁定的指</w:t>
            </w:r>
            <w:r>
              <w:rPr>
                <w:rFonts w:ascii="宋体" w:hAnsi="宋体" w:cs="宋体" w:eastAsia="宋体" w:hint="default"/>
                <w:sz w:val="18"/>
                <w:szCs w:val="18"/>
              </w:rPr>
              <w:t> 令，并明确说明只有光一科技有权做出解除该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等锁定的指令。光一科技应为本人办理《发行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股份及支付现金购买资产协议》约定的补偿股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份划转手续提供协助及便利。（</w:t>
            </w:r>
            <w:r>
              <w:rPr>
                <w:rFonts w:ascii="宋体" w:hAnsi="宋体" w:cs="宋体" w:eastAsia="宋体" w:hint="default"/>
                <w:spacing w:val="-4"/>
                <w:sz w:val="18"/>
                <w:szCs w:val="18"/>
              </w:rPr>
              <w:t>6</w:t>
            </w:r>
            <w:r>
              <w:rPr>
                <w:rFonts w:ascii="宋体" w:hAnsi="宋体" w:cs="宋体" w:eastAsia="宋体" w:hint="default"/>
                <w:spacing w:val="-4"/>
                <w:sz w:val="18"/>
                <w:szCs w:val="18"/>
              </w:rPr>
              <w:t>）本人进一步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承诺，本人因本次交易所取得的所支付股份在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8"/>
                <w:sz w:val="18"/>
                <w:szCs w:val="18"/>
              </w:rPr>
              <w:t>转让时会同时遵守当时有效的《公司法》、《证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3"/>
                <w:sz w:val="18"/>
                <w:szCs w:val="18"/>
              </w:rPr>
              <w:t>券法》、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等法律、法规、规章和规范性文件以及光一科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技《公司章程》的相关规定。</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12" w:space="0" w:color="000000"/>
              <w:left w:val="single" w:sz="6" w:space="0" w:color="000000"/>
              <w:bottom w:val="single" w:sz="6" w:space="0" w:color="000000"/>
              <w:right w:val="single" w:sz="6" w:space="0" w:color="000000"/>
            </w:tcBorders>
          </w:tcPr>
          <w:p>
            <w:pPr/>
          </w:p>
        </w:tc>
        <w:tc>
          <w:tcPr>
            <w:tcW w:w="927" w:type="dxa"/>
            <w:tcBorders>
              <w:top w:val="single" w:sz="12" w:space="0" w:color="000000"/>
              <w:left w:val="single" w:sz="6" w:space="0" w:color="000000"/>
              <w:bottom w:val="single" w:sz="6" w:space="0" w:color="000000"/>
              <w:right w:val="single" w:sz="12" w:space="0" w:color="000000"/>
            </w:tcBorders>
          </w:tcPr>
          <w:p>
            <w:pPr/>
          </w:p>
        </w:tc>
      </w:tr>
      <w:tr>
        <w:trPr>
          <w:trHeight w:val="4119" w:hRule="exact"/>
        </w:trPr>
        <w:tc>
          <w:tcPr>
            <w:tcW w:w="1844"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12"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0" w:right="-23"/>
              <w:jc w:val="both"/>
              <w:rPr>
                <w:rFonts w:ascii="宋体" w:hAnsi="宋体" w:cs="宋体" w:eastAsia="宋体" w:hint="default"/>
                <w:sz w:val="18"/>
                <w:szCs w:val="18"/>
              </w:rPr>
            </w:pPr>
            <w:r>
              <w:rPr>
                <w:rFonts w:ascii="宋体" w:hAnsi="宋体" w:cs="宋体" w:eastAsia="宋体" w:hint="default"/>
                <w:spacing w:val="18"/>
                <w:sz w:val="18"/>
                <w:szCs w:val="18"/>
              </w:rPr>
              <w:t>魏法旭</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pacing w:val="13"/>
                <w:sz w:val="18"/>
                <w:szCs w:val="18"/>
              </w:rPr>
              <w:t>郑丽</w:t>
            </w:r>
            <w:r>
              <w:rPr>
                <w:rFonts w:ascii="宋体" w:hAnsi="宋体" w:cs="宋体" w:eastAsia="宋体" w:hint="default"/>
                <w:spacing w:val="-63"/>
                <w:sz w:val="18"/>
                <w:szCs w:val="18"/>
              </w:rPr>
              <w:t> </w:t>
            </w:r>
            <w:r>
              <w:rPr>
                <w:rFonts w:ascii="宋体" w:hAnsi="宋体" w:cs="宋体" w:eastAsia="宋体" w:hint="default"/>
                <w:spacing w:val="-6"/>
                <w:sz w:val="18"/>
                <w:szCs w:val="18"/>
              </w:rPr>
              <w:t>蓉、邓丽萍、赵</w:t>
            </w:r>
            <w:r>
              <w:rPr>
                <w:rFonts w:ascii="宋体" w:hAnsi="宋体" w:cs="宋体" w:eastAsia="宋体" w:hint="default"/>
                <w:sz w:val="18"/>
                <w:szCs w:val="18"/>
              </w:rPr>
              <w:t> </w:t>
            </w:r>
            <w:r>
              <w:rPr>
                <w:rFonts w:ascii="宋体" w:hAnsi="宋体" w:cs="宋体" w:eastAsia="宋体" w:hint="default"/>
                <w:spacing w:val="-6"/>
                <w:sz w:val="18"/>
                <w:szCs w:val="18"/>
              </w:rPr>
              <w:t>业香、梁蓉、廖</w:t>
            </w:r>
            <w:r>
              <w:rPr>
                <w:rFonts w:ascii="宋体" w:hAnsi="宋体" w:cs="宋体" w:eastAsia="宋体" w:hint="default"/>
                <w:sz w:val="18"/>
                <w:szCs w:val="18"/>
              </w:rPr>
              <w:t> 庆生、郑立筠、 张天祯、王平、 </w:t>
            </w:r>
            <w:r>
              <w:rPr>
                <w:rFonts w:ascii="宋体" w:hAnsi="宋体" w:cs="宋体" w:eastAsia="宋体" w:hint="default"/>
                <w:spacing w:val="18"/>
                <w:sz w:val="18"/>
                <w:szCs w:val="18"/>
              </w:rPr>
              <w:t>何传柏</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pacing w:val="13"/>
                <w:sz w:val="18"/>
                <w:szCs w:val="18"/>
              </w:rPr>
              <w:t>郭明</w:t>
            </w:r>
            <w:r>
              <w:rPr>
                <w:rFonts w:ascii="宋体" w:hAnsi="宋体" w:cs="宋体" w:eastAsia="宋体" w:hint="default"/>
                <w:spacing w:val="-63"/>
                <w:sz w:val="18"/>
                <w:szCs w:val="18"/>
              </w:rPr>
              <w:t> </w:t>
            </w:r>
            <w:r>
              <w:rPr>
                <w:rFonts w:ascii="宋体" w:hAnsi="宋体" w:cs="宋体" w:eastAsia="宋体" w:hint="default"/>
                <w:spacing w:val="-6"/>
                <w:sz w:val="18"/>
                <w:szCs w:val="18"/>
              </w:rPr>
              <w:t>亮、毛为国、门</w:t>
            </w:r>
            <w:r>
              <w:rPr>
                <w:rFonts w:ascii="宋体" w:hAnsi="宋体" w:cs="宋体" w:eastAsia="宋体" w:hint="default"/>
                <w:sz w:val="18"/>
                <w:szCs w:val="18"/>
              </w:rPr>
              <w:t> </w:t>
            </w:r>
            <w:r>
              <w:rPr>
                <w:rFonts w:ascii="宋体" w:hAnsi="宋体" w:cs="宋体" w:eastAsia="宋体" w:hint="default"/>
                <w:spacing w:val="-6"/>
                <w:sz w:val="18"/>
                <w:szCs w:val="18"/>
              </w:rPr>
              <w:t>崇喜、文涛、罗</w:t>
            </w:r>
            <w:r>
              <w:rPr>
                <w:rFonts w:ascii="宋体" w:hAnsi="宋体" w:cs="宋体" w:eastAsia="宋体" w:hint="default"/>
                <w:sz w:val="18"/>
                <w:szCs w:val="18"/>
              </w:rPr>
              <w:t> </w:t>
            </w:r>
            <w:r>
              <w:rPr>
                <w:rFonts w:ascii="宋体" w:hAnsi="宋体" w:cs="宋体" w:eastAsia="宋体" w:hint="default"/>
                <w:spacing w:val="-6"/>
                <w:sz w:val="18"/>
                <w:szCs w:val="18"/>
              </w:rPr>
              <w:t>丹、彭娥昌、张</w:t>
            </w:r>
            <w:r>
              <w:rPr>
                <w:rFonts w:ascii="宋体" w:hAnsi="宋体" w:cs="宋体" w:eastAsia="宋体" w:hint="default"/>
                <w:sz w:val="18"/>
                <w:szCs w:val="18"/>
              </w:rPr>
              <w:t> 红、陈世勇</w:t>
            </w:r>
          </w:p>
        </w:tc>
        <w:tc>
          <w:tcPr>
            <w:tcW w:w="3686" w:type="dxa"/>
            <w:tcBorders>
              <w:top w:val="single" w:sz="6" w:space="0" w:color="000000"/>
              <w:left w:val="single" w:sz="9" w:space="0" w:color="FFFFFF"/>
              <w:bottom w:val="single" w:sz="12" w:space="0" w:color="000000"/>
              <w:right w:val="single" w:sz="6" w:space="0" w:color="000000"/>
            </w:tcBorders>
          </w:tcPr>
          <w:p>
            <w:pPr>
              <w:pStyle w:val="TableParagraph"/>
              <w:spacing w:line="316" w:lineRule="auto" w:before="52"/>
              <w:ind w:left="17" w:right="4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）自股份交割之日起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个月内不转让本人 因本次交易所取得的所支付股份。本人今后如 被光一科技选举为董事、监事或者聘任为高级 管理人员，则本人承诺按照关于董事、监事及 高管持股及减持的规定履行持股锁定及减持义 </w:t>
            </w:r>
            <w:r>
              <w:rPr>
                <w:rFonts w:ascii="宋体" w:hAnsi="宋体" w:cs="宋体" w:eastAsia="宋体" w:hint="default"/>
                <w:spacing w:val="-5"/>
                <w:sz w:val="18"/>
                <w:szCs w:val="18"/>
              </w:rPr>
              <w:t>务。（</w:t>
            </w:r>
            <w:r>
              <w:rPr>
                <w:rFonts w:ascii="宋体" w:hAnsi="宋体" w:cs="宋体" w:eastAsia="宋体" w:hint="default"/>
                <w:spacing w:val="-5"/>
                <w:sz w:val="18"/>
                <w:szCs w:val="18"/>
              </w:rPr>
              <w:t>2</w:t>
            </w:r>
            <w:r>
              <w:rPr>
                <w:rFonts w:ascii="宋体" w:hAnsi="宋体" w:cs="宋体" w:eastAsia="宋体" w:hint="default"/>
                <w:spacing w:val="-5"/>
                <w:sz w:val="18"/>
                <w:szCs w:val="18"/>
              </w:rPr>
              <w:t>）本函第一条所述“因本次交易所取得</w:t>
            </w:r>
            <w:r>
              <w:rPr>
                <w:rFonts w:ascii="宋体" w:hAnsi="宋体" w:cs="宋体" w:eastAsia="宋体" w:hint="default"/>
                <w:spacing w:val="-75"/>
                <w:sz w:val="18"/>
                <w:szCs w:val="18"/>
              </w:rPr>
              <w:t> </w:t>
            </w:r>
            <w:r>
              <w:rPr>
                <w:rFonts w:ascii="宋体" w:hAnsi="宋体" w:cs="宋体" w:eastAsia="宋体" w:hint="default"/>
                <w:sz w:val="18"/>
                <w:szCs w:val="18"/>
              </w:rPr>
              <w:t>的所支付股份”包括锁定期内本人依据所支付 股份按照光一科技分配股票股利、资本公积转 </w:t>
            </w:r>
            <w:r>
              <w:rPr>
                <w:rFonts w:ascii="宋体" w:hAnsi="宋体" w:cs="宋体" w:eastAsia="宋体" w:hint="default"/>
                <w:spacing w:val="-5"/>
                <w:sz w:val="18"/>
                <w:szCs w:val="18"/>
              </w:rPr>
              <w:t>增股本等原因所取得的股份。（</w:t>
            </w:r>
            <w:r>
              <w:rPr>
                <w:rFonts w:ascii="宋体" w:hAnsi="宋体" w:cs="宋体" w:eastAsia="宋体" w:hint="default"/>
                <w:spacing w:val="-5"/>
                <w:sz w:val="18"/>
                <w:szCs w:val="18"/>
              </w:rPr>
              <w:t>3</w:t>
            </w:r>
            <w:r>
              <w:rPr>
                <w:rFonts w:ascii="宋体" w:hAnsi="宋体" w:cs="宋体" w:eastAsia="宋体" w:hint="default"/>
                <w:spacing w:val="-5"/>
                <w:sz w:val="18"/>
                <w:szCs w:val="18"/>
              </w:rPr>
              <w:t>）如果中国证</w:t>
            </w:r>
            <w:r>
              <w:rPr>
                <w:rFonts w:ascii="宋体" w:hAnsi="宋体" w:cs="宋体" w:eastAsia="宋体" w:hint="default"/>
                <w:spacing w:val="-75"/>
                <w:sz w:val="18"/>
                <w:szCs w:val="18"/>
              </w:rPr>
              <w:t> </w:t>
            </w:r>
            <w:r>
              <w:rPr>
                <w:rFonts w:ascii="宋体" w:hAnsi="宋体" w:cs="宋体" w:eastAsia="宋体" w:hint="default"/>
                <w:sz w:val="18"/>
                <w:szCs w:val="18"/>
              </w:rPr>
              <w:t>监会及或深圳证券交易所对于上述锁定期安排 有不同意见及或要求的，本人将按照中国证监 会及或深圳证券交易所的意见对上述锁定期安 </w:t>
            </w:r>
            <w:r>
              <w:rPr>
                <w:rFonts w:ascii="宋体" w:hAnsi="宋体" w:cs="宋体" w:eastAsia="宋体" w:hint="default"/>
                <w:spacing w:val="-5"/>
                <w:sz w:val="18"/>
                <w:szCs w:val="18"/>
              </w:rPr>
              <w:t>排进行修订并予执行。（</w:t>
            </w:r>
            <w:r>
              <w:rPr>
                <w:rFonts w:ascii="宋体" w:hAnsi="宋体" w:cs="宋体" w:eastAsia="宋体" w:hint="default"/>
                <w:spacing w:val="-5"/>
                <w:sz w:val="18"/>
                <w:szCs w:val="18"/>
              </w:rPr>
              <w:t>4</w:t>
            </w:r>
            <w:r>
              <w:rPr>
                <w:rFonts w:ascii="宋体" w:hAnsi="宋体" w:cs="宋体" w:eastAsia="宋体" w:hint="default"/>
                <w:spacing w:val="-5"/>
                <w:sz w:val="18"/>
                <w:szCs w:val="18"/>
              </w:rPr>
              <w:t>）本人进一步承诺，</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82.031006pt;margin-top:393.019989pt;width:64.25pt;height:162.8pt;mso-position-horizontal-relative:page;mso-position-vertical-relative:page;z-index:-91381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钟、</w:t>
                  </w:r>
                </w:p>
              </w:txbxContent>
            </v:textbox>
            <w10:wrap type="none"/>
          </v:shape>
        </w:pict>
      </w:r>
      <w:r>
        <w:rPr/>
        <w:pict>
          <v:shape style="position:absolute;margin-left:310.040009pt;margin-top:591.039978pt;width:136.25pt;height:162.8pt;mso-position-horizontal-relative:page;mso-position-vertical-relative:page;z-index:-913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向光一科技支付补偿。</w:t>
                  </w:r>
                </w:p>
              </w:txbxContent>
            </v:textbox>
            <w10:wrap type="none"/>
          </v:shape>
        </w:pict>
      </w:r>
      <w:r>
        <w:rPr/>
        <w:pict>
          <v:group style="position:absolute;margin-left:397.299988pt;margin-top:73.499985pt;width:49pt;height:80pt;mso-position-horizontal-relative:page;mso-position-vertical-relative:page;z-index:-913768" coordorigin="7946,1470" coordsize="980,1600">
            <v:shape style="position:absolute;left:7946;top:1470;width:980;height:1600" coordorigin="7946,1470" coordsize="980,1600" path="m7946,3070l8926,3070,8926,1470,7946,1470,7946,3070xe" filled="true" fillcolor="#ffffff" stroked="false">
              <v:path arrowok="t"/>
              <v:fill type="solid"/>
            </v:shape>
            <w10:wrap type="none"/>
          </v:group>
        </w:pict>
      </w:r>
      <w:r>
        <w:rPr/>
        <w:pict>
          <v:group style="position:absolute;margin-left:397.299988pt;margin-top:393.019989pt;width:49pt;height:162.8pt;mso-position-horizontal-relative:page;mso-position-vertical-relative:page;z-index:-913744" coordorigin="7946,7860" coordsize="980,3256">
            <v:shape style="position:absolute;left:7946;top:7860;width:980;height:3256" coordorigin="7946,7860" coordsize="980,3256" path="m7946,11116l8926,11116,8926,7860,7946,7860,7946,11116xe" filled="true" fillcolor="#ffffff" stroked="false">
              <v:path arrowok="t"/>
              <v:fill type="solid"/>
            </v:shape>
            <w10:wrap type="none"/>
          </v:group>
        </w:pict>
      </w:r>
      <w:r>
        <w:rPr/>
        <w:pict>
          <v:group style="position:absolute;margin-left:397.299988pt;margin-top:591.039978pt;width:49pt;height:162.8pt;mso-position-horizontal-relative:page;mso-position-vertical-relative:page;z-index:-913720" coordorigin="7946,11821" coordsize="980,3256">
            <v:shape style="position:absolute;left:7946;top:11821;width:980;height:3256" coordorigin="7946,11821" coordsize="980,3256" path="m7946,15077l8926,15077,8926,11821,7946,11821,7946,15077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286"/>
        <w:gridCol w:w="3675"/>
        <w:gridCol w:w="994"/>
        <w:gridCol w:w="850"/>
        <w:gridCol w:w="920"/>
      </w:tblGrid>
      <w:tr>
        <w:trPr>
          <w:trHeight w:val="327" w:hRule="exact"/>
        </w:trPr>
        <w:tc>
          <w:tcPr>
            <w:tcW w:w="1844" w:type="dxa"/>
            <w:vMerge w:val="restart"/>
            <w:tcBorders>
              <w:top w:val="single" w:sz="12" w:space="0" w:color="000000"/>
              <w:left w:val="single" w:sz="12" w:space="0" w:color="000000"/>
              <w:right w:val="single" w:sz="6" w:space="0" w:color="000000"/>
            </w:tcBorders>
            <w:shd w:val="clear" w:color="auto" w:fill="D2D2D2"/>
          </w:tcPr>
          <w:p>
            <w:pPr/>
          </w:p>
        </w:tc>
        <w:tc>
          <w:tcPr>
            <w:tcW w:w="1286" w:type="dxa"/>
            <w:vMerge w:val="restart"/>
            <w:tcBorders>
              <w:top w:val="single" w:sz="12" w:space="0" w:color="000000"/>
              <w:left w:val="single" w:sz="6" w:space="0" w:color="000000"/>
              <w:right w:val="single" w:sz="6" w:space="0" w:color="000000"/>
            </w:tcBorders>
          </w:tcPr>
          <w:p>
            <w:pPr/>
          </w:p>
        </w:tc>
        <w:tc>
          <w:tcPr>
            <w:tcW w:w="3675"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本人因本次交易所取得的所支付股份在转让时</w:t>
            </w:r>
          </w:p>
        </w:tc>
        <w:tc>
          <w:tcPr>
            <w:tcW w:w="994" w:type="dxa"/>
            <w:tcBorders>
              <w:top w:val="single" w:sz="12" w:space="0" w:color="000000"/>
              <w:left w:val="single" w:sz="6" w:space="0" w:color="000000"/>
              <w:bottom w:val="nil" w:sz="6" w:space="0" w:color="auto"/>
              <w:right w:val="single" w:sz="6" w:space="0" w:color="000000"/>
            </w:tcBorders>
          </w:tcPr>
          <w:p>
            <w:pPr/>
          </w:p>
        </w:tc>
        <w:tc>
          <w:tcPr>
            <w:tcW w:w="850" w:type="dxa"/>
            <w:vMerge w:val="restart"/>
            <w:tcBorders>
              <w:top w:val="single" w:sz="12" w:space="0" w:color="000000"/>
              <w:left w:val="single" w:sz="6" w:space="0" w:color="000000"/>
              <w:right w:val="single" w:sz="6" w:space="0" w:color="000000"/>
            </w:tcBorders>
          </w:tcPr>
          <w:p>
            <w:pPr/>
          </w:p>
        </w:tc>
        <w:tc>
          <w:tcPr>
            <w:tcW w:w="920" w:type="dxa"/>
            <w:vMerge w:val="restart"/>
            <w:tcBorders>
              <w:top w:val="single" w:sz="12" w:space="0" w:color="000000"/>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vMerge/>
            <w:tcBorders>
              <w:left w:val="single" w:sz="6" w:space="0" w:color="000000"/>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会同时遵守当时有效的《公司法</w:t>
            </w:r>
            <w:r>
              <w:rPr>
                <w:rFonts w:ascii="宋体" w:hAnsi="宋体" w:cs="宋体" w:eastAsia="宋体" w:hint="default"/>
                <w:spacing w:val="-90"/>
                <w:sz w:val="18"/>
                <w:szCs w:val="18"/>
              </w:rPr>
              <w:t>》、</w:t>
            </w:r>
            <w:r>
              <w:rPr>
                <w:rFonts w:ascii="宋体" w:hAnsi="宋体" w:cs="宋体" w:eastAsia="宋体" w:hint="default"/>
                <w:sz w:val="18"/>
                <w:szCs w:val="18"/>
              </w:rPr>
              <w:t>《证券法</w:t>
            </w:r>
            <w:r>
              <w:rPr>
                <w:rFonts w:ascii="宋体" w:hAnsi="宋体" w:cs="宋体" w:eastAsia="宋体" w:hint="default"/>
                <w:spacing w:val="-90"/>
                <w:sz w:val="18"/>
                <w:szCs w:val="18"/>
              </w:rPr>
              <w:t>》</w:t>
            </w:r>
            <w:r>
              <w:rPr>
                <w:rFonts w:ascii="宋体" w:hAnsi="宋体" w:cs="宋体" w:eastAsia="宋体" w:hint="default"/>
                <w:sz w:val="18"/>
                <w:szCs w:val="18"/>
              </w:rPr>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54"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vMerge/>
            <w:tcBorders>
              <w:left w:val="single" w:sz="6" w:space="0" w:color="000000"/>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《深圳证券交易所创业板股票上市规则》等法</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3" w:hRule="exact"/>
        </w:trPr>
        <w:tc>
          <w:tcPr>
            <w:tcW w:w="1844" w:type="dxa"/>
            <w:vMerge/>
            <w:tcBorders>
              <w:left w:val="single" w:sz="12" w:space="0" w:color="000000"/>
              <w:right w:val="single" w:sz="6" w:space="0" w:color="000000"/>
            </w:tcBorders>
            <w:shd w:val="clear" w:color="auto" w:fill="D2D2D2"/>
          </w:tcPr>
          <w:p>
            <w:pPr/>
          </w:p>
        </w:tc>
        <w:tc>
          <w:tcPr>
            <w:tcW w:w="1286" w:type="dxa"/>
            <w:vMerge/>
            <w:tcBorders>
              <w:left w:val="single" w:sz="6" w:space="0" w:color="000000"/>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pacing w:val="-8"/>
                <w:sz w:val="18"/>
                <w:szCs w:val="18"/>
              </w:rPr>
              <w:t>律、法规、规章和规范性文件以及光一科技《公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58" w:hRule="exact"/>
        </w:trPr>
        <w:tc>
          <w:tcPr>
            <w:tcW w:w="1844" w:type="dxa"/>
            <w:vMerge/>
            <w:tcBorders>
              <w:left w:val="single" w:sz="12" w:space="0" w:color="000000"/>
              <w:right w:val="single" w:sz="6" w:space="0" w:color="000000"/>
            </w:tcBorders>
            <w:shd w:val="clear" w:color="auto" w:fill="D2D2D2"/>
          </w:tcPr>
          <w:p>
            <w:pPr/>
          </w:p>
        </w:tc>
        <w:tc>
          <w:tcPr>
            <w:tcW w:w="1286" w:type="dxa"/>
            <w:vMerge/>
            <w:tcBorders>
              <w:left w:val="single" w:sz="6" w:space="0" w:color="000000"/>
              <w:bottom w:val="single" w:sz="6" w:space="0" w:color="000000"/>
              <w:right w:val="single" w:sz="6" w:space="0" w:color="000000"/>
            </w:tcBorders>
          </w:tcPr>
          <w:p>
            <w:pPr/>
          </w:p>
        </w:tc>
        <w:tc>
          <w:tcPr>
            <w:tcW w:w="367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司章程》的相关规定。</w:t>
            </w:r>
          </w:p>
        </w:tc>
        <w:tc>
          <w:tcPr>
            <w:tcW w:w="994" w:type="dxa"/>
            <w:tcBorders>
              <w:top w:val="nil" w:sz="6" w:space="0" w:color="auto"/>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20" w:type="dxa"/>
            <w:vMerge/>
            <w:tcBorders>
              <w:left w:val="single" w:sz="6" w:space="0" w:color="000000"/>
              <w:bottom w:val="single" w:sz="6" w:space="0" w:color="000000"/>
              <w:right w:val="single" w:sz="12" w:space="0" w:color="000000"/>
            </w:tcBorders>
          </w:tcPr>
          <w:p>
            <w:pPr/>
          </w:p>
        </w:tc>
      </w:tr>
      <w:tr>
        <w:trPr>
          <w:trHeight w:val="361" w:hRule="exact"/>
        </w:trPr>
        <w:tc>
          <w:tcPr>
            <w:tcW w:w="1844" w:type="dxa"/>
            <w:vMerge/>
            <w:tcBorders>
              <w:left w:val="single" w:sz="12" w:space="0" w:color="000000"/>
              <w:right w:val="single" w:sz="6" w:space="0" w:color="000000"/>
            </w:tcBorders>
            <w:shd w:val="clear" w:color="auto" w:fill="D2D2D2"/>
          </w:tcPr>
          <w:p>
            <w:pPr/>
          </w:p>
        </w:tc>
        <w:tc>
          <w:tcPr>
            <w:tcW w:w="1286" w:type="dxa"/>
            <w:tcBorders>
              <w:top w:val="single" w:sz="6" w:space="0" w:color="000000"/>
              <w:left w:val="single" w:sz="6" w:space="0" w:color="000000"/>
              <w:bottom w:val="nil" w:sz="6" w:space="0" w:color="auto"/>
              <w:right w:val="single" w:sz="9" w:space="0" w:color="FFFFFF"/>
            </w:tcBorders>
          </w:tcPr>
          <w:p>
            <w:pPr/>
          </w:p>
        </w:tc>
        <w:tc>
          <w:tcPr>
            <w:tcW w:w="3675" w:type="dxa"/>
            <w:tcBorders>
              <w:top w:val="single" w:sz="6" w:space="0" w:color="000000"/>
              <w:left w:val="single" w:sz="9" w:space="0" w:color="FFFFFF"/>
              <w:bottom w:val="nil" w:sz="6" w:space="0" w:color="auto"/>
              <w:right w:val="single" w:sz="6" w:space="0" w:color="000000"/>
            </w:tcBorders>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）自股份交割之日起 </w:t>
            </w:r>
            <w:r>
              <w:rPr>
                <w:rFonts w:ascii="宋体" w:hAnsi="宋体" w:cs="宋体" w:eastAsia="宋体" w:hint="default"/>
                <w:sz w:val="18"/>
                <w:szCs w:val="18"/>
              </w:rPr>
              <w:t>12</w:t>
            </w:r>
            <w:r>
              <w:rPr>
                <w:rFonts w:ascii="宋体" w:hAnsi="宋体" w:cs="宋体" w:eastAsia="宋体" w:hint="default"/>
                <w:spacing w:val="-62"/>
                <w:sz w:val="18"/>
                <w:szCs w:val="18"/>
              </w:rPr>
              <w:t> </w:t>
            </w:r>
            <w:r>
              <w:rPr>
                <w:rFonts w:ascii="宋体" w:hAnsi="宋体" w:cs="宋体" w:eastAsia="宋体" w:hint="default"/>
                <w:sz w:val="18"/>
                <w:szCs w:val="18"/>
              </w:rPr>
              <w:t>个月内不转让本公</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4056"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0" w:right="-13"/>
              <w:jc w:val="left"/>
              <w:rPr>
                <w:rFonts w:ascii="宋体" w:hAnsi="宋体" w:cs="宋体" w:eastAsia="宋体" w:hint="default"/>
                <w:sz w:val="18"/>
                <w:szCs w:val="18"/>
              </w:rPr>
            </w:pPr>
            <w:r>
              <w:rPr>
                <w:rFonts w:ascii="宋体" w:hAnsi="宋体" w:cs="宋体" w:eastAsia="宋体" w:hint="default"/>
                <w:sz w:val="18"/>
                <w:szCs w:val="18"/>
              </w:rPr>
              <w:t>公安县鑫旺投 </w:t>
            </w:r>
            <w:r>
              <w:rPr>
                <w:rFonts w:ascii="宋体" w:hAnsi="宋体" w:cs="宋体" w:eastAsia="宋体" w:hint="default"/>
                <w:spacing w:val="-6"/>
                <w:sz w:val="18"/>
                <w:szCs w:val="18"/>
              </w:rPr>
              <w:t>资有限公司、深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圳市创新投资 集团有限公司、 北京红土鑫洲 创业投资中心</w:t>
            </w:r>
          </w:p>
          <w:p>
            <w:pPr>
              <w:pStyle w:val="TableParagraph"/>
              <w:spacing w:line="319" w:lineRule="auto" w:before="19"/>
              <w:ind w:left="20" w:right="25"/>
              <w:jc w:val="left"/>
              <w:rPr>
                <w:rFonts w:ascii="宋体" w:hAnsi="宋体" w:cs="宋体" w:eastAsia="宋体" w:hint="default"/>
                <w:sz w:val="18"/>
                <w:szCs w:val="18"/>
              </w:rPr>
            </w:pPr>
            <w:r>
              <w:rPr>
                <w:rFonts w:ascii="宋体" w:hAnsi="宋体" w:cs="宋体" w:eastAsia="宋体" w:hint="default"/>
                <w:spacing w:val="-13"/>
                <w:sz w:val="18"/>
                <w:szCs w:val="18"/>
              </w:rPr>
              <w:t>（有限合伙）、</w:t>
            </w:r>
            <w:r>
              <w:rPr>
                <w:rFonts w:ascii="宋体" w:hAnsi="宋体" w:cs="宋体" w:eastAsia="宋体" w:hint="default"/>
                <w:sz w:val="18"/>
                <w:szCs w:val="18"/>
              </w:rPr>
              <w:t> 南昌红土创新 资本创业投资 </w:t>
            </w:r>
            <w:r>
              <w:rPr>
                <w:rFonts w:ascii="宋体" w:hAnsi="宋体" w:cs="宋体" w:eastAsia="宋体" w:hint="default"/>
                <w:spacing w:val="-6"/>
                <w:sz w:val="18"/>
                <w:szCs w:val="18"/>
              </w:rPr>
              <w:t>有限公司、湖北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红土创业投资 有限公司</w:t>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316" w:lineRule="auto" w:before="10"/>
              <w:ind w:left="7" w:right="18"/>
              <w:jc w:val="both"/>
              <w:rPr>
                <w:rFonts w:ascii="宋体" w:hAnsi="宋体" w:cs="宋体" w:eastAsia="宋体" w:hint="default"/>
                <w:sz w:val="18"/>
                <w:szCs w:val="18"/>
              </w:rPr>
            </w:pPr>
            <w:r>
              <w:rPr>
                <w:rFonts w:ascii="宋体" w:hAnsi="宋体" w:cs="宋体" w:eastAsia="宋体" w:hint="default"/>
                <w:spacing w:val="-4"/>
                <w:sz w:val="18"/>
                <w:szCs w:val="18"/>
              </w:rPr>
              <w:t>司因本次交易所取得的所支付股份。（</w:t>
            </w:r>
            <w:r>
              <w:rPr>
                <w:rFonts w:ascii="宋体" w:hAnsi="宋体" w:cs="宋体" w:eastAsia="宋体" w:hint="default"/>
                <w:spacing w:val="-4"/>
                <w:sz w:val="18"/>
                <w:szCs w:val="18"/>
              </w:rPr>
              <w:t>2</w:t>
            </w:r>
            <w:r>
              <w:rPr>
                <w:rFonts w:ascii="宋体" w:hAnsi="宋体" w:cs="宋体" w:eastAsia="宋体" w:hint="default"/>
                <w:spacing w:val="-4"/>
                <w:sz w:val="18"/>
                <w:szCs w:val="18"/>
              </w:rPr>
              <w:t>）本函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0"/>
                <w:sz w:val="18"/>
                <w:szCs w:val="18"/>
              </w:rPr>
              <w:t>第一条所述“因本次交易所取得的所支付股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份”包括锁定期内本公司依据所支付股份按照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光一科技分配股票股利、资本公积转增股本等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原因所取得的股份。（</w:t>
            </w:r>
            <w:r>
              <w:rPr>
                <w:rFonts w:ascii="宋体" w:hAnsi="宋体" w:cs="宋体" w:eastAsia="宋体" w:hint="default"/>
                <w:spacing w:val="-4"/>
                <w:sz w:val="18"/>
                <w:szCs w:val="18"/>
              </w:rPr>
              <w:t>3</w:t>
            </w:r>
            <w:r>
              <w:rPr>
                <w:rFonts w:ascii="宋体" w:hAnsi="宋体" w:cs="宋体" w:eastAsia="宋体" w:hint="default"/>
                <w:spacing w:val="-4"/>
                <w:sz w:val="18"/>
                <w:szCs w:val="18"/>
              </w:rPr>
              <w:t>）如果中国证监会及或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深圳证券交易所对于上述锁定期安排有不同意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见及或要求的，本公司将按照中国证监会及或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深圳证券交易所的意见对上述锁定期安排进行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修订并予执行。（</w:t>
            </w:r>
            <w:r>
              <w:rPr>
                <w:rFonts w:ascii="宋体" w:hAnsi="宋体" w:cs="宋体" w:eastAsia="宋体" w:hint="default"/>
                <w:spacing w:val="-4"/>
                <w:sz w:val="18"/>
                <w:szCs w:val="18"/>
              </w:rPr>
              <w:t>4</w:t>
            </w:r>
            <w:r>
              <w:rPr>
                <w:rFonts w:ascii="宋体" w:hAnsi="宋体" w:cs="宋体" w:eastAsia="宋体" w:hint="default"/>
                <w:spacing w:val="-4"/>
                <w:sz w:val="18"/>
                <w:szCs w:val="18"/>
              </w:rPr>
              <w:t>）本公司进一步承诺，本公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司因本次交易所取得的所支付股份在转让时会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3"/>
                <w:sz w:val="18"/>
                <w:szCs w:val="18"/>
              </w:rPr>
              <w:t>同时遵守当时有效的《公司法》、《证券法》、《深</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圳证券交易所创业板股票上市规则》等法律、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法规、规章和规范性文件以及光一科技《公司</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58"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single" w:sz="6" w:space="0" w:color="000000"/>
              <w:right w:val="single" w:sz="9" w:space="0" w:color="FFFFFF"/>
            </w:tcBorders>
          </w:tcPr>
          <w:p>
            <w:pPr/>
          </w:p>
        </w:tc>
        <w:tc>
          <w:tcPr>
            <w:tcW w:w="3675" w:type="dxa"/>
            <w:tcBorders>
              <w:top w:val="nil" w:sz="6" w:space="0" w:color="auto"/>
              <w:left w:val="single" w:sz="9" w:space="0" w:color="FFFFFF"/>
              <w:bottom w:val="single" w:sz="6" w:space="0" w:color="000000"/>
              <w:right w:val="single" w:sz="6" w:space="0" w:color="000000"/>
            </w:tcBorders>
          </w:tcPr>
          <w:p>
            <w:pPr>
              <w:pStyle w:val="TableParagraph"/>
              <w:spacing w:line="240" w:lineRule="auto" w:before="11"/>
              <w:ind w:left="7" w:right="0"/>
              <w:jc w:val="left"/>
              <w:rPr>
                <w:rFonts w:ascii="宋体" w:hAnsi="宋体" w:cs="宋体" w:eastAsia="宋体" w:hint="default"/>
                <w:sz w:val="18"/>
                <w:szCs w:val="18"/>
              </w:rPr>
            </w:pPr>
            <w:r>
              <w:rPr>
                <w:rFonts w:ascii="宋体" w:hAnsi="宋体" w:cs="宋体" w:eastAsia="宋体" w:hint="default"/>
                <w:sz w:val="18"/>
                <w:szCs w:val="18"/>
              </w:rPr>
              <w:t>章程》的相关规定。</w:t>
            </w:r>
          </w:p>
        </w:tc>
        <w:tc>
          <w:tcPr>
            <w:tcW w:w="994" w:type="dxa"/>
            <w:tcBorders>
              <w:top w:val="nil" w:sz="6" w:space="0" w:color="auto"/>
              <w:left w:val="single" w:sz="6" w:space="0" w:color="000000"/>
              <w:bottom w:val="single" w:sz="6" w:space="0" w:color="000000"/>
              <w:right w:val="single" w:sz="6" w:space="0" w:color="000000"/>
            </w:tcBorders>
          </w:tcPr>
          <w:p>
            <w:pPr/>
          </w:p>
        </w:tc>
        <w:tc>
          <w:tcPr>
            <w:tcW w:w="850" w:type="dxa"/>
            <w:tcBorders>
              <w:top w:val="nil" w:sz="6" w:space="0" w:color="auto"/>
              <w:left w:val="single" w:sz="6" w:space="0" w:color="000000"/>
              <w:bottom w:val="single" w:sz="6" w:space="0" w:color="000000"/>
              <w:right w:val="single" w:sz="6" w:space="0" w:color="000000"/>
            </w:tcBorders>
          </w:tcPr>
          <w:p>
            <w:pPr/>
          </w:p>
        </w:tc>
        <w:tc>
          <w:tcPr>
            <w:tcW w:w="920" w:type="dxa"/>
            <w:tcBorders>
              <w:top w:val="nil" w:sz="6" w:space="0" w:color="auto"/>
              <w:left w:val="single" w:sz="6" w:space="0" w:color="000000"/>
              <w:bottom w:val="single" w:sz="6" w:space="0" w:color="000000"/>
              <w:right w:val="single" w:sz="12" w:space="0" w:color="000000"/>
            </w:tcBorders>
          </w:tcPr>
          <w:p>
            <w:pPr/>
          </w:p>
        </w:tc>
      </w:tr>
      <w:tr>
        <w:trPr>
          <w:trHeight w:val="361" w:hRule="exact"/>
        </w:trPr>
        <w:tc>
          <w:tcPr>
            <w:tcW w:w="1844" w:type="dxa"/>
            <w:vMerge/>
            <w:tcBorders>
              <w:left w:val="single" w:sz="12" w:space="0" w:color="000000"/>
              <w:right w:val="single" w:sz="6" w:space="0" w:color="000000"/>
            </w:tcBorders>
            <w:shd w:val="clear" w:color="auto" w:fill="D2D2D2"/>
          </w:tcPr>
          <w:p>
            <w:pPr/>
          </w:p>
        </w:tc>
        <w:tc>
          <w:tcPr>
            <w:tcW w:w="1286" w:type="dxa"/>
            <w:tcBorders>
              <w:top w:val="single" w:sz="6" w:space="0" w:color="000000"/>
              <w:left w:val="single" w:sz="6" w:space="0" w:color="000000"/>
              <w:bottom w:val="nil" w:sz="6" w:space="0" w:color="auto"/>
              <w:right w:val="single" w:sz="9" w:space="0" w:color="FFFFFF"/>
            </w:tcBorders>
          </w:tcPr>
          <w:p>
            <w:pPr/>
          </w:p>
        </w:tc>
        <w:tc>
          <w:tcPr>
            <w:tcW w:w="3675" w:type="dxa"/>
            <w:tcBorders>
              <w:top w:val="single" w:sz="6" w:space="0" w:color="000000"/>
              <w:left w:val="single" w:sz="9" w:space="0" w:color="FFFFFF"/>
              <w:bottom w:val="nil" w:sz="6" w:space="0" w:color="auto"/>
              <w:right w:val="single" w:sz="6" w:space="0" w:color="000000"/>
            </w:tcBorders>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pacing w:val="-4"/>
                <w:sz w:val="18"/>
                <w:szCs w:val="18"/>
              </w:rPr>
              <w:t>索瑞电气管理层股东任昌兆、任晶晶、桂长</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李善元、周军、田裕树、方旭东、李强、徐光</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涛及湖北乾瀚投资有限公司签署的《盈利承诺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及补偿协议</w:t>
            </w:r>
            <w:r>
              <w:rPr>
                <w:rFonts w:ascii="宋体" w:hAnsi="宋体" w:cs="宋体" w:eastAsia="宋体" w:hint="default"/>
                <w:spacing w:val="-90"/>
                <w:sz w:val="18"/>
                <w:szCs w:val="18"/>
              </w:rPr>
              <w:t>》、</w:t>
            </w:r>
            <w:r>
              <w:rPr>
                <w:rFonts w:ascii="宋体" w:hAnsi="宋体" w:cs="宋体" w:eastAsia="宋体" w:hint="default"/>
                <w:sz w:val="18"/>
                <w:szCs w:val="18"/>
              </w:rPr>
              <w:t>《盈利承诺及补偿之补充协议</w:t>
            </w:r>
            <w:r>
              <w:rPr>
                <w:rFonts w:ascii="宋体" w:hAnsi="宋体" w:cs="宋体" w:eastAsia="宋体" w:hint="default"/>
                <w:spacing w:val="-90"/>
                <w:sz w:val="18"/>
                <w:szCs w:val="18"/>
              </w:rPr>
              <w:t>》</w:t>
            </w:r>
            <w:r>
              <w:rPr>
                <w:rFonts w:ascii="宋体" w:hAnsi="宋体" w:cs="宋体" w:eastAsia="宋体" w:hint="default"/>
                <w:sz w:val="18"/>
                <w:szCs w:val="18"/>
              </w:rPr>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54"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上述管理层股东及湖北乾瀚投资有限公司承诺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索瑞电气</w:t>
            </w:r>
            <w:r>
              <w:rPr>
                <w:rFonts w:ascii="宋体" w:hAnsi="宋体" w:cs="宋体" w:eastAsia="宋体" w:hint="default"/>
                <w:spacing w:val="-37"/>
                <w:sz w:val="18"/>
                <w:szCs w:val="18"/>
              </w:rPr>
              <w:t> </w:t>
            </w:r>
            <w:r>
              <w:rPr>
                <w:rFonts w:ascii="宋体" w:hAnsi="宋体" w:cs="宋体" w:eastAsia="宋体" w:hint="default"/>
                <w:sz w:val="18"/>
                <w:szCs w:val="18"/>
              </w:rPr>
              <w:t>2014</w:t>
            </w:r>
            <w:r>
              <w:rPr>
                <w:rFonts w:ascii="宋体" w:hAnsi="宋体" w:cs="宋体" w:eastAsia="宋体" w:hint="default"/>
                <w:spacing w:val="-39"/>
                <w:sz w:val="18"/>
                <w:szCs w:val="18"/>
              </w:rPr>
              <w:t> </w:t>
            </w:r>
            <w:r>
              <w:rPr>
                <w:rFonts w:ascii="宋体" w:hAnsi="宋体" w:cs="宋体" w:eastAsia="宋体" w:hint="default"/>
                <w:sz w:val="18"/>
                <w:szCs w:val="18"/>
              </w:rPr>
              <w:t>年度、</w:t>
            </w:r>
            <w:r>
              <w:rPr>
                <w:rFonts w:ascii="宋体" w:hAnsi="宋体" w:cs="宋体" w:eastAsia="宋体" w:hint="default"/>
                <w:sz w:val="18"/>
                <w:szCs w:val="18"/>
              </w:rPr>
              <w:t>2015</w:t>
            </w:r>
            <w:r>
              <w:rPr>
                <w:rFonts w:ascii="宋体" w:hAnsi="宋体" w:cs="宋体" w:eastAsia="宋体" w:hint="default"/>
                <w:spacing w:val="-38"/>
                <w:sz w:val="18"/>
                <w:szCs w:val="18"/>
              </w:rPr>
              <w:t> </w:t>
            </w:r>
            <w:r>
              <w:rPr>
                <w:rFonts w:ascii="宋体" w:hAnsi="宋体" w:cs="宋体" w:eastAsia="宋体" w:hint="default"/>
                <w:sz w:val="18"/>
                <w:szCs w:val="18"/>
              </w:rPr>
              <w:t>年度、</w:t>
            </w:r>
            <w:r>
              <w:rPr>
                <w:rFonts w:ascii="宋体" w:hAnsi="宋体" w:cs="宋体" w:eastAsia="宋体" w:hint="default"/>
                <w:sz w:val="18"/>
                <w:szCs w:val="18"/>
              </w:rPr>
              <w:t>2016</w:t>
            </w:r>
            <w:r>
              <w:rPr>
                <w:rFonts w:ascii="宋体" w:hAnsi="宋体" w:cs="宋体" w:eastAsia="宋体" w:hint="default"/>
                <w:spacing w:val="-38"/>
                <w:sz w:val="18"/>
                <w:szCs w:val="18"/>
              </w:rPr>
              <w:t> </w:t>
            </w:r>
            <w:r>
              <w:rPr>
                <w:rFonts w:ascii="宋体" w:hAnsi="宋体" w:cs="宋体" w:eastAsia="宋体" w:hint="default"/>
                <w:sz w:val="18"/>
                <w:szCs w:val="18"/>
              </w:rPr>
              <w:t>年度实</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现的净利润比较扣非后的净利润按照孰低原则</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0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确定分别不低于</w:t>
            </w:r>
            <w:r>
              <w:rPr>
                <w:rFonts w:ascii="宋体" w:hAnsi="宋体" w:cs="宋体" w:eastAsia="宋体" w:hint="default"/>
                <w:spacing w:val="-50"/>
                <w:sz w:val="18"/>
                <w:szCs w:val="18"/>
              </w:rPr>
              <w:t> </w:t>
            </w:r>
            <w:r>
              <w:rPr>
                <w:rFonts w:ascii="宋体" w:hAnsi="宋体" w:cs="宋体" w:eastAsia="宋体" w:hint="default"/>
                <w:sz w:val="18"/>
                <w:szCs w:val="18"/>
              </w:rPr>
              <w:t>7,500</w:t>
            </w:r>
            <w:r>
              <w:rPr>
                <w:rFonts w:ascii="宋体" w:hAnsi="宋体" w:cs="宋体" w:eastAsia="宋体" w:hint="default"/>
                <w:spacing w:val="-5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8,100</w:t>
            </w:r>
            <w:r>
              <w:rPr>
                <w:rFonts w:ascii="宋体" w:hAnsi="宋体" w:cs="宋体" w:eastAsia="宋体" w:hint="default"/>
                <w:spacing w:val="-5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8,400</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1"/>
              <w:ind w:left="20" w:right="0"/>
              <w:jc w:val="left"/>
              <w:rPr>
                <w:rFonts w:ascii="宋体" w:hAnsi="宋体" w:cs="宋体" w:eastAsia="宋体" w:hint="default"/>
                <w:sz w:val="18"/>
                <w:szCs w:val="18"/>
              </w:rPr>
            </w:pPr>
            <w:r>
              <w:rPr>
                <w:rFonts w:ascii="宋体" w:hAnsi="宋体" w:cs="宋体" w:eastAsia="宋体" w:hint="default"/>
                <w:sz w:val="18"/>
                <w:szCs w:val="18"/>
              </w:rPr>
              <w:t>任昌兆、任晶</w:t>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万元。若标的资产在</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年度无法完成交割</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154"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1"/>
              <w:ind w:left="20" w:right="0"/>
              <w:jc w:val="left"/>
              <w:rPr>
                <w:rFonts w:ascii="宋体" w:hAnsi="宋体" w:cs="宋体" w:eastAsia="宋体" w:hint="default"/>
                <w:sz w:val="18"/>
                <w:szCs w:val="18"/>
              </w:rPr>
            </w:pPr>
            <w:r>
              <w:rPr>
                <w:rFonts w:ascii="宋体" w:hAnsi="宋体" w:cs="宋体" w:eastAsia="宋体" w:hint="default"/>
                <w:spacing w:val="-6"/>
                <w:sz w:val="18"/>
                <w:szCs w:val="18"/>
              </w:rPr>
              <w:t>晶、桂长钟、李</w:t>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则索瑞电气的盈利承诺期变更为 </w:t>
            </w:r>
            <w:r>
              <w:rPr>
                <w:rFonts w:ascii="宋体" w:hAnsi="宋体" w:cs="宋体" w:eastAsia="宋体" w:hint="default"/>
                <w:sz w:val="18"/>
                <w:szCs w:val="18"/>
              </w:rPr>
              <w:t>2014</w:t>
            </w:r>
            <w:r>
              <w:rPr>
                <w:rFonts w:ascii="宋体" w:hAnsi="宋体" w:cs="宋体" w:eastAsia="宋体" w:hint="default"/>
                <w:spacing w:val="25"/>
                <w:sz w:val="18"/>
                <w:szCs w:val="18"/>
              </w:rPr>
              <w:t> </w:t>
            </w:r>
            <w:r>
              <w:rPr>
                <w:rFonts w:ascii="宋体" w:hAnsi="宋体" w:cs="宋体" w:eastAsia="宋体" w:hint="default"/>
                <w:sz w:val="18"/>
                <w:szCs w:val="18"/>
              </w:rPr>
              <w:t>年度、</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936"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316" w:lineRule="auto" w:before="1"/>
              <w:ind w:left="20" w:right="-13"/>
              <w:jc w:val="both"/>
              <w:rPr>
                <w:rFonts w:ascii="宋体" w:hAnsi="宋体" w:cs="宋体" w:eastAsia="宋体" w:hint="default"/>
                <w:sz w:val="18"/>
                <w:szCs w:val="18"/>
              </w:rPr>
            </w:pPr>
            <w:r>
              <w:rPr>
                <w:rFonts w:ascii="宋体" w:hAnsi="宋体" w:cs="宋体" w:eastAsia="宋体" w:hint="default"/>
                <w:spacing w:val="-6"/>
                <w:sz w:val="18"/>
                <w:szCs w:val="18"/>
              </w:rPr>
              <w:t>善元、周军、田</w:t>
            </w:r>
            <w:r>
              <w:rPr>
                <w:rFonts w:ascii="宋体" w:hAnsi="宋体" w:cs="宋体" w:eastAsia="宋体" w:hint="default"/>
                <w:sz w:val="18"/>
                <w:szCs w:val="18"/>
              </w:rPr>
              <w:t> 裕树、方旭东、 李强、徐光涛、</w:t>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39"/>
                <w:sz w:val="18"/>
                <w:szCs w:val="18"/>
              </w:rPr>
              <w:t> </w:t>
            </w:r>
            <w:r>
              <w:rPr>
                <w:rFonts w:ascii="宋体" w:hAnsi="宋体" w:cs="宋体" w:eastAsia="宋体" w:hint="default"/>
                <w:sz w:val="18"/>
                <w:szCs w:val="18"/>
              </w:rPr>
              <w:t>年度、</w:t>
            </w:r>
            <w:r>
              <w:rPr>
                <w:rFonts w:ascii="宋体" w:hAnsi="宋体" w:cs="宋体" w:eastAsia="宋体" w:hint="default"/>
                <w:sz w:val="18"/>
                <w:szCs w:val="18"/>
              </w:rPr>
              <w:t>2016</w:t>
            </w:r>
            <w:r>
              <w:rPr>
                <w:rFonts w:ascii="宋体" w:hAnsi="宋体" w:cs="宋体" w:eastAsia="宋体" w:hint="default"/>
                <w:spacing w:val="-39"/>
                <w:sz w:val="18"/>
                <w:szCs w:val="18"/>
              </w:rPr>
              <w:t> </w:t>
            </w:r>
            <w:r>
              <w:rPr>
                <w:rFonts w:ascii="宋体" w:hAnsi="宋体" w:cs="宋体" w:eastAsia="宋体" w:hint="default"/>
                <w:sz w:val="18"/>
                <w:szCs w:val="18"/>
              </w:rPr>
              <w:t>年度以及</w:t>
            </w:r>
            <w:r>
              <w:rPr>
                <w:rFonts w:ascii="宋体" w:hAnsi="宋体" w:cs="宋体" w:eastAsia="宋体" w:hint="default"/>
                <w:spacing w:val="-39"/>
                <w:sz w:val="18"/>
                <w:szCs w:val="18"/>
              </w:rPr>
              <w:t> </w:t>
            </w:r>
            <w:r>
              <w:rPr>
                <w:rFonts w:ascii="宋体" w:hAnsi="宋体" w:cs="宋体" w:eastAsia="宋体" w:hint="default"/>
                <w:sz w:val="18"/>
                <w:szCs w:val="18"/>
              </w:rPr>
              <w:t>2017</w:t>
            </w:r>
            <w:r>
              <w:rPr>
                <w:rFonts w:ascii="宋体" w:hAnsi="宋体" w:cs="宋体" w:eastAsia="宋体" w:hint="default"/>
                <w:spacing w:val="-39"/>
                <w:sz w:val="18"/>
                <w:szCs w:val="18"/>
              </w:rPr>
              <w:t> </w:t>
            </w:r>
            <w:r>
              <w:rPr>
                <w:rFonts w:ascii="宋体" w:hAnsi="宋体" w:cs="宋体" w:eastAsia="宋体" w:hint="default"/>
                <w:sz w:val="18"/>
                <w:szCs w:val="18"/>
              </w:rPr>
              <w:t>年度，索瑞电</w:t>
            </w:r>
          </w:p>
          <w:p>
            <w:pPr>
              <w:pStyle w:val="TableParagraph"/>
              <w:spacing w:line="316" w:lineRule="auto" w:before="76"/>
              <w:ind w:left="7" w:right="18"/>
              <w:jc w:val="left"/>
              <w:rPr>
                <w:rFonts w:ascii="宋体" w:hAnsi="宋体" w:cs="宋体" w:eastAsia="宋体" w:hint="default"/>
                <w:sz w:val="18"/>
                <w:szCs w:val="18"/>
              </w:rPr>
            </w:pPr>
            <w:r>
              <w:rPr>
                <w:rFonts w:ascii="宋体" w:hAnsi="宋体" w:cs="宋体" w:eastAsia="宋体" w:hint="default"/>
                <w:sz w:val="18"/>
                <w:szCs w:val="18"/>
              </w:rPr>
              <w:t>气</w:t>
            </w:r>
            <w:r>
              <w:rPr>
                <w:rFonts w:ascii="宋体" w:hAnsi="宋体" w:cs="宋体" w:eastAsia="宋体" w:hint="default"/>
                <w:spacing w:val="-49"/>
                <w:sz w:val="18"/>
                <w:szCs w:val="18"/>
              </w:rPr>
              <w:t> </w:t>
            </w:r>
            <w:r>
              <w:rPr>
                <w:rFonts w:ascii="宋体" w:hAnsi="宋体" w:cs="宋体" w:eastAsia="宋体" w:hint="default"/>
                <w:sz w:val="18"/>
                <w:szCs w:val="18"/>
              </w:rPr>
              <w:t>2014</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2016</w:t>
            </w:r>
            <w:r>
              <w:rPr>
                <w:rFonts w:ascii="宋体" w:hAnsi="宋体" w:cs="宋体" w:eastAsia="宋体" w:hint="default"/>
                <w:spacing w:val="-49"/>
                <w:sz w:val="18"/>
                <w:szCs w:val="18"/>
              </w:rPr>
              <w:t> </w:t>
            </w:r>
            <w:r>
              <w:rPr>
                <w:rFonts w:ascii="宋体" w:hAnsi="宋体" w:cs="宋体" w:eastAsia="宋体" w:hint="default"/>
                <w:sz w:val="18"/>
                <w:szCs w:val="18"/>
              </w:rPr>
              <w:t>年度以及</w:t>
            </w:r>
            <w:r>
              <w:rPr>
                <w:rFonts w:ascii="宋体" w:hAnsi="宋体" w:cs="宋体" w:eastAsia="宋体" w:hint="default"/>
                <w:spacing w:val="-49"/>
                <w:sz w:val="18"/>
                <w:szCs w:val="18"/>
              </w:rPr>
              <w:t> </w:t>
            </w:r>
            <w:r>
              <w:rPr>
                <w:rFonts w:ascii="宋体" w:hAnsi="宋体" w:cs="宋体" w:eastAsia="宋体" w:hint="default"/>
                <w:sz w:val="18"/>
                <w:szCs w:val="18"/>
              </w:rPr>
              <w:t>2017 </w:t>
            </w:r>
            <w:r>
              <w:rPr>
                <w:rFonts w:ascii="宋体" w:hAnsi="宋体" w:cs="宋体" w:eastAsia="宋体" w:hint="default"/>
                <w:sz w:val="18"/>
                <w:szCs w:val="18"/>
              </w:rPr>
              <w:t>年度实现的净利润比较扣非后的净利润按照孰</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57"/>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before="157"/>
              <w:ind w:left="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3"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1"/>
              <w:ind w:left="20" w:right="0"/>
              <w:jc w:val="left"/>
              <w:rPr>
                <w:rFonts w:ascii="宋体" w:hAnsi="宋体" w:cs="宋体" w:eastAsia="宋体" w:hint="default"/>
                <w:sz w:val="18"/>
                <w:szCs w:val="18"/>
              </w:rPr>
            </w:pPr>
            <w:r>
              <w:rPr>
                <w:rFonts w:ascii="宋体" w:hAnsi="宋体" w:cs="宋体" w:eastAsia="宋体" w:hint="default"/>
                <w:sz w:val="18"/>
                <w:szCs w:val="18"/>
              </w:rPr>
              <w:t>湖北乾瀚投资</w:t>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低原则确定分别不低于 </w:t>
            </w:r>
            <w:r>
              <w:rPr>
                <w:rFonts w:ascii="宋体" w:hAnsi="宋体" w:cs="宋体" w:eastAsia="宋体" w:hint="default"/>
                <w:sz w:val="18"/>
                <w:szCs w:val="18"/>
              </w:rPr>
              <w:t>7,500 </w:t>
            </w:r>
            <w:r>
              <w:rPr>
                <w:rFonts w:ascii="宋体" w:hAnsi="宋体" w:cs="宋体" w:eastAsia="宋体" w:hint="default"/>
                <w:sz w:val="18"/>
                <w:szCs w:val="18"/>
              </w:rPr>
              <w:t>万元、</w:t>
            </w:r>
            <w:r>
              <w:rPr>
                <w:rFonts w:ascii="宋体" w:hAnsi="宋体" w:cs="宋体" w:eastAsia="宋体" w:hint="default"/>
                <w:sz w:val="18"/>
                <w:szCs w:val="18"/>
              </w:rPr>
              <w:t>8,100</w:t>
            </w:r>
            <w:r>
              <w:rPr>
                <w:rFonts w:ascii="宋体" w:hAnsi="宋体" w:cs="宋体" w:eastAsia="宋体" w:hint="default"/>
                <w:spacing w:val="-62"/>
                <w:sz w:val="18"/>
                <w:szCs w:val="18"/>
              </w:rPr>
              <w:t> </w:t>
            </w:r>
            <w:r>
              <w:rPr>
                <w:rFonts w:ascii="宋体" w:hAnsi="宋体" w:cs="宋体" w:eastAsia="宋体" w:hint="default"/>
                <w:sz w:val="18"/>
                <w:szCs w:val="18"/>
              </w:rPr>
              <w:t>万</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21"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1"/>
              <w:ind w:left="2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9"/>
              <w:ind w:left="7"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8,400</w:t>
            </w:r>
            <w:r>
              <w:rPr>
                <w:rFonts w:ascii="宋体" w:hAnsi="宋体" w:cs="宋体" w:eastAsia="宋体" w:hint="default"/>
                <w:spacing w:val="-52"/>
                <w:sz w:val="18"/>
                <w:szCs w:val="18"/>
              </w:rPr>
              <w:t> </w:t>
            </w:r>
            <w:r>
              <w:rPr>
                <w:rFonts w:ascii="宋体" w:hAnsi="宋体" w:cs="宋体" w:eastAsia="宋体" w:hint="default"/>
                <w:sz w:val="18"/>
                <w:szCs w:val="18"/>
              </w:rPr>
              <w:t>万元以及</w:t>
            </w:r>
            <w:r>
              <w:rPr>
                <w:rFonts w:ascii="宋体" w:hAnsi="宋体" w:cs="宋体" w:eastAsia="宋体" w:hint="default"/>
                <w:spacing w:val="-52"/>
                <w:sz w:val="18"/>
                <w:szCs w:val="18"/>
              </w:rPr>
              <w:t> </w:t>
            </w:r>
            <w:r>
              <w:rPr>
                <w:rFonts w:ascii="宋体" w:hAnsi="宋体" w:cs="宋体" w:eastAsia="宋体" w:hint="default"/>
                <w:sz w:val="18"/>
                <w:szCs w:val="18"/>
              </w:rPr>
              <w:t>8,700</w:t>
            </w:r>
            <w:r>
              <w:rPr>
                <w:rFonts w:ascii="宋体" w:hAnsi="宋体" w:cs="宋体" w:eastAsia="宋体" w:hint="default"/>
                <w:spacing w:val="-52"/>
                <w:sz w:val="18"/>
                <w:szCs w:val="18"/>
              </w:rPr>
              <w:t> </w:t>
            </w:r>
            <w:r>
              <w:rPr>
                <w:rFonts w:ascii="宋体" w:hAnsi="宋体" w:cs="宋体" w:eastAsia="宋体" w:hint="default"/>
                <w:sz w:val="18"/>
                <w:szCs w:val="18"/>
              </w:rPr>
              <w:t>万元。</w:t>
            </w:r>
            <w:r>
              <w:rPr>
                <w:rFonts w:ascii="宋体" w:hAnsi="宋体" w:cs="宋体" w:eastAsia="宋体" w:hint="default"/>
                <w:sz w:val="18"/>
                <w:szCs w:val="18"/>
              </w:rPr>
              <w:t>1</w:t>
            </w:r>
            <w:r>
              <w:rPr>
                <w:rFonts w:ascii="宋体" w:hAnsi="宋体" w:cs="宋体" w:eastAsia="宋体" w:hint="default"/>
                <w:sz w:val="18"/>
                <w:szCs w:val="18"/>
              </w:rPr>
              <w:t>、对盈利承</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诺的补偿如索瑞电气在盈利承诺期内未能实现</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承诺净利润，则盈利承诺补偿义务人应在盈利</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承诺期内各年度《专项审核报告》在指定媒体</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披露后的十个工作日内，</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当期的补偿金额按照如下方式计算：当期应补</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pacing w:val="-3"/>
                <w:sz w:val="18"/>
                <w:szCs w:val="18"/>
              </w:rPr>
              <w:t>偿金额</w:t>
            </w:r>
            <w:r>
              <w:rPr>
                <w:rFonts w:ascii="宋体" w:hAnsi="宋体" w:cs="宋体" w:eastAsia="宋体" w:hint="default"/>
                <w:spacing w:val="-3"/>
                <w:sz w:val="18"/>
                <w:szCs w:val="18"/>
              </w:rPr>
              <w:t>=</w:t>
            </w:r>
            <w:r>
              <w:rPr>
                <w:rFonts w:ascii="宋体" w:hAnsi="宋体" w:cs="宋体" w:eastAsia="宋体" w:hint="default"/>
                <w:spacing w:val="-3"/>
                <w:sz w:val="18"/>
                <w:szCs w:val="18"/>
              </w:rPr>
              <w:t>（截至当期期末累计承诺净利润数－截</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至当期期末累计实际实现净利润数）÷盈利承</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844" w:type="dxa"/>
            <w:vMerge/>
            <w:tcBorders>
              <w:left w:val="single" w:sz="12" w:space="0" w:color="000000"/>
              <w:bottom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single" w:sz="12" w:space="0" w:color="000000"/>
              <w:right w:val="single" w:sz="9" w:space="0" w:color="FFFFFF"/>
            </w:tcBorders>
          </w:tcPr>
          <w:p>
            <w:pPr/>
          </w:p>
        </w:tc>
        <w:tc>
          <w:tcPr>
            <w:tcW w:w="3675" w:type="dxa"/>
            <w:tcBorders>
              <w:top w:val="nil" w:sz="6" w:space="0" w:color="auto"/>
              <w:left w:val="single" w:sz="9" w:space="0" w:color="FFFFFF"/>
              <w:bottom w:val="single" w:sz="12"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诺期内各年度承诺净利润之和×本次交易的总</w:t>
            </w:r>
          </w:p>
        </w:tc>
        <w:tc>
          <w:tcPr>
            <w:tcW w:w="994" w:type="dxa"/>
            <w:tcBorders>
              <w:top w:val="nil" w:sz="6" w:space="0" w:color="auto"/>
              <w:left w:val="single" w:sz="6" w:space="0" w:color="000000"/>
              <w:bottom w:val="single" w:sz="12" w:space="0" w:color="000000"/>
              <w:right w:val="single" w:sz="6" w:space="0" w:color="000000"/>
            </w:tcBorders>
          </w:tcPr>
          <w:p>
            <w:pPr/>
          </w:p>
        </w:tc>
        <w:tc>
          <w:tcPr>
            <w:tcW w:w="850" w:type="dxa"/>
            <w:tcBorders>
              <w:top w:val="nil" w:sz="6" w:space="0" w:color="auto"/>
              <w:left w:val="single" w:sz="6" w:space="0" w:color="000000"/>
              <w:bottom w:val="single" w:sz="12" w:space="0" w:color="000000"/>
              <w:right w:val="single" w:sz="6" w:space="0" w:color="000000"/>
            </w:tcBorders>
          </w:tcPr>
          <w:p>
            <w:pPr/>
          </w:p>
        </w:tc>
        <w:tc>
          <w:tcPr>
            <w:tcW w:w="920"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97.299988pt;margin-top:73.499985pt;width:49pt;height:686.5pt;mso-position-horizontal-relative:page;mso-position-vertical-relative:page;z-index:-913696" coordorigin="7946,1470" coordsize="980,13730">
            <v:shape style="position:absolute;left:7946;top:1470;width:980;height:13730" coordorigin="7946,1470" coordsize="980,13730" path="m7946,15199l8926,15199,8926,1470,7946,1470,7946,15199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276"/>
        <w:gridCol w:w="3686"/>
        <w:gridCol w:w="994"/>
        <w:gridCol w:w="850"/>
        <w:gridCol w:w="920"/>
      </w:tblGrid>
      <w:tr>
        <w:trPr>
          <w:trHeight w:val="327" w:hRule="exact"/>
        </w:trPr>
        <w:tc>
          <w:tcPr>
            <w:tcW w:w="1844" w:type="dxa"/>
            <w:vMerge w:val="restart"/>
            <w:tcBorders>
              <w:top w:val="single" w:sz="12" w:space="0" w:color="000000"/>
              <w:left w:val="single" w:sz="12" w:space="0" w:color="000000"/>
              <w:right w:val="single" w:sz="6" w:space="0" w:color="000000"/>
            </w:tcBorders>
            <w:shd w:val="clear" w:color="auto" w:fill="D2D2D2"/>
          </w:tcPr>
          <w:p>
            <w:pPr/>
          </w:p>
        </w:tc>
        <w:tc>
          <w:tcPr>
            <w:tcW w:w="1276" w:type="dxa"/>
            <w:vMerge w:val="restart"/>
            <w:tcBorders>
              <w:top w:val="single" w:sz="12" w:space="0" w:color="000000"/>
              <w:left w:val="single" w:sz="6" w:space="0" w:color="000000"/>
              <w:right w:val="single" w:sz="6" w:space="0" w:color="000000"/>
            </w:tcBorders>
          </w:tcPr>
          <w:p>
            <w:pPr/>
          </w:p>
        </w:tc>
        <w:tc>
          <w:tcPr>
            <w:tcW w:w="368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对价－已补偿金额。如索瑞电气在承诺期内未</w:t>
            </w:r>
          </w:p>
        </w:tc>
        <w:tc>
          <w:tcPr>
            <w:tcW w:w="994" w:type="dxa"/>
            <w:tcBorders>
              <w:top w:val="single" w:sz="12" w:space="0" w:color="000000"/>
              <w:left w:val="single" w:sz="6" w:space="0" w:color="000000"/>
              <w:bottom w:val="nil" w:sz="6" w:space="0" w:color="auto"/>
              <w:right w:val="single" w:sz="6" w:space="0" w:color="000000"/>
            </w:tcBorders>
          </w:tcPr>
          <w:p>
            <w:pPr/>
          </w:p>
        </w:tc>
        <w:tc>
          <w:tcPr>
            <w:tcW w:w="850" w:type="dxa"/>
            <w:vMerge w:val="restart"/>
            <w:tcBorders>
              <w:top w:val="single" w:sz="12" w:space="0" w:color="000000"/>
              <w:left w:val="single" w:sz="6" w:space="0" w:color="000000"/>
              <w:right w:val="single" w:sz="6" w:space="0" w:color="000000"/>
            </w:tcBorders>
          </w:tcPr>
          <w:p>
            <w:pPr/>
          </w:p>
        </w:tc>
        <w:tc>
          <w:tcPr>
            <w:tcW w:w="920" w:type="dxa"/>
            <w:vMerge w:val="restart"/>
            <w:tcBorders>
              <w:top w:val="single" w:sz="12" w:space="0" w:color="000000"/>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能实现承诺净利润，则盈利承诺补偿义务人应</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以当年应补偿金额为基数按照其在本次交易中</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所获对价占盈利承诺补偿义务人本次交易所获</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交易对价总额的比例确定其单方应补偿金额。</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承诺期内，索瑞电气累计未实现利润在 </w:t>
            </w:r>
            <w:r>
              <w:rPr>
                <w:rFonts w:ascii="宋体" w:hAnsi="宋体" w:cs="宋体" w:eastAsia="宋体" w:hint="default"/>
                <w:sz w:val="18"/>
                <w:szCs w:val="18"/>
              </w:rPr>
              <w:t>300</w:t>
            </w:r>
            <w:r>
              <w:rPr>
                <w:rFonts w:ascii="宋体" w:hAnsi="宋体" w:cs="宋体" w:eastAsia="宋体" w:hint="default"/>
                <w:spacing w:val="-60"/>
                <w:sz w:val="18"/>
                <w:szCs w:val="18"/>
              </w:rPr>
              <w:t> </w:t>
            </w:r>
            <w:r>
              <w:rPr>
                <w:rFonts w:ascii="宋体" w:hAnsi="宋体" w:cs="宋体" w:eastAsia="宋体" w:hint="default"/>
                <w:sz w:val="18"/>
                <w:szCs w:val="18"/>
              </w:rPr>
              <w:t>万</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元以下</w:t>
            </w:r>
            <w:r>
              <w:rPr>
                <w:rFonts w:ascii="宋体" w:hAnsi="宋体" w:cs="宋体" w:eastAsia="宋体" w:hint="default"/>
                <w:spacing w:val="-31"/>
                <w:sz w:val="18"/>
                <w:szCs w:val="18"/>
              </w:rPr>
              <w:t>的</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万元整</w:t>
            </w:r>
            <w:r>
              <w:rPr>
                <w:rFonts w:ascii="宋体" w:hAnsi="宋体" w:cs="宋体" w:eastAsia="宋体" w:hint="default"/>
                <w:spacing w:val="-90"/>
                <w:sz w:val="18"/>
                <w:szCs w:val="18"/>
              </w:rPr>
              <w:t>）</w:t>
            </w:r>
            <w:r>
              <w:rPr>
                <w:rFonts w:ascii="宋体" w:hAnsi="宋体" w:cs="宋体" w:eastAsia="宋体" w:hint="default"/>
                <w:spacing w:val="-31"/>
                <w:sz w:val="18"/>
                <w:szCs w:val="18"/>
              </w:rPr>
              <w:t>，</w:t>
            </w:r>
            <w:r>
              <w:rPr>
                <w:rFonts w:ascii="宋体" w:hAnsi="宋体" w:cs="宋体" w:eastAsia="宋体" w:hint="default"/>
                <w:sz w:val="18"/>
                <w:szCs w:val="18"/>
              </w:rPr>
              <w:t>盈利承诺补偿义务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人用现金进行补偿，累计未实现利润超过</w:t>
            </w:r>
            <w:r>
              <w:rPr>
                <w:rFonts w:ascii="宋体" w:hAnsi="宋体" w:cs="宋体" w:eastAsia="宋体" w:hint="default"/>
                <w:spacing w:val="26"/>
                <w:sz w:val="18"/>
                <w:szCs w:val="18"/>
              </w:rPr>
              <w:t> </w:t>
            </w:r>
            <w:r>
              <w:rPr>
                <w:rFonts w:ascii="宋体" w:hAnsi="宋体" w:cs="宋体" w:eastAsia="宋体" w:hint="default"/>
                <w:sz w:val="18"/>
                <w:szCs w:val="18"/>
              </w:rPr>
              <w:t>300</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万元且盈利承诺补偿义务人所获得股份对价不</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足补偿时，各盈利承诺补偿义务人用现金进行</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补偿。以股份方式补偿的具体补偿方式如下：</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当期应补偿股份数量</w:t>
            </w:r>
            <w:r>
              <w:rPr>
                <w:rFonts w:ascii="宋体" w:hAnsi="宋体" w:cs="宋体" w:eastAsia="宋体" w:hint="default"/>
                <w:sz w:val="18"/>
                <w:szCs w:val="18"/>
              </w:rPr>
              <w:t>=</w:t>
            </w:r>
            <w:r>
              <w:rPr>
                <w:rFonts w:ascii="宋体" w:hAnsi="宋体" w:cs="宋体" w:eastAsia="宋体" w:hint="default"/>
                <w:sz w:val="18"/>
                <w:szCs w:val="18"/>
              </w:rPr>
              <w:t>当期应补偿金额</w:t>
            </w:r>
            <w:r>
              <w:rPr>
                <w:rFonts w:ascii="宋体" w:hAnsi="宋体" w:cs="宋体" w:eastAsia="宋体" w:hint="default"/>
                <w:sz w:val="18"/>
                <w:szCs w:val="18"/>
              </w:rPr>
              <w:t>/</w:t>
            </w:r>
            <w:r>
              <w:rPr>
                <w:rFonts w:ascii="宋体" w:hAnsi="宋体" w:cs="宋体" w:eastAsia="宋体" w:hint="default"/>
                <w:sz w:val="18"/>
                <w:szCs w:val="18"/>
              </w:rPr>
              <w:t>本次发</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行股份的价格。光一科技在承诺期内实施资本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公积金转增股本或分配股票股利的，则应补偿</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股份数量相应调整为</w:t>
            </w:r>
            <w:r>
              <w:rPr>
                <w:rFonts w:ascii="宋体" w:hAnsi="宋体" w:cs="宋体" w:eastAsia="宋体" w:hint="default"/>
                <w:spacing w:val="-76"/>
                <w:sz w:val="18"/>
                <w:szCs w:val="18"/>
              </w:rPr>
              <w:t>：</w:t>
            </w:r>
            <w:r>
              <w:rPr>
                <w:rFonts w:ascii="宋体" w:hAnsi="宋体" w:cs="宋体" w:eastAsia="宋体" w:hint="default"/>
                <w:sz w:val="18"/>
                <w:szCs w:val="18"/>
              </w:rPr>
              <w:t>当期应补偿股份数</w:t>
            </w:r>
            <w:r>
              <w:rPr>
                <w:rFonts w:ascii="宋体" w:hAnsi="宋体" w:cs="宋体" w:eastAsia="宋体" w:hint="default"/>
                <w:spacing w:val="-76"/>
                <w:sz w:val="18"/>
                <w:szCs w:val="18"/>
              </w:rPr>
              <w:t>量</w:t>
            </w:r>
            <w:r>
              <w:rPr>
                <w:rFonts w:ascii="宋体" w:hAnsi="宋体" w:cs="宋体" w:eastAsia="宋体" w:hint="default"/>
                <w:sz w:val="18"/>
                <w:szCs w:val="18"/>
              </w:rPr>
              <w:t>（调</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整后）</w:t>
            </w:r>
            <w:r>
              <w:rPr>
                <w:rFonts w:ascii="宋体" w:hAnsi="宋体" w:cs="宋体" w:eastAsia="宋体" w:hint="default"/>
                <w:sz w:val="18"/>
                <w:szCs w:val="18"/>
              </w:rPr>
              <w:t>=</w:t>
            </w:r>
            <w:r>
              <w:rPr>
                <w:rFonts w:ascii="宋体" w:hAnsi="宋体" w:cs="宋体" w:eastAsia="宋体" w:hint="default"/>
                <w:sz w:val="18"/>
                <w:szCs w:val="18"/>
              </w:rPr>
              <w:t>当期应补偿股份数（调整前）×（</w:t>
            </w:r>
            <w:r>
              <w:rPr>
                <w:rFonts w:ascii="宋体" w:hAnsi="宋体" w:cs="宋体" w:eastAsia="宋体" w:hint="default"/>
                <w:sz w:val="18"/>
                <w:szCs w:val="18"/>
              </w:rPr>
              <w:t>1</w:t>
            </w:r>
            <w:r>
              <w:rPr>
                <w:rFonts w:ascii="宋体" w:hAnsi="宋体" w:cs="宋体" w:eastAsia="宋体" w:hint="default"/>
                <w:sz w:val="18"/>
                <w:szCs w:val="18"/>
              </w:rPr>
              <w:t>＋</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转增或送股比例</w:t>
            </w:r>
            <w:r>
              <w:rPr>
                <w:rFonts w:ascii="宋体" w:hAnsi="宋体" w:cs="宋体" w:eastAsia="宋体" w:hint="default"/>
                <w:spacing w:val="-90"/>
                <w:sz w:val="18"/>
                <w:szCs w:val="18"/>
              </w:rPr>
              <w:t>）</w:t>
            </w:r>
            <w:r>
              <w:rPr>
                <w:rFonts w:ascii="宋体" w:hAnsi="宋体" w:cs="宋体" w:eastAsia="宋体" w:hint="default"/>
                <w:spacing w:val="-62"/>
                <w:sz w:val="18"/>
                <w:szCs w:val="18"/>
              </w:rPr>
              <w:t>。</w:t>
            </w:r>
            <w:r>
              <w:rPr>
                <w:rFonts w:ascii="宋体" w:hAnsi="宋体" w:cs="宋体" w:eastAsia="宋体" w:hint="default"/>
                <w:sz w:val="18"/>
                <w:szCs w:val="18"/>
              </w:rPr>
              <w:t>交易对方在盈利承诺期内已</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分得的现金股利应作相应返还，计算公式为：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5"/>
                <w:sz w:val="18"/>
                <w:szCs w:val="18"/>
              </w:rPr>
              <w:t>返还金额</w:t>
            </w:r>
            <w:r>
              <w:rPr>
                <w:rFonts w:ascii="宋体" w:hAnsi="宋体" w:cs="宋体" w:eastAsia="宋体" w:hint="default"/>
                <w:spacing w:val="5"/>
                <w:sz w:val="18"/>
                <w:szCs w:val="18"/>
              </w:rPr>
              <w:t>=</w:t>
            </w:r>
            <w:r>
              <w:rPr>
                <w:rFonts w:ascii="宋体" w:hAnsi="宋体" w:cs="宋体" w:eastAsia="宋体" w:hint="default"/>
                <w:spacing w:val="5"/>
                <w:sz w:val="18"/>
                <w:szCs w:val="18"/>
              </w:rPr>
              <w:t>截至补偿前每股已获得的现金股利</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（以税后金额为准）×当期应补偿股份数量。</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盈利承诺补偿义务人应按照协议的约定，当期</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应补偿的股份，由光一科技董事会负责办理光</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一科技以总价 </w:t>
            </w:r>
            <w:r>
              <w:rPr>
                <w:rFonts w:ascii="宋体" w:hAnsi="宋体" w:cs="宋体" w:eastAsia="宋体" w:hint="default"/>
                <w:sz w:val="18"/>
                <w:szCs w:val="18"/>
              </w:rPr>
              <w:t>1.00</w:t>
            </w:r>
            <w:r>
              <w:rPr>
                <w:rFonts w:ascii="宋体" w:hAnsi="宋体" w:cs="宋体" w:eastAsia="宋体" w:hint="default"/>
                <w:spacing w:val="24"/>
                <w:sz w:val="18"/>
                <w:szCs w:val="18"/>
              </w:rPr>
              <w:t> </w:t>
            </w:r>
            <w:r>
              <w:rPr>
                <w:rFonts w:ascii="宋体" w:hAnsi="宋体" w:cs="宋体" w:eastAsia="宋体" w:hint="default"/>
                <w:sz w:val="18"/>
                <w:szCs w:val="18"/>
              </w:rPr>
              <w:t>元的价格向盈利承诺补偿</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义务人定向回购并注销当期应补偿的股份的具</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体手续。若光一科技上述应补偿股份回购并注</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销事宜因未获得股东大会审议通过或因未获得</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相关债权人认可等原因而无法实施的，则盈利</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承诺补偿义务人承诺在上述情形发生后的 </w:t>
            </w:r>
            <w:r>
              <w:rPr>
                <w:rFonts w:ascii="宋体" w:hAnsi="宋体" w:cs="宋体" w:eastAsia="宋体" w:hint="default"/>
                <w:sz w:val="18"/>
                <w:szCs w:val="18"/>
              </w:rPr>
              <w:t>2</w:t>
            </w:r>
            <w:r>
              <w:rPr>
                <w:rFonts w:ascii="宋体" w:hAnsi="宋体" w:cs="宋体" w:eastAsia="宋体" w:hint="default"/>
                <w:spacing w:val="-60"/>
                <w:sz w:val="18"/>
                <w:szCs w:val="18"/>
              </w:rPr>
              <w:t> </w:t>
            </w:r>
            <w:r>
              <w:rPr>
                <w:rFonts w:ascii="宋体" w:hAnsi="宋体" w:cs="宋体" w:eastAsia="宋体" w:hint="default"/>
                <w:sz w:val="18"/>
                <w:szCs w:val="18"/>
              </w:rPr>
              <w:t>个</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月内，将该等股份按照本次补偿的股权登记日</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在册的上市公司其他股东各自所持上市公司股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份占上市公司其他股东所持全部上市公司股份</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的比例赠送给上市公司其他股东。在各年计算</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的应补偿金额少于或等于</w:t>
            </w:r>
            <w:r>
              <w:rPr>
                <w:rFonts w:ascii="宋体" w:hAnsi="宋体" w:cs="宋体" w:eastAsia="宋体" w:hint="default"/>
                <w:spacing w:val="-38"/>
                <w:sz w:val="18"/>
                <w:szCs w:val="18"/>
              </w:rPr>
              <w:t> </w:t>
            </w:r>
            <w:r>
              <w:rPr>
                <w:rFonts w:ascii="宋体" w:hAnsi="宋体" w:cs="宋体" w:eastAsia="宋体" w:hint="default"/>
                <w:sz w:val="18"/>
                <w:szCs w:val="18"/>
              </w:rPr>
              <w:t>0</w:t>
            </w:r>
            <w:r>
              <w:rPr>
                <w:rFonts w:ascii="宋体" w:hAnsi="宋体" w:cs="宋体" w:eastAsia="宋体" w:hint="default"/>
                <w:spacing w:val="-40"/>
                <w:sz w:val="18"/>
                <w:szCs w:val="18"/>
              </w:rPr>
              <w:t> </w:t>
            </w:r>
            <w:r>
              <w:rPr>
                <w:rFonts w:ascii="宋体" w:hAnsi="宋体" w:cs="宋体" w:eastAsia="宋体" w:hint="default"/>
                <w:sz w:val="18"/>
                <w:szCs w:val="18"/>
              </w:rPr>
              <w:t>时，按</w:t>
            </w:r>
            <w:r>
              <w:rPr>
                <w:rFonts w:ascii="宋体" w:hAnsi="宋体" w:cs="宋体" w:eastAsia="宋体" w:hint="default"/>
                <w:spacing w:val="-39"/>
                <w:sz w:val="18"/>
                <w:szCs w:val="18"/>
              </w:rPr>
              <w:t> </w:t>
            </w:r>
            <w:r>
              <w:rPr>
                <w:rFonts w:ascii="宋体" w:hAnsi="宋体" w:cs="宋体" w:eastAsia="宋体" w:hint="default"/>
                <w:sz w:val="18"/>
                <w:szCs w:val="18"/>
              </w:rPr>
              <w:t>0</w:t>
            </w:r>
            <w:r>
              <w:rPr>
                <w:rFonts w:ascii="宋体" w:hAnsi="宋体" w:cs="宋体" w:eastAsia="宋体" w:hint="default"/>
                <w:spacing w:val="-39"/>
                <w:sz w:val="18"/>
                <w:szCs w:val="18"/>
              </w:rPr>
              <w:t> </w:t>
            </w:r>
            <w:r>
              <w:rPr>
                <w:rFonts w:ascii="宋体" w:hAnsi="宋体" w:cs="宋体" w:eastAsia="宋体" w:hint="default"/>
                <w:sz w:val="18"/>
                <w:szCs w:val="18"/>
              </w:rPr>
              <w:t>取值，即</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已经补偿的金额不冲回。计算结果如出现小数</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的，应舍去取整。无论如何，盈利承诺补偿义</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务人向光一科技支付的补偿总额不超过盈利承</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0"/>
                <w:sz w:val="18"/>
                <w:szCs w:val="18"/>
              </w:rPr>
              <w:t>诺补偿义务人取得的股份对价和现金对价之</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和。</w:t>
            </w:r>
            <w:r>
              <w:rPr>
                <w:rFonts w:ascii="宋体" w:hAnsi="宋体" w:cs="宋体" w:eastAsia="宋体" w:hint="default"/>
                <w:spacing w:val="-3"/>
                <w:sz w:val="18"/>
                <w:szCs w:val="18"/>
              </w:rPr>
              <w:t>2</w:t>
            </w:r>
            <w:r>
              <w:rPr>
                <w:rFonts w:ascii="宋体" w:hAnsi="宋体" w:cs="宋体" w:eastAsia="宋体" w:hint="default"/>
                <w:spacing w:val="-3"/>
                <w:sz w:val="18"/>
                <w:szCs w:val="18"/>
              </w:rPr>
              <w:t>、减值测试及补偿在盈利承诺期届满后四</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个月内，光一科技聘请具有证券、期货业务资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格的会计师事务所对光一科技购买的标的股权</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进行减值测试，并出具《减值测试报告</w:t>
            </w:r>
            <w:r>
              <w:rPr>
                <w:rFonts w:ascii="宋体" w:hAnsi="宋体" w:cs="宋体" w:eastAsia="宋体" w:hint="default"/>
                <w:spacing w:val="-90"/>
                <w:sz w:val="18"/>
                <w:szCs w:val="18"/>
              </w:rPr>
              <w:t>》</w:t>
            </w:r>
            <w:r>
              <w:rPr>
                <w:rFonts w:ascii="宋体" w:hAnsi="宋体" w:cs="宋体" w:eastAsia="宋体" w:hint="default"/>
                <w:sz w:val="18"/>
                <w:szCs w:val="18"/>
              </w:rPr>
              <w:t>。如</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54"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5"/>
                <w:sz w:val="18"/>
                <w:szCs w:val="18"/>
              </w:rPr>
              <w:t>标的股权期末减值额</w:t>
            </w:r>
            <w:r>
              <w:rPr>
                <w:rFonts w:ascii="宋体" w:hAnsi="宋体" w:cs="宋体" w:eastAsia="宋体" w:hint="default"/>
                <w:spacing w:val="5"/>
                <w:sz w:val="18"/>
                <w:szCs w:val="18"/>
              </w:rPr>
              <w:t>&gt;</w:t>
            </w:r>
            <w:r>
              <w:rPr>
                <w:rFonts w:ascii="宋体" w:hAnsi="宋体" w:cs="宋体" w:eastAsia="宋体" w:hint="default"/>
                <w:spacing w:val="5"/>
                <w:sz w:val="18"/>
                <w:szCs w:val="18"/>
              </w:rPr>
              <w:t>盈利承诺期内已补偿股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份总数×本次发行股份价格＋盈利承诺期内已</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27" w:hRule="exact"/>
        </w:trPr>
        <w:tc>
          <w:tcPr>
            <w:tcW w:w="1844" w:type="dxa"/>
            <w:vMerge/>
            <w:tcBorders>
              <w:left w:val="single" w:sz="12" w:space="0" w:color="000000"/>
              <w:bottom w:val="single" w:sz="12" w:space="0" w:color="000000"/>
              <w:right w:val="single" w:sz="6" w:space="0" w:color="000000"/>
            </w:tcBorders>
            <w:shd w:val="clear" w:color="auto" w:fill="D2D2D2"/>
          </w:tcPr>
          <w:p>
            <w:pPr/>
          </w:p>
        </w:tc>
        <w:tc>
          <w:tcPr>
            <w:tcW w:w="1276" w:type="dxa"/>
            <w:vMerge/>
            <w:tcBorders>
              <w:left w:val="single" w:sz="6" w:space="0" w:color="000000"/>
              <w:bottom w:val="single" w:sz="12" w:space="0" w:color="000000"/>
              <w:right w:val="single" w:sz="6" w:space="0" w:color="000000"/>
            </w:tcBorders>
          </w:tcPr>
          <w:p>
            <w:pPr/>
          </w:p>
        </w:tc>
        <w:tc>
          <w:tcPr>
            <w:tcW w:w="368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补偿现金，则盈利承诺补偿义务人对光一科技</w:t>
            </w:r>
          </w:p>
        </w:tc>
        <w:tc>
          <w:tcPr>
            <w:tcW w:w="994" w:type="dxa"/>
            <w:tcBorders>
              <w:top w:val="nil" w:sz="6" w:space="0" w:color="auto"/>
              <w:left w:val="single" w:sz="6" w:space="0" w:color="000000"/>
              <w:bottom w:val="single" w:sz="12" w:space="0" w:color="000000"/>
              <w:right w:val="single" w:sz="6" w:space="0" w:color="000000"/>
            </w:tcBorders>
          </w:tcPr>
          <w:p>
            <w:pPr/>
          </w:p>
        </w:tc>
        <w:tc>
          <w:tcPr>
            <w:tcW w:w="850" w:type="dxa"/>
            <w:vMerge/>
            <w:tcBorders>
              <w:left w:val="single" w:sz="6" w:space="0" w:color="000000"/>
              <w:bottom w:val="single" w:sz="12" w:space="0" w:color="000000"/>
              <w:right w:val="single" w:sz="6" w:space="0" w:color="000000"/>
            </w:tcBorders>
          </w:tcPr>
          <w:p>
            <w:pPr/>
          </w:p>
        </w:tc>
        <w:tc>
          <w:tcPr>
            <w:tcW w:w="920" w:type="dxa"/>
            <w:vMerge/>
            <w:tcBorders>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73.040009pt;margin-top:169.87999pt;width:73.25pt;height:273.05pt;mso-position-horizontal-relative:page;mso-position-vertical-relative:page;z-index:-913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查封、</w:t>
                  </w:r>
                </w:p>
              </w:txbxContent>
            </v:textbox>
            <w10:wrap type="none"/>
          </v:shape>
        </w:pict>
      </w:r>
      <w:r>
        <w:rPr/>
        <w:pict>
          <v:shape style="position:absolute;margin-left:382.031006pt;margin-top:478.059998pt;width:64.25pt;height:273.05pt;mso-position-horizontal-relative:page;mso-position-vertical-relative:page;z-index:-913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员、</w:t>
                  </w:r>
                </w:p>
              </w:txbxContent>
            </v:textbox>
            <w10:wrap type="none"/>
          </v:shape>
        </w:pict>
      </w:r>
      <w:r>
        <w:rPr/>
        <w:pict>
          <v:group style="position:absolute;margin-left:397.299988pt;margin-top:169.87999pt;width:49pt;height:273.05pt;mso-position-horizontal-relative:page;mso-position-vertical-relative:page;z-index:-913624" coordorigin="7946,3398" coordsize="980,5461">
            <v:shape style="position:absolute;left:7946;top:3398;width:980;height:5461" coordorigin="7946,3398" coordsize="980,5461" path="m7946,8858l8926,8858,8926,3398,7946,3398,7946,8858xe" filled="true" fillcolor="#ffffff" stroked="false">
              <v:path arrowok="t"/>
              <v:fill type="solid"/>
            </v:shape>
            <w10:wrap type="none"/>
          </v:group>
        </w:pict>
      </w:r>
      <w:r>
        <w:rPr/>
        <w:pict>
          <v:group style="position:absolute;margin-left:397.299988pt;margin-top:478.059998pt;width:49pt;height:273.05pt;mso-position-horizontal-relative:page;mso-position-vertical-relative:page;z-index:-913600" coordorigin="7946,9561" coordsize="980,5461">
            <v:shape style="position:absolute;left:7946;top:9561;width:980;height:5461" coordorigin="7946,9561" coordsize="980,5461" path="m7946,15022l8926,15022,8926,9561,7946,9561,7946,15022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286"/>
        <w:gridCol w:w="3675"/>
        <w:gridCol w:w="994"/>
        <w:gridCol w:w="850"/>
        <w:gridCol w:w="920"/>
      </w:tblGrid>
      <w:tr>
        <w:trPr>
          <w:trHeight w:val="327" w:hRule="exact"/>
        </w:trPr>
        <w:tc>
          <w:tcPr>
            <w:tcW w:w="1844" w:type="dxa"/>
            <w:vMerge w:val="restart"/>
            <w:tcBorders>
              <w:top w:val="single" w:sz="12" w:space="0" w:color="000000"/>
              <w:left w:val="single" w:sz="12" w:space="0" w:color="000000"/>
              <w:right w:val="single" w:sz="6" w:space="0" w:color="000000"/>
            </w:tcBorders>
            <w:shd w:val="clear" w:color="auto" w:fill="D2D2D2"/>
          </w:tcPr>
          <w:p>
            <w:pPr/>
          </w:p>
        </w:tc>
        <w:tc>
          <w:tcPr>
            <w:tcW w:w="1286" w:type="dxa"/>
            <w:vMerge w:val="restart"/>
            <w:tcBorders>
              <w:top w:val="single" w:sz="12" w:space="0" w:color="000000"/>
              <w:left w:val="single" w:sz="6" w:space="0" w:color="000000"/>
              <w:right w:val="single" w:sz="6" w:space="0" w:color="000000"/>
            </w:tcBorders>
          </w:tcPr>
          <w:p>
            <w:pPr/>
          </w:p>
        </w:tc>
        <w:tc>
          <w:tcPr>
            <w:tcW w:w="3675"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另行补偿。补偿时，先以盈利承诺补偿义务人</w:t>
            </w:r>
          </w:p>
        </w:tc>
        <w:tc>
          <w:tcPr>
            <w:tcW w:w="994" w:type="dxa"/>
            <w:vMerge w:val="restart"/>
            <w:tcBorders>
              <w:top w:val="single" w:sz="12" w:space="0" w:color="000000"/>
              <w:left w:val="single" w:sz="6" w:space="0" w:color="000000"/>
              <w:right w:val="single" w:sz="6" w:space="0" w:color="000000"/>
            </w:tcBorders>
          </w:tcPr>
          <w:p>
            <w:pPr/>
          </w:p>
        </w:tc>
        <w:tc>
          <w:tcPr>
            <w:tcW w:w="850" w:type="dxa"/>
            <w:vMerge w:val="restart"/>
            <w:tcBorders>
              <w:top w:val="single" w:sz="12" w:space="0" w:color="000000"/>
              <w:left w:val="single" w:sz="6" w:space="0" w:color="000000"/>
              <w:right w:val="single" w:sz="6" w:space="0" w:color="000000"/>
            </w:tcBorders>
          </w:tcPr>
          <w:p>
            <w:pPr/>
          </w:p>
        </w:tc>
        <w:tc>
          <w:tcPr>
            <w:tcW w:w="920" w:type="dxa"/>
            <w:vMerge w:val="restart"/>
            <w:tcBorders>
              <w:top w:val="single" w:sz="12" w:space="0" w:color="000000"/>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vMerge/>
            <w:tcBorders>
              <w:left w:val="single" w:sz="6" w:space="0" w:color="000000"/>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pacing w:val="10"/>
                <w:sz w:val="18"/>
                <w:szCs w:val="18"/>
              </w:rPr>
              <w:t>因本次交易所取得的尚未出售的股份进行补</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vMerge/>
            <w:tcBorders>
              <w:left w:val="single" w:sz="6" w:space="0" w:color="000000"/>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偿，不足部分以现金补偿。因标的股权减值应</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vMerge/>
            <w:tcBorders>
              <w:left w:val="single" w:sz="6" w:space="0" w:color="000000"/>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pacing w:val="-3"/>
                <w:sz w:val="18"/>
                <w:szCs w:val="18"/>
              </w:rPr>
              <w:t>补偿金额的计算公式为：应补偿金额</w:t>
            </w:r>
            <w:r>
              <w:rPr>
                <w:rFonts w:ascii="宋体" w:hAnsi="宋体" w:cs="宋体" w:eastAsia="宋体" w:hint="default"/>
                <w:spacing w:val="-3"/>
                <w:sz w:val="18"/>
                <w:szCs w:val="18"/>
              </w:rPr>
              <w:t>=</w:t>
            </w:r>
            <w:r>
              <w:rPr>
                <w:rFonts w:ascii="宋体" w:hAnsi="宋体" w:cs="宋体" w:eastAsia="宋体" w:hint="default"/>
                <w:spacing w:val="-3"/>
                <w:sz w:val="18"/>
                <w:szCs w:val="18"/>
              </w:rPr>
              <w:t>期末减值</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3" w:hRule="exact"/>
        </w:trPr>
        <w:tc>
          <w:tcPr>
            <w:tcW w:w="1844" w:type="dxa"/>
            <w:vMerge/>
            <w:tcBorders>
              <w:left w:val="single" w:sz="12" w:space="0" w:color="000000"/>
              <w:right w:val="single" w:sz="6" w:space="0" w:color="000000"/>
            </w:tcBorders>
            <w:shd w:val="clear" w:color="auto" w:fill="D2D2D2"/>
          </w:tcPr>
          <w:p>
            <w:pPr/>
          </w:p>
        </w:tc>
        <w:tc>
          <w:tcPr>
            <w:tcW w:w="1286" w:type="dxa"/>
            <w:vMerge/>
            <w:tcBorders>
              <w:left w:val="single" w:sz="6" w:space="0" w:color="000000"/>
              <w:right w:val="single" w:sz="6" w:space="0" w:color="000000"/>
            </w:tcBorders>
          </w:tcPr>
          <w:p>
            <w:pPr/>
          </w:p>
        </w:tc>
        <w:tc>
          <w:tcPr>
            <w:tcW w:w="367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额－盈利承诺期内因实际利润未达到承诺利润</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58" w:hRule="exact"/>
        </w:trPr>
        <w:tc>
          <w:tcPr>
            <w:tcW w:w="1844" w:type="dxa"/>
            <w:vMerge/>
            <w:tcBorders>
              <w:left w:val="single" w:sz="12" w:space="0" w:color="000000"/>
              <w:right w:val="single" w:sz="6" w:space="0" w:color="000000"/>
            </w:tcBorders>
            <w:shd w:val="clear" w:color="auto" w:fill="D2D2D2"/>
          </w:tcPr>
          <w:p>
            <w:pPr/>
          </w:p>
        </w:tc>
        <w:tc>
          <w:tcPr>
            <w:tcW w:w="1286" w:type="dxa"/>
            <w:vMerge/>
            <w:tcBorders>
              <w:left w:val="single" w:sz="6" w:space="0" w:color="000000"/>
              <w:bottom w:val="single" w:sz="6" w:space="0" w:color="000000"/>
              <w:right w:val="single" w:sz="6" w:space="0" w:color="000000"/>
            </w:tcBorders>
          </w:tcPr>
          <w:p>
            <w:pPr/>
          </w:p>
        </w:tc>
        <w:tc>
          <w:tcPr>
            <w:tcW w:w="367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已支付的补偿额。</w:t>
            </w:r>
            <w:r>
              <w:rPr>
                <w:rFonts w:ascii="宋体" w:hAnsi="宋体" w:cs="宋体" w:eastAsia="宋体" w:hint="default"/>
                <w:sz w:val="18"/>
                <w:szCs w:val="18"/>
              </w:rPr>
              <w:t>"</w:t>
            </w:r>
          </w:p>
        </w:tc>
        <w:tc>
          <w:tcPr>
            <w:tcW w:w="994"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20" w:type="dxa"/>
            <w:vMerge/>
            <w:tcBorders>
              <w:left w:val="single" w:sz="6" w:space="0" w:color="000000"/>
              <w:bottom w:val="single" w:sz="6" w:space="0" w:color="000000"/>
              <w:right w:val="single" w:sz="12" w:space="0" w:color="000000"/>
            </w:tcBorders>
          </w:tcPr>
          <w:p>
            <w:pPr/>
          </w:p>
        </w:tc>
      </w:tr>
      <w:tr>
        <w:trPr>
          <w:trHeight w:val="361" w:hRule="exact"/>
        </w:trPr>
        <w:tc>
          <w:tcPr>
            <w:tcW w:w="1844" w:type="dxa"/>
            <w:vMerge/>
            <w:tcBorders>
              <w:left w:val="single" w:sz="12" w:space="0" w:color="000000"/>
              <w:right w:val="single" w:sz="6" w:space="0" w:color="000000"/>
            </w:tcBorders>
            <w:shd w:val="clear" w:color="auto" w:fill="D2D2D2"/>
          </w:tcPr>
          <w:p>
            <w:pPr/>
          </w:p>
        </w:tc>
        <w:tc>
          <w:tcPr>
            <w:tcW w:w="1286" w:type="dxa"/>
            <w:tcBorders>
              <w:top w:val="single" w:sz="6" w:space="0" w:color="000000"/>
              <w:left w:val="single" w:sz="6" w:space="0" w:color="000000"/>
              <w:bottom w:val="nil" w:sz="6" w:space="0" w:color="auto"/>
              <w:right w:val="single" w:sz="9" w:space="0" w:color="FFFFFF"/>
            </w:tcBorders>
          </w:tcPr>
          <w:p>
            <w:pPr/>
          </w:p>
        </w:tc>
        <w:tc>
          <w:tcPr>
            <w:tcW w:w="3675" w:type="dxa"/>
            <w:tcBorders>
              <w:top w:val="single" w:sz="6" w:space="0" w:color="000000"/>
              <w:left w:val="single" w:sz="9" w:space="0" w:color="FFFFFF"/>
              <w:bottom w:val="nil" w:sz="6" w:space="0" w:color="auto"/>
              <w:right w:val="single" w:sz="6" w:space="0" w:color="000000"/>
            </w:tcBorders>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z w:val="18"/>
                <w:szCs w:val="18"/>
              </w:rPr>
              <w:t>关于重大资产重组相关事项的承诺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）本人</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是具有完全民事行为能力的自然人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已依法对索瑞电气履行了出资义务，不存在任</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何虚假出资、延期出资、抽逃出资等违反本人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作为索瑞电气股东所应当承担的义务及责任的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行为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）本人保证不存在以委托持股、信托</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持股或其他类似的方式为他人代持索瑞电气股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权或由他人代本人代持索瑞电气股权的情形。</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本人保证合法持有且有权转让索瑞电气股权，</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本人所持索瑞电气股权不存在任何质押、</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冻结或其他任何限制转让的情形</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）本次交</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pacing w:val="18"/>
                <w:sz w:val="18"/>
                <w:szCs w:val="18"/>
              </w:rPr>
              <w:t>任昌兆</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pacing w:val="13"/>
                <w:sz w:val="18"/>
                <w:szCs w:val="18"/>
              </w:rPr>
              <w:t>任晶</w:t>
            </w:r>
            <w:r>
              <w:rPr>
                <w:rFonts w:ascii="宋体" w:hAnsi="宋体" w:cs="宋体" w:eastAsia="宋体" w:hint="default"/>
                <w:spacing w:val="-63"/>
                <w:sz w:val="18"/>
                <w:szCs w:val="18"/>
              </w:rPr>
              <w:t> </w:t>
            </w:r>
            <w:r>
              <w:rPr>
                <w:rFonts w:ascii="宋体" w:hAnsi="宋体" w:cs="宋体" w:eastAsia="宋体" w:hint="default"/>
                <w:sz w:val="18"/>
                <w:szCs w:val="18"/>
              </w:rPr>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易的标的资产权属清晰，不存在任何争议或潜</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1"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晶、魏法旭、郑</w:t>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在纠纷，不存在质押、查封、冻结或任何其他</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10"/>
              <w:ind w:left="20" w:right="-13"/>
              <w:jc w:val="left"/>
              <w:rPr>
                <w:rFonts w:ascii="宋体" w:hAnsi="宋体" w:cs="宋体" w:eastAsia="宋体" w:hint="default"/>
                <w:sz w:val="18"/>
                <w:szCs w:val="18"/>
              </w:rPr>
            </w:pPr>
            <w:r>
              <w:rPr>
                <w:rFonts w:ascii="宋体" w:hAnsi="宋体" w:cs="宋体" w:eastAsia="宋体" w:hint="default"/>
                <w:sz w:val="18"/>
                <w:szCs w:val="18"/>
              </w:rPr>
              <w:t>丽蓉、邓丽萍、</w:t>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限制或禁止该等股权转让的情形，标的资产过</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18"/>
                <w:sz w:val="18"/>
                <w:szCs w:val="18"/>
              </w:rPr>
              <w:t>赵业香</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pacing w:val="13"/>
                <w:sz w:val="18"/>
                <w:szCs w:val="18"/>
              </w:rPr>
              <w:t>桂长</w:t>
            </w:r>
            <w:r>
              <w:rPr>
                <w:rFonts w:ascii="宋体" w:hAnsi="宋体" w:cs="宋体" w:eastAsia="宋体" w:hint="default"/>
                <w:spacing w:val="-63"/>
                <w:sz w:val="18"/>
                <w:szCs w:val="18"/>
              </w:rPr>
              <w:t> </w:t>
            </w:r>
            <w:r>
              <w:rPr>
                <w:rFonts w:ascii="宋体" w:hAnsi="宋体" w:cs="宋体" w:eastAsia="宋体" w:hint="default"/>
                <w:sz w:val="18"/>
                <w:szCs w:val="18"/>
              </w:rPr>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户或转移不存在法律障碍</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）截至本函出具</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钟、李善元、梁</w:t>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之日，本人及本人关系密切的近亲属（包括配</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蓉、廖庆生、郑</w:t>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偶、父母及配偶的父母、兄弟姐妹及其配偶、</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936"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316" w:lineRule="auto" w:before="10"/>
              <w:ind w:left="20" w:right="-13"/>
              <w:jc w:val="both"/>
              <w:rPr>
                <w:rFonts w:ascii="宋体" w:hAnsi="宋体" w:cs="宋体" w:eastAsia="宋体" w:hint="default"/>
                <w:sz w:val="18"/>
                <w:szCs w:val="18"/>
              </w:rPr>
            </w:pPr>
            <w:r>
              <w:rPr>
                <w:rFonts w:ascii="宋体" w:hAnsi="宋体" w:cs="宋体" w:eastAsia="宋体" w:hint="default"/>
                <w:spacing w:val="-6"/>
                <w:sz w:val="18"/>
                <w:szCs w:val="18"/>
              </w:rPr>
              <w:t>立筠、周军、田</w:t>
            </w:r>
            <w:r>
              <w:rPr>
                <w:rFonts w:ascii="宋体" w:hAnsi="宋体" w:cs="宋体" w:eastAsia="宋体" w:hint="default"/>
                <w:sz w:val="18"/>
                <w:szCs w:val="18"/>
              </w:rPr>
              <w:t> 裕树、张天祯、 王平、方旭东、</w:t>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316" w:lineRule="auto" w:before="10"/>
              <w:ind w:left="7" w:right="18"/>
              <w:jc w:val="both"/>
              <w:rPr>
                <w:rFonts w:ascii="宋体" w:hAnsi="宋体" w:cs="宋体" w:eastAsia="宋体" w:hint="default"/>
                <w:sz w:val="18"/>
                <w:szCs w:val="18"/>
              </w:rPr>
            </w:pPr>
            <w:r>
              <w:rPr>
                <w:rFonts w:ascii="宋体" w:hAnsi="宋体" w:cs="宋体" w:eastAsia="宋体" w:hint="default"/>
                <w:sz w:val="18"/>
                <w:szCs w:val="18"/>
              </w:rPr>
              <w:t>年满</w:t>
            </w:r>
            <w:r>
              <w:rPr>
                <w:rFonts w:ascii="宋体" w:hAnsi="宋体" w:cs="宋体" w:eastAsia="宋体" w:hint="default"/>
                <w:spacing w:val="-44"/>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pacing w:val="-4"/>
                <w:sz w:val="18"/>
                <w:szCs w:val="18"/>
              </w:rPr>
              <w:t>周岁的子女及其配偶、配偶的兄弟姐妹</w:t>
            </w:r>
            <w:r>
              <w:rPr>
                <w:rFonts w:ascii="宋体" w:hAnsi="宋体" w:cs="宋体" w:eastAsia="宋体" w:hint="default"/>
                <w:sz w:val="18"/>
                <w:szCs w:val="18"/>
              </w:rPr>
              <w:t> 和子女配偶的父母）不存在占用索瑞电气资金 的情形。本人承诺本人及本人关系密切的近亲</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18"/>
                <w:sz w:val="18"/>
                <w:szCs w:val="18"/>
              </w:rPr>
              <w:t>何传柏</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pacing w:val="13"/>
                <w:sz w:val="18"/>
                <w:szCs w:val="18"/>
              </w:rPr>
              <w:t>郭明</w:t>
            </w:r>
            <w:r>
              <w:rPr>
                <w:rFonts w:ascii="宋体" w:hAnsi="宋体" w:cs="宋体" w:eastAsia="宋体" w:hint="default"/>
                <w:spacing w:val="-63"/>
                <w:sz w:val="18"/>
                <w:szCs w:val="18"/>
              </w:rPr>
              <w:t> </w:t>
            </w:r>
            <w:r>
              <w:rPr>
                <w:rFonts w:ascii="宋体" w:hAnsi="宋体" w:cs="宋体" w:eastAsia="宋体" w:hint="default"/>
                <w:sz w:val="18"/>
                <w:szCs w:val="18"/>
              </w:rPr>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属未来不会以任何方式向索瑞电气借款或占用</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亮、毛为国、门</w:t>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索瑞电气的资金</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）在本次交易完成后，本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崇喜、李强、徐</w:t>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人将按照《公司法</w:t>
            </w:r>
            <w:r>
              <w:rPr>
                <w:rFonts w:ascii="宋体" w:hAnsi="宋体" w:cs="宋体" w:eastAsia="宋体" w:hint="default"/>
                <w:spacing w:val="-90"/>
                <w:sz w:val="18"/>
                <w:szCs w:val="18"/>
              </w:rPr>
              <w:t>》、</w:t>
            </w:r>
            <w:r>
              <w:rPr>
                <w:rFonts w:ascii="宋体" w:hAnsi="宋体" w:cs="宋体" w:eastAsia="宋体" w:hint="default"/>
                <w:sz w:val="18"/>
                <w:szCs w:val="18"/>
              </w:rPr>
              <w:t>《证券法》和其他有关法</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光涛、文涛、罗</w:t>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律法规对上市公司的要求，合法合规地行使股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丹、彭娥昌、张</w:t>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东权利并履行相应的义务，采取切实有效措施</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红、陈世勇</w:t>
            </w: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pacing w:val="-4"/>
                <w:sz w:val="18"/>
                <w:szCs w:val="18"/>
              </w:rPr>
              <w:t>保证光一科技及其子公司在业务、资产、人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1"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机构和财务等方面的独立和完整，同时确保光</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一科技在采购、生产、销售、知识产权等方面</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保持独立，使光一科技具有完全和完整的独立</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经营能力</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）本人保证为本次交易所提供信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息的真实、准确和完整，不存在虚假记载、误</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导性陈述或者重大遗漏，并对所提供信息的真</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实性、准确性和完整性承担个别和连带的法律</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责任</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）本承诺函自出具之日起具有法律效</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力，构成对本人具有法律约束力的法律文件，</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844" w:type="dxa"/>
            <w:vMerge/>
            <w:tcBorders>
              <w:left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nil" w:sz="6" w:space="0" w:color="auto"/>
              <w:right w:val="single" w:sz="9" w:space="0" w:color="FFFFFF"/>
            </w:tcBorders>
          </w:tcPr>
          <w:p>
            <w:pPr/>
          </w:p>
        </w:tc>
        <w:tc>
          <w:tcPr>
            <w:tcW w:w="3675"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本人保证本承诺函的内容没有任何虚假记载、</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66" w:hRule="exact"/>
        </w:trPr>
        <w:tc>
          <w:tcPr>
            <w:tcW w:w="1844" w:type="dxa"/>
            <w:vMerge/>
            <w:tcBorders>
              <w:left w:val="single" w:sz="12" w:space="0" w:color="000000"/>
              <w:bottom w:val="single" w:sz="12" w:space="0" w:color="000000"/>
              <w:right w:val="single" w:sz="6" w:space="0" w:color="000000"/>
            </w:tcBorders>
            <w:shd w:val="clear" w:color="auto" w:fill="D2D2D2"/>
          </w:tcPr>
          <w:p>
            <w:pPr/>
          </w:p>
        </w:tc>
        <w:tc>
          <w:tcPr>
            <w:tcW w:w="1286" w:type="dxa"/>
            <w:tcBorders>
              <w:top w:val="nil" w:sz="6" w:space="0" w:color="auto"/>
              <w:left w:val="single" w:sz="6" w:space="0" w:color="000000"/>
              <w:bottom w:val="single" w:sz="12" w:space="0" w:color="000000"/>
              <w:right w:val="single" w:sz="9" w:space="0" w:color="FFFFFF"/>
            </w:tcBorders>
          </w:tcPr>
          <w:p>
            <w:pPr/>
          </w:p>
        </w:tc>
        <w:tc>
          <w:tcPr>
            <w:tcW w:w="3675" w:type="dxa"/>
            <w:tcBorders>
              <w:top w:val="nil" w:sz="6" w:space="0" w:color="auto"/>
              <w:left w:val="single" w:sz="9" w:space="0" w:color="FFFFFF"/>
              <w:bottom w:val="single" w:sz="12" w:space="0" w:color="000000"/>
              <w:right w:val="single" w:sz="6" w:space="0" w:color="000000"/>
            </w:tcBorders>
          </w:tcPr>
          <w:p>
            <w:pPr>
              <w:pStyle w:val="TableParagraph"/>
              <w:spacing w:line="240" w:lineRule="auto" w:before="11"/>
              <w:ind w:left="7" w:right="0"/>
              <w:jc w:val="left"/>
              <w:rPr>
                <w:rFonts w:ascii="宋体" w:hAnsi="宋体" w:cs="宋体" w:eastAsia="宋体" w:hint="default"/>
                <w:sz w:val="18"/>
                <w:szCs w:val="18"/>
              </w:rPr>
            </w:pPr>
            <w:r>
              <w:rPr>
                <w:rFonts w:ascii="宋体" w:hAnsi="宋体" w:cs="宋体" w:eastAsia="宋体" w:hint="default"/>
                <w:sz w:val="18"/>
                <w:szCs w:val="18"/>
              </w:rPr>
              <w:t>误导性陈述或重大遗漏。</w:t>
            </w:r>
          </w:p>
        </w:tc>
        <w:tc>
          <w:tcPr>
            <w:tcW w:w="994" w:type="dxa"/>
            <w:tcBorders>
              <w:top w:val="nil" w:sz="6" w:space="0" w:color="auto"/>
              <w:left w:val="single" w:sz="6" w:space="0" w:color="000000"/>
              <w:bottom w:val="single" w:sz="12" w:space="0" w:color="000000"/>
              <w:right w:val="single" w:sz="6" w:space="0" w:color="000000"/>
            </w:tcBorders>
          </w:tcPr>
          <w:p>
            <w:pPr/>
          </w:p>
        </w:tc>
        <w:tc>
          <w:tcPr>
            <w:tcW w:w="850" w:type="dxa"/>
            <w:tcBorders>
              <w:top w:val="nil" w:sz="6" w:space="0" w:color="auto"/>
              <w:left w:val="single" w:sz="6" w:space="0" w:color="000000"/>
              <w:bottom w:val="single" w:sz="12" w:space="0" w:color="000000"/>
              <w:right w:val="single" w:sz="6" w:space="0" w:color="000000"/>
            </w:tcBorders>
          </w:tcPr>
          <w:p>
            <w:pPr/>
          </w:p>
        </w:tc>
        <w:tc>
          <w:tcPr>
            <w:tcW w:w="920"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74.031006pt;margin-top:73.499985pt;width:172.25pt;height:265.25pt;mso-position-horizontal-relative:page;mso-position-vertical-relative:page;z-index:-913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结或其他任何限制转让的情形。</w:t>
                  </w:r>
                </w:p>
              </w:txbxContent>
            </v:textbox>
            <w10:wrap type="none"/>
          </v:shape>
        </w:pict>
      </w:r>
      <w:r>
        <w:rPr/>
        <w:pict>
          <v:shape style="position:absolute;margin-left:346.040009pt;margin-top:373.939972pt;width:100.25pt;height:265.25pt;mso-position-horizontal-relative:page;mso-position-vertical-relative:page;z-index:-913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准确和完整，</w:t>
                  </w:r>
                </w:p>
              </w:txbxContent>
            </v:textbox>
            <w10:wrap type="none"/>
          </v:shape>
        </w:pict>
      </w:r>
      <w:r>
        <w:rPr/>
        <w:pict>
          <v:group style="position:absolute;margin-left:397.299988pt;margin-top:73.499985pt;width:49pt;height:265.25pt;mso-position-horizontal-relative:page;mso-position-vertical-relative:page;z-index:-913528" coordorigin="7946,1470" coordsize="980,5305">
            <v:shape style="position:absolute;left:7946;top:1470;width:980;height:5305" coordorigin="7946,1470" coordsize="980,5305" path="m7946,6774l8926,6774,8926,1470,7946,1470,7946,6774xe" filled="true" fillcolor="#ffffff" stroked="false">
              <v:path arrowok="t"/>
              <v:fill type="solid"/>
            </v:shape>
            <w10:wrap type="none"/>
          </v:group>
        </w:pict>
      </w:r>
      <w:r>
        <w:rPr/>
        <w:pict>
          <v:group style="position:absolute;margin-left:397.299988pt;margin-top:373.939972pt;width:49pt;height:265.25pt;mso-position-horizontal-relative:page;mso-position-vertical-relative:page;z-index:-913504" coordorigin="7946,7479" coordsize="980,5305">
            <v:shape style="position:absolute;left:7946;top:7479;width:980;height:5305" coordorigin="7946,7479" coordsize="980,5305" path="m7946,12783l8926,12783,8926,7479,7946,7479,7946,12783xe" filled="true" fillcolor="#ffffff" stroked="false">
              <v:path arrowok="t"/>
              <v:fill type="solid"/>
            </v:shape>
            <w10:wrap type="none"/>
          </v:group>
        </w:pict>
      </w:r>
      <w:r>
        <w:rPr/>
        <w:pict>
          <v:group style="position:absolute;margin-left:398.320007pt;margin-top:685.659973pt;width:46.9pt;height:17.7pt;mso-position-horizontal-relative:page;mso-position-vertical-relative:page;z-index:-913480" coordorigin="7966,13713" coordsize="938,354">
            <v:shape style="position:absolute;left:7966;top:13713;width:938;height:354" coordorigin="7966,13713" coordsize="938,354" path="m7966,14066l8904,14066,8904,13713,7966,13713,7966,14066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276"/>
        <w:gridCol w:w="3686"/>
        <w:gridCol w:w="994"/>
        <w:gridCol w:w="850"/>
        <w:gridCol w:w="920"/>
      </w:tblGrid>
      <w:tr>
        <w:trPr>
          <w:trHeight w:val="367" w:hRule="exact"/>
        </w:trPr>
        <w:tc>
          <w:tcPr>
            <w:tcW w:w="1844" w:type="dxa"/>
            <w:vMerge w:val="restart"/>
            <w:tcBorders>
              <w:top w:val="single" w:sz="12" w:space="0" w:color="000000"/>
              <w:left w:val="single" w:sz="12" w:space="0" w:color="000000"/>
              <w:right w:val="single" w:sz="6" w:space="0" w:color="000000"/>
            </w:tcBorders>
            <w:shd w:val="clear" w:color="auto" w:fill="D2D2D2"/>
          </w:tcPr>
          <w:p>
            <w:pPr/>
          </w:p>
        </w:tc>
        <w:tc>
          <w:tcPr>
            <w:tcW w:w="1276" w:type="dxa"/>
            <w:tcBorders>
              <w:top w:val="single" w:sz="12" w:space="0" w:color="000000"/>
              <w:left w:val="single" w:sz="6" w:space="0" w:color="000000"/>
              <w:bottom w:val="nil" w:sz="6" w:space="0" w:color="auto"/>
              <w:right w:val="single" w:sz="6" w:space="0" w:color="000000"/>
            </w:tcBorders>
          </w:tcPr>
          <w:p>
            <w:pPr/>
          </w:p>
        </w:tc>
        <w:tc>
          <w:tcPr>
            <w:tcW w:w="368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关于重大资产重组事项的承诺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）本公司是</w:t>
            </w:r>
          </w:p>
        </w:tc>
        <w:tc>
          <w:tcPr>
            <w:tcW w:w="994" w:type="dxa"/>
            <w:tcBorders>
              <w:top w:val="single" w:sz="12" w:space="0" w:color="000000"/>
              <w:left w:val="single" w:sz="6" w:space="0" w:color="000000"/>
              <w:bottom w:val="nil" w:sz="6" w:space="0" w:color="auto"/>
              <w:right w:val="single" w:sz="6" w:space="0" w:color="000000"/>
            </w:tcBorders>
          </w:tcPr>
          <w:p>
            <w:pPr/>
          </w:p>
        </w:tc>
        <w:tc>
          <w:tcPr>
            <w:tcW w:w="850" w:type="dxa"/>
            <w:tcBorders>
              <w:top w:val="single" w:sz="12" w:space="0" w:color="000000"/>
              <w:left w:val="single" w:sz="6" w:space="0" w:color="000000"/>
              <w:bottom w:val="nil" w:sz="6" w:space="0" w:color="auto"/>
              <w:right w:val="single" w:sz="6" w:space="0" w:color="000000"/>
            </w:tcBorders>
          </w:tcPr>
          <w:p>
            <w:pPr/>
          </w:p>
        </w:tc>
        <w:tc>
          <w:tcPr>
            <w:tcW w:w="920" w:type="dxa"/>
            <w:tcBorders>
              <w:top w:val="single" w:sz="12" w:space="0" w:color="000000"/>
              <w:left w:val="single" w:sz="6" w:space="0" w:color="000000"/>
              <w:bottom w:val="nil" w:sz="6" w:space="0" w:color="auto"/>
              <w:right w:val="single" w:sz="12" w:space="0" w:color="000000"/>
            </w:tcBorders>
          </w:tcPr>
          <w:p>
            <w:pPr/>
          </w:p>
        </w:tc>
      </w:tr>
      <w:tr>
        <w:trPr>
          <w:trHeight w:val="311"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依法成立且合法存续的有限公司</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）本公司</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已依法对索瑞电气履行了出资义务，不存在任</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何虚假出资、延期出资、抽逃出资等违反本公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司作为索瑞电气股东所应当承担的义务及责任</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的行为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）本公司保证不存在以委托持股、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信托持股或其他类似的方式为他人代持索瑞电</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气股权或由他人代本公司代持索瑞电气股权的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情形。本公司保证合法持有且有权转让索瑞电</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气股权，本公司所持索瑞电气股权不存在任何</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9"/>
                <w:sz w:val="18"/>
                <w:szCs w:val="18"/>
              </w:rPr>
              <w:t>质押、查封、冻</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湖</w:t>
            </w:r>
            <w:r>
              <w:rPr>
                <w:rFonts w:ascii="宋体" w:hAnsi="宋体" w:cs="宋体" w:eastAsia="宋体" w:hint="default"/>
                <w:spacing w:val="-63"/>
                <w:sz w:val="18"/>
                <w:szCs w:val="18"/>
              </w:rPr>
              <w:t> </w:t>
            </w:r>
            <w:r>
              <w:rPr>
                <w:rFonts w:ascii="宋体" w:hAnsi="宋体" w:cs="宋体" w:eastAsia="宋体" w:hint="default"/>
                <w:sz w:val="18"/>
                <w:szCs w:val="18"/>
              </w:rPr>
              <w:t>北</w:t>
            </w:r>
            <w:r>
              <w:rPr>
                <w:rFonts w:ascii="宋体" w:hAnsi="宋体" w:cs="宋体" w:eastAsia="宋体" w:hint="default"/>
                <w:spacing w:val="-63"/>
                <w:sz w:val="18"/>
                <w:szCs w:val="18"/>
              </w:rPr>
              <w:t> </w:t>
            </w:r>
            <w:r>
              <w:rPr>
                <w:rFonts w:ascii="宋体" w:hAnsi="宋体" w:cs="宋体" w:eastAsia="宋体" w:hint="default"/>
                <w:sz w:val="18"/>
                <w:szCs w:val="18"/>
              </w:rPr>
              <w:t>乾</w:t>
            </w:r>
            <w:r>
              <w:rPr>
                <w:rFonts w:ascii="宋体" w:hAnsi="宋体" w:cs="宋体" w:eastAsia="宋体" w:hint="default"/>
                <w:spacing w:val="-63"/>
                <w:sz w:val="18"/>
                <w:szCs w:val="18"/>
              </w:rPr>
              <w:t> </w:t>
            </w:r>
            <w:r>
              <w:rPr>
                <w:rFonts w:ascii="宋体" w:hAnsi="宋体" w:cs="宋体" w:eastAsia="宋体" w:hint="default"/>
                <w:sz w:val="18"/>
                <w:szCs w:val="18"/>
              </w:rPr>
              <w:t>瀚</w:t>
            </w:r>
            <w:r>
              <w:rPr>
                <w:rFonts w:ascii="宋体" w:hAnsi="宋体" w:cs="宋体" w:eastAsia="宋体" w:hint="default"/>
                <w:spacing w:val="-62"/>
                <w:sz w:val="18"/>
                <w:szCs w:val="18"/>
              </w:rPr>
              <w:t> </w:t>
            </w:r>
            <w:r>
              <w:rPr>
                <w:rFonts w:ascii="宋体" w:hAnsi="宋体" w:cs="宋体" w:eastAsia="宋体" w:hint="default"/>
                <w:sz w:val="18"/>
                <w:szCs w:val="18"/>
              </w:rPr>
              <w:t>投</w:t>
            </w:r>
            <w:r>
              <w:rPr>
                <w:rFonts w:ascii="宋体" w:hAnsi="宋体" w:cs="宋体" w:eastAsia="宋体" w:hint="default"/>
                <w:spacing w:val="-63"/>
                <w:sz w:val="18"/>
                <w:szCs w:val="18"/>
              </w:rPr>
              <w:t> </w:t>
            </w:r>
            <w:r>
              <w:rPr>
                <w:rFonts w:ascii="宋体" w:hAnsi="宋体" w:cs="宋体" w:eastAsia="宋体" w:hint="default"/>
                <w:sz w:val="18"/>
                <w:szCs w:val="18"/>
              </w:rPr>
              <w:t>资</w:t>
            </w: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4</w:t>
            </w:r>
            <w:r>
              <w:rPr>
                <w:rFonts w:ascii="宋体" w:hAnsi="宋体" w:cs="宋体" w:eastAsia="宋体" w:hint="default"/>
                <w:spacing w:val="-3"/>
                <w:sz w:val="18"/>
                <w:szCs w:val="18"/>
              </w:rPr>
              <w:t>）本次交易的标的资产权属清晰，不存在任</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1"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有限公司、公安</w:t>
            </w: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何争议或潜在纠纷，不存在质押、查封、冻结</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县</w:t>
            </w:r>
            <w:r>
              <w:rPr>
                <w:rFonts w:ascii="宋体" w:hAnsi="宋体" w:cs="宋体" w:eastAsia="宋体" w:hint="default"/>
                <w:spacing w:val="-63"/>
                <w:sz w:val="18"/>
                <w:szCs w:val="18"/>
              </w:rPr>
              <w:t> </w:t>
            </w:r>
            <w:r>
              <w:rPr>
                <w:rFonts w:ascii="宋体" w:hAnsi="宋体" w:cs="宋体" w:eastAsia="宋体" w:hint="default"/>
                <w:sz w:val="18"/>
                <w:szCs w:val="18"/>
              </w:rPr>
              <w:t>鑫</w:t>
            </w:r>
            <w:r>
              <w:rPr>
                <w:rFonts w:ascii="宋体" w:hAnsi="宋体" w:cs="宋体" w:eastAsia="宋体" w:hint="default"/>
                <w:spacing w:val="-63"/>
                <w:sz w:val="18"/>
                <w:szCs w:val="18"/>
              </w:rPr>
              <w:t> </w:t>
            </w:r>
            <w:r>
              <w:rPr>
                <w:rFonts w:ascii="宋体" w:hAnsi="宋体" w:cs="宋体" w:eastAsia="宋体" w:hint="default"/>
                <w:sz w:val="18"/>
                <w:szCs w:val="18"/>
              </w:rPr>
              <w:t>旺</w:t>
            </w:r>
            <w:r>
              <w:rPr>
                <w:rFonts w:ascii="宋体" w:hAnsi="宋体" w:cs="宋体" w:eastAsia="宋体" w:hint="default"/>
                <w:spacing w:val="-63"/>
                <w:sz w:val="18"/>
                <w:szCs w:val="18"/>
              </w:rPr>
              <w:t> </w:t>
            </w:r>
            <w:r>
              <w:rPr>
                <w:rFonts w:ascii="宋体" w:hAnsi="宋体" w:cs="宋体" w:eastAsia="宋体" w:hint="default"/>
                <w:sz w:val="18"/>
                <w:szCs w:val="18"/>
              </w:rPr>
              <w:t>投</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3"/>
                <w:sz w:val="18"/>
                <w:szCs w:val="18"/>
              </w:rPr>
              <w:t> </w:t>
            </w:r>
            <w:r>
              <w:rPr>
                <w:rFonts w:ascii="宋体" w:hAnsi="宋体" w:cs="宋体" w:eastAsia="宋体" w:hint="default"/>
                <w:sz w:val="18"/>
                <w:szCs w:val="18"/>
              </w:rPr>
              <w:t>有</w:t>
            </w: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或任何其他限制或禁止该等股权转让的情形，</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限公司、深圳市</w:t>
            </w: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标的资产过户或转移不存在法律障碍</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）截</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创</w:t>
            </w:r>
            <w:r>
              <w:rPr>
                <w:rFonts w:ascii="宋体" w:hAnsi="宋体" w:cs="宋体" w:eastAsia="宋体" w:hint="default"/>
                <w:spacing w:val="-63"/>
                <w:sz w:val="18"/>
                <w:szCs w:val="18"/>
              </w:rPr>
              <w:t> </w:t>
            </w:r>
            <w:r>
              <w:rPr>
                <w:rFonts w:ascii="宋体" w:hAnsi="宋体" w:cs="宋体" w:eastAsia="宋体" w:hint="default"/>
                <w:sz w:val="18"/>
                <w:szCs w:val="18"/>
              </w:rPr>
              <w:t>新</w:t>
            </w:r>
            <w:r>
              <w:rPr>
                <w:rFonts w:ascii="宋体" w:hAnsi="宋体" w:cs="宋体" w:eastAsia="宋体" w:hint="default"/>
                <w:spacing w:val="-63"/>
                <w:sz w:val="18"/>
                <w:szCs w:val="18"/>
              </w:rPr>
              <w:t> </w:t>
            </w:r>
            <w:r>
              <w:rPr>
                <w:rFonts w:ascii="宋体" w:hAnsi="宋体" w:cs="宋体" w:eastAsia="宋体" w:hint="default"/>
                <w:sz w:val="18"/>
                <w:szCs w:val="18"/>
              </w:rPr>
              <w:t>投</w:t>
            </w:r>
            <w:r>
              <w:rPr>
                <w:rFonts w:ascii="宋体" w:hAnsi="宋体" w:cs="宋体" w:eastAsia="宋体" w:hint="default"/>
                <w:spacing w:val="-63"/>
                <w:sz w:val="18"/>
                <w:szCs w:val="18"/>
              </w:rPr>
              <w:t> </w:t>
            </w:r>
            <w:r>
              <w:rPr>
                <w:rFonts w:ascii="宋体" w:hAnsi="宋体" w:cs="宋体" w:eastAsia="宋体" w:hint="default"/>
                <w:sz w:val="18"/>
                <w:szCs w:val="18"/>
              </w:rPr>
              <w:t>资</w:t>
            </w:r>
            <w:r>
              <w:rPr>
                <w:rFonts w:ascii="宋体" w:hAnsi="宋体" w:cs="宋体" w:eastAsia="宋体" w:hint="default"/>
                <w:spacing w:val="-62"/>
                <w:sz w:val="18"/>
                <w:szCs w:val="18"/>
              </w:rPr>
              <w:t> </w:t>
            </w:r>
            <w:r>
              <w:rPr>
                <w:rFonts w:ascii="宋体" w:hAnsi="宋体" w:cs="宋体" w:eastAsia="宋体" w:hint="default"/>
                <w:sz w:val="18"/>
                <w:szCs w:val="18"/>
              </w:rPr>
              <w:t>集</w:t>
            </w:r>
            <w:r>
              <w:rPr>
                <w:rFonts w:ascii="宋体" w:hAnsi="宋体" w:cs="宋体" w:eastAsia="宋体" w:hint="default"/>
                <w:spacing w:val="-63"/>
                <w:sz w:val="18"/>
                <w:szCs w:val="18"/>
              </w:rPr>
              <w:t> </w:t>
            </w:r>
            <w:r>
              <w:rPr>
                <w:rFonts w:ascii="宋体" w:hAnsi="宋体" w:cs="宋体" w:eastAsia="宋体" w:hint="default"/>
                <w:sz w:val="18"/>
                <w:szCs w:val="18"/>
              </w:rPr>
              <w:t>团</w:t>
            </w: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至本函出具之日，本公司及本公司的董事、监</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有限公司、北京</w:t>
            </w: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事及高级管理人员不存在占用索瑞电气资金的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625"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0" w:right="18"/>
              <w:jc w:val="left"/>
              <w:rPr>
                <w:rFonts w:ascii="宋体" w:hAnsi="宋体" w:cs="宋体" w:eastAsia="宋体" w:hint="default"/>
                <w:sz w:val="18"/>
                <w:szCs w:val="18"/>
              </w:rPr>
            </w:pPr>
            <w:r>
              <w:rPr>
                <w:rFonts w:ascii="宋体" w:hAnsi="宋体" w:cs="宋体" w:eastAsia="宋体" w:hint="default"/>
                <w:sz w:val="18"/>
                <w:szCs w:val="18"/>
              </w:rPr>
              <w:t>红</w:t>
            </w:r>
            <w:r>
              <w:rPr>
                <w:rFonts w:ascii="宋体" w:hAnsi="宋体" w:cs="宋体" w:eastAsia="宋体" w:hint="default"/>
                <w:spacing w:val="-63"/>
                <w:sz w:val="18"/>
                <w:szCs w:val="18"/>
              </w:rPr>
              <w:t> </w:t>
            </w:r>
            <w:r>
              <w:rPr>
                <w:rFonts w:ascii="宋体" w:hAnsi="宋体" w:cs="宋体" w:eastAsia="宋体" w:hint="default"/>
                <w:sz w:val="18"/>
                <w:szCs w:val="18"/>
              </w:rPr>
              <w:t>土</w:t>
            </w:r>
            <w:r>
              <w:rPr>
                <w:rFonts w:ascii="宋体" w:hAnsi="宋体" w:cs="宋体" w:eastAsia="宋体" w:hint="default"/>
                <w:spacing w:val="-63"/>
                <w:sz w:val="18"/>
                <w:szCs w:val="18"/>
              </w:rPr>
              <w:t> </w:t>
            </w:r>
            <w:r>
              <w:rPr>
                <w:rFonts w:ascii="宋体" w:hAnsi="宋体" w:cs="宋体" w:eastAsia="宋体" w:hint="default"/>
                <w:sz w:val="18"/>
                <w:szCs w:val="18"/>
              </w:rPr>
              <w:t>鑫</w:t>
            </w:r>
            <w:r>
              <w:rPr>
                <w:rFonts w:ascii="宋体" w:hAnsi="宋体" w:cs="宋体" w:eastAsia="宋体" w:hint="default"/>
                <w:spacing w:val="-63"/>
                <w:sz w:val="18"/>
                <w:szCs w:val="18"/>
              </w:rPr>
              <w:t> </w:t>
            </w:r>
            <w:r>
              <w:rPr>
                <w:rFonts w:ascii="宋体" w:hAnsi="宋体" w:cs="宋体" w:eastAsia="宋体" w:hint="default"/>
                <w:sz w:val="18"/>
                <w:szCs w:val="18"/>
              </w:rPr>
              <w:t>洲</w:t>
            </w:r>
            <w:r>
              <w:rPr>
                <w:rFonts w:ascii="宋体" w:hAnsi="宋体" w:cs="宋体" w:eastAsia="宋体" w:hint="default"/>
                <w:spacing w:val="-62"/>
                <w:sz w:val="18"/>
                <w:szCs w:val="18"/>
              </w:rPr>
              <w:t> </w:t>
            </w:r>
            <w:r>
              <w:rPr>
                <w:rFonts w:ascii="宋体" w:hAnsi="宋体" w:cs="宋体" w:eastAsia="宋体" w:hint="default"/>
                <w:sz w:val="18"/>
                <w:szCs w:val="18"/>
              </w:rPr>
              <w:t>创</w:t>
            </w:r>
            <w:r>
              <w:rPr>
                <w:rFonts w:ascii="宋体" w:hAnsi="宋体" w:cs="宋体" w:eastAsia="宋体" w:hint="default"/>
                <w:spacing w:val="-63"/>
                <w:sz w:val="18"/>
                <w:szCs w:val="18"/>
              </w:rPr>
              <w:t> </w:t>
            </w:r>
            <w:r>
              <w:rPr>
                <w:rFonts w:ascii="宋体" w:hAnsi="宋体" w:cs="宋体" w:eastAsia="宋体" w:hint="default"/>
                <w:sz w:val="18"/>
                <w:szCs w:val="18"/>
              </w:rPr>
              <w:t>业</w:t>
            </w:r>
            <w:r>
              <w:rPr>
                <w:rFonts w:ascii="宋体" w:hAnsi="宋体" w:cs="宋体" w:eastAsia="宋体" w:hint="default"/>
                <w:sz w:val="18"/>
                <w:szCs w:val="18"/>
              </w:rPr>
              <w:t> </w:t>
            </w:r>
            <w:r>
              <w:rPr>
                <w:rFonts w:ascii="宋体" w:hAnsi="宋体" w:cs="宋体" w:eastAsia="宋体" w:hint="default"/>
                <w:spacing w:val="-6"/>
                <w:sz w:val="18"/>
                <w:szCs w:val="18"/>
              </w:rPr>
              <w:t>投资中心（有限</w:t>
            </w: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1" w:right="47"/>
              <w:jc w:val="left"/>
              <w:rPr>
                <w:rFonts w:ascii="宋体" w:hAnsi="宋体" w:cs="宋体" w:eastAsia="宋体" w:hint="default"/>
                <w:sz w:val="18"/>
                <w:szCs w:val="18"/>
              </w:rPr>
            </w:pPr>
            <w:r>
              <w:rPr>
                <w:rFonts w:ascii="宋体" w:hAnsi="宋体" w:cs="宋体" w:eastAsia="宋体" w:hint="default"/>
                <w:sz w:val="18"/>
                <w:szCs w:val="18"/>
              </w:rPr>
              <w:t>情形。本公司承诺本公司及本公司的董事、监 事及高级管理人员未来不会以任何方式向索瑞</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1"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8"/>
                <w:sz w:val="18"/>
                <w:szCs w:val="18"/>
              </w:rPr>
              <w:t>合伙</w:t>
            </w:r>
            <w:r>
              <w:rPr>
                <w:rFonts w:ascii="宋体" w:hAnsi="宋体" w:cs="宋体" w:eastAsia="宋体" w:hint="default"/>
                <w:spacing w:val="-82"/>
                <w:sz w:val="18"/>
                <w:szCs w:val="18"/>
              </w:rPr>
              <w:t>）</w:t>
            </w:r>
            <w:r>
              <w:rPr>
                <w:rFonts w:ascii="宋体" w:hAnsi="宋体" w:cs="宋体" w:eastAsia="宋体" w:hint="default"/>
                <w:spacing w:val="8"/>
                <w:sz w:val="18"/>
                <w:szCs w:val="18"/>
              </w:rPr>
              <w:t>、南昌红</w:t>
            </w:r>
            <w:r>
              <w:rPr>
                <w:rFonts w:ascii="宋体" w:hAnsi="宋体" w:cs="宋体" w:eastAsia="宋体" w:hint="default"/>
                <w:sz w:val="18"/>
                <w:szCs w:val="18"/>
              </w:rPr>
            </w: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电气借款或占用索瑞电气的资金</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）在本次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土</w:t>
            </w:r>
            <w:r>
              <w:rPr>
                <w:rFonts w:ascii="宋体" w:hAnsi="宋体" w:cs="宋体" w:eastAsia="宋体" w:hint="default"/>
                <w:spacing w:val="-63"/>
                <w:sz w:val="18"/>
                <w:szCs w:val="18"/>
              </w:rPr>
              <w:t> </w:t>
            </w:r>
            <w:r>
              <w:rPr>
                <w:rFonts w:ascii="宋体" w:hAnsi="宋体" w:cs="宋体" w:eastAsia="宋体" w:hint="default"/>
                <w:sz w:val="18"/>
                <w:szCs w:val="18"/>
              </w:rPr>
              <w:t>创</w:t>
            </w:r>
            <w:r>
              <w:rPr>
                <w:rFonts w:ascii="宋体" w:hAnsi="宋体" w:cs="宋体" w:eastAsia="宋体" w:hint="default"/>
                <w:spacing w:val="-63"/>
                <w:sz w:val="18"/>
                <w:szCs w:val="18"/>
              </w:rPr>
              <w:t> </w:t>
            </w:r>
            <w:r>
              <w:rPr>
                <w:rFonts w:ascii="宋体" w:hAnsi="宋体" w:cs="宋体" w:eastAsia="宋体" w:hint="default"/>
                <w:sz w:val="18"/>
                <w:szCs w:val="18"/>
              </w:rPr>
              <w:t>新</w:t>
            </w:r>
            <w:r>
              <w:rPr>
                <w:rFonts w:ascii="宋体" w:hAnsi="宋体" w:cs="宋体" w:eastAsia="宋体" w:hint="default"/>
                <w:spacing w:val="-63"/>
                <w:sz w:val="18"/>
                <w:szCs w:val="18"/>
              </w:rPr>
              <w:t> </w:t>
            </w:r>
            <w:r>
              <w:rPr>
                <w:rFonts w:ascii="宋体" w:hAnsi="宋体" w:cs="宋体" w:eastAsia="宋体" w:hint="default"/>
                <w:sz w:val="18"/>
                <w:szCs w:val="18"/>
              </w:rPr>
              <w:t>资</w:t>
            </w:r>
            <w:r>
              <w:rPr>
                <w:rFonts w:ascii="宋体" w:hAnsi="宋体" w:cs="宋体" w:eastAsia="宋体" w:hint="default"/>
                <w:spacing w:val="-62"/>
                <w:sz w:val="18"/>
                <w:szCs w:val="18"/>
              </w:rPr>
              <w:t> </w:t>
            </w:r>
            <w:r>
              <w:rPr>
                <w:rFonts w:ascii="宋体" w:hAnsi="宋体" w:cs="宋体" w:eastAsia="宋体" w:hint="default"/>
                <w:sz w:val="18"/>
                <w:szCs w:val="18"/>
              </w:rPr>
              <w:t>本</w:t>
            </w:r>
            <w:r>
              <w:rPr>
                <w:rFonts w:ascii="宋体" w:hAnsi="宋体" w:cs="宋体" w:eastAsia="宋体" w:hint="default"/>
                <w:spacing w:val="-63"/>
                <w:sz w:val="18"/>
                <w:szCs w:val="18"/>
              </w:rPr>
              <w:t> </w:t>
            </w:r>
            <w:r>
              <w:rPr>
                <w:rFonts w:ascii="宋体" w:hAnsi="宋体" w:cs="宋体" w:eastAsia="宋体" w:hint="default"/>
                <w:sz w:val="18"/>
                <w:szCs w:val="18"/>
              </w:rPr>
              <w:t>创</w:t>
            </w: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交易完成后，本公司将按照《公司法</w:t>
            </w:r>
            <w:r>
              <w:rPr>
                <w:rFonts w:ascii="宋体" w:hAnsi="宋体" w:cs="宋体" w:eastAsia="宋体" w:hint="default"/>
                <w:spacing w:val="-90"/>
                <w:sz w:val="18"/>
                <w:szCs w:val="18"/>
              </w:rPr>
              <w:t>》、</w:t>
            </w:r>
            <w:r>
              <w:rPr>
                <w:rFonts w:ascii="宋体" w:hAnsi="宋体" w:cs="宋体" w:eastAsia="宋体" w:hint="default"/>
                <w:sz w:val="18"/>
                <w:szCs w:val="18"/>
              </w:rPr>
              <w:t>《证券</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63"/>
                <w:sz w:val="18"/>
                <w:szCs w:val="18"/>
              </w:rPr>
              <w:t> </w:t>
            </w:r>
            <w:r>
              <w:rPr>
                <w:rFonts w:ascii="宋体" w:hAnsi="宋体" w:cs="宋体" w:eastAsia="宋体" w:hint="default"/>
                <w:sz w:val="18"/>
                <w:szCs w:val="18"/>
              </w:rPr>
              <w:t>投</w:t>
            </w:r>
            <w:r>
              <w:rPr>
                <w:rFonts w:ascii="宋体" w:hAnsi="宋体" w:cs="宋体" w:eastAsia="宋体" w:hint="default"/>
                <w:spacing w:val="-63"/>
                <w:sz w:val="18"/>
                <w:szCs w:val="18"/>
              </w:rPr>
              <w:t> </w:t>
            </w:r>
            <w:r>
              <w:rPr>
                <w:rFonts w:ascii="宋体" w:hAnsi="宋体" w:cs="宋体" w:eastAsia="宋体" w:hint="default"/>
                <w:sz w:val="18"/>
                <w:szCs w:val="18"/>
              </w:rPr>
              <w:t>资</w:t>
            </w:r>
            <w:r>
              <w:rPr>
                <w:rFonts w:ascii="宋体" w:hAnsi="宋体" w:cs="宋体" w:eastAsia="宋体" w:hint="default"/>
                <w:spacing w:val="-63"/>
                <w:sz w:val="18"/>
                <w:szCs w:val="18"/>
              </w:rPr>
              <w:t> </w:t>
            </w:r>
            <w:r>
              <w:rPr>
                <w:rFonts w:ascii="宋体" w:hAnsi="宋体" w:cs="宋体" w:eastAsia="宋体" w:hint="default"/>
                <w:sz w:val="18"/>
                <w:szCs w:val="18"/>
              </w:rPr>
              <w:t>有</w:t>
            </w:r>
            <w:r>
              <w:rPr>
                <w:rFonts w:ascii="宋体" w:hAnsi="宋体" w:cs="宋体" w:eastAsia="宋体" w:hint="default"/>
                <w:spacing w:val="-62"/>
                <w:sz w:val="18"/>
                <w:szCs w:val="18"/>
              </w:rPr>
              <w:t> </w:t>
            </w:r>
            <w:r>
              <w:rPr>
                <w:rFonts w:ascii="宋体" w:hAnsi="宋体" w:cs="宋体" w:eastAsia="宋体" w:hint="default"/>
                <w:sz w:val="18"/>
                <w:szCs w:val="18"/>
              </w:rPr>
              <w:t>限</w:t>
            </w:r>
            <w:r>
              <w:rPr>
                <w:rFonts w:ascii="宋体" w:hAnsi="宋体" w:cs="宋体" w:eastAsia="宋体" w:hint="default"/>
                <w:spacing w:val="-63"/>
                <w:sz w:val="18"/>
                <w:szCs w:val="18"/>
              </w:rPr>
              <w:t> </w:t>
            </w:r>
            <w:r>
              <w:rPr>
                <w:rFonts w:ascii="宋体" w:hAnsi="宋体" w:cs="宋体" w:eastAsia="宋体" w:hint="default"/>
                <w:sz w:val="18"/>
                <w:szCs w:val="18"/>
              </w:rPr>
              <w:t>公</w:t>
            </w: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法》和其他有关法律法规对上市公司的要求，</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pacing w:val="-6"/>
                <w:sz w:val="18"/>
                <w:szCs w:val="18"/>
              </w:rPr>
              <w:t>司、湖北红土创</w:t>
            </w: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合法合规地行使股东权利并履行相应的义务，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63"/>
                <w:sz w:val="18"/>
                <w:szCs w:val="18"/>
              </w:rPr>
              <w:t> </w:t>
            </w:r>
            <w:r>
              <w:rPr>
                <w:rFonts w:ascii="宋体" w:hAnsi="宋体" w:cs="宋体" w:eastAsia="宋体" w:hint="default"/>
                <w:sz w:val="18"/>
                <w:szCs w:val="18"/>
              </w:rPr>
              <w:t>投</w:t>
            </w:r>
            <w:r>
              <w:rPr>
                <w:rFonts w:ascii="宋体" w:hAnsi="宋体" w:cs="宋体" w:eastAsia="宋体" w:hint="default"/>
                <w:spacing w:val="-63"/>
                <w:sz w:val="18"/>
                <w:szCs w:val="18"/>
              </w:rPr>
              <w:t> </w:t>
            </w:r>
            <w:r>
              <w:rPr>
                <w:rFonts w:ascii="宋体" w:hAnsi="宋体" w:cs="宋体" w:eastAsia="宋体" w:hint="default"/>
                <w:sz w:val="18"/>
                <w:szCs w:val="18"/>
              </w:rPr>
              <w:t>资</w:t>
            </w:r>
            <w:r>
              <w:rPr>
                <w:rFonts w:ascii="宋体" w:hAnsi="宋体" w:cs="宋体" w:eastAsia="宋体" w:hint="default"/>
                <w:spacing w:val="-63"/>
                <w:sz w:val="18"/>
                <w:szCs w:val="18"/>
              </w:rPr>
              <w:t> </w:t>
            </w:r>
            <w:r>
              <w:rPr>
                <w:rFonts w:ascii="宋体" w:hAnsi="宋体" w:cs="宋体" w:eastAsia="宋体" w:hint="default"/>
                <w:sz w:val="18"/>
                <w:szCs w:val="18"/>
              </w:rPr>
              <w:t>有</w:t>
            </w:r>
            <w:r>
              <w:rPr>
                <w:rFonts w:ascii="宋体" w:hAnsi="宋体" w:cs="宋体" w:eastAsia="宋体" w:hint="default"/>
                <w:spacing w:val="-62"/>
                <w:sz w:val="18"/>
                <w:szCs w:val="18"/>
              </w:rPr>
              <w:t> </w:t>
            </w:r>
            <w:r>
              <w:rPr>
                <w:rFonts w:ascii="宋体" w:hAnsi="宋体" w:cs="宋体" w:eastAsia="宋体" w:hint="default"/>
                <w:sz w:val="18"/>
                <w:szCs w:val="18"/>
              </w:rPr>
              <w:t>限</w:t>
            </w:r>
            <w:r>
              <w:rPr>
                <w:rFonts w:ascii="宋体" w:hAnsi="宋体" w:cs="宋体" w:eastAsia="宋体" w:hint="default"/>
                <w:spacing w:val="-62"/>
                <w:sz w:val="18"/>
                <w:szCs w:val="18"/>
              </w:rPr>
              <w:t> </w:t>
            </w:r>
            <w:r>
              <w:rPr>
                <w:rFonts w:ascii="宋体" w:hAnsi="宋体" w:cs="宋体" w:eastAsia="宋体" w:hint="default"/>
                <w:sz w:val="18"/>
                <w:szCs w:val="18"/>
              </w:rPr>
              <w:t>公</w:t>
            </w: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采取切实有效措施保证光一科技及其子公司在</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业务、资产、人员、机构和财务等方面的独立</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1"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和完整，同时确保光一科技在采购、生产、销</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售、知识产权等方面保持独立，使光一科技具</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有完全和完整的独立经营能力</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）本公司保</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证为本次交易所提供信息的真实、</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不存在虚假记载、误导性陈述或者重大遗漏，</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并对所提供信息的真实性、准确性和完整性承</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担个别和连带的法律责任</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）本承诺函自出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具之日起具有法律效力，构成对本公司具有法</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律约束力的法律文件，本公司保证本承诺函的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内容没有任何虚假记载、误导性陈述或重大遗</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59"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368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漏。</w:t>
            </w:r>
          </w:p>
        </w:tc>
        <w:tc>
          <w:tcPr>
            <w:tcW w:w="994" w:type="dxa"/>
            <w:tcBorders>
              <w:top w:val="nil" w:sz="6" w:space="0" w:color="auto"/>
              <w:left w:val="single" w:sz="6" w:space="0" w:color="000000"/>
              <w:bottom w:val="single" w:sz="6" w:space="0" w:color="000000"/>
              <w:right w:val="single" w:sz="6" w:space="0" w:color="000000"/>
            </w:tcBorders>
          </w:tcPr>
          <w:p>
            <w:pPr/>
          </w:p>
        </w:tc>
        <w:tc>
          <w:tcPr>
            <w:tcW w:w="850" w:type="dxa"/>
            <w:tcBorders>
              <w:top w:val="nil" w:sz="6" w:space="0" w:color="auto"/>
              <w:left w:val="single" w:sz="6" w:space="0" w:color="000000"/>
              <w:bottom w:val="single" w:sz="6" w:space="0" w:color="000000"/>
              <w:right w:val="single" w:sz="6" w:space="0" w:color="000000"/>
            </w:tcBorders>
          </w:tcPr>
          <w:p>
            <w:pPr/>
          </w:p>
        </w:tc>
        <w:tc>
          <w:tcPr>
            <w:tcW w:w="920" w:type="dxa"/>
            <w:tcBorders>
              <w:top w:val="nil" w:sz="6" w:space="0" w:color="auto"/>
              <w:left w:val="single" w:sz="6" w:space="0" w:color="000000"/>
              <w:bottom w:val="single" w:sz="6" w:space="0" w:color="000000"/>
              <w:right w:val="single" w:sz="12" w:space="0" w:color="000000"/>
            </w:tcBorders>
          </w:tcPr>
          <w:p>
            <w:pPr/>
          </w:p>
        </w:tc>
      </w:tr>
      <w:tr>
        <w:trPr>
          <w:trHeight w:val="360" w:hRule="exact"/>
        </w:trPr>
        <w:tc>
          <w:tcPr>
            <w:tcW w:w="1844"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36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关于湖北索瑞电气有限公司租赁使用房屋及厂</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房有关补偿安排的承诺及保证函：本人（任昌</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0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14" w:space="0" w:color="FFFFFF"/>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兆）为湖北索瑞电气有限公司（以下简称“索</w:t>
            </w:r>
          </w:p>
        </w:tc>
        <w:tc>
          <w:tcPr>
            <w:tcW w:w="994" w:type="dxa"/>
            <w:tcBorders>
              <w:top w:val="nil" w:sz="6" w:space="0" w:color="auto"/>
              <w:left w:val="single" w:sz="14" w:space="0" w:color="FFFFFF"/>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634"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157"/>
              <w:ind w:left="20" w:right="0"/>
              <w:jc w:val="left"/>
              <w:rPr>
                <w:rFonts w:ascii="宋体" w:hAnsi="宋体" w:cs="宋体" w:eastAsia="宋体" w:hint="default"/>
                <w:sz w:val="18"/>
                <w:szCs w:val="18"/>
              </w:rPr>
            </w:pPr>
            <w:r>
              <w:rPr>
                <w:rFonts w:ascii="宋体" w:hAnsi="宋体" w:cs="宋体" w:eastAsia="宋体" w:hint="default"/>
                <w:sz w:val="18"/>
                <w:szCs w:val="18"/>
              </w:rPr>
              <w:t>任昌兆</w:t>
            </w:r>
          </w:p>
        </w:tc>
        <w:tc>
          <w:tcPr>
            <w:tcW w:w="3686" w:type="dxa"/>
            <w:tcBorders>
              <w:top w:val="nil" w:sz="6" w:space="0" w:color="auto"/>
              <w:left w:val="single" w:sz="6" w:space="0" w:color="000000"/>
              <w:bottom w:val="nil" w:sz="6" w:space="0" w:color="auto"/>
              <w:right w:val="single" w:sz="14" w:space="0" w:color="FFFFFF"/>
            </w:tcBorders>
          </w:tcPr>
          <w:p>
            <w:pPr>
              <w:pStyle w:val="TableParagraph"/>
              <w:spacing w:line="319" w:lineRule="auto" w:before="20"/>
              <w:ind w:left="21" w:right="-45"/>
              <w:jc w:val="left"/>
              <w:rPr>
                <w:rFonts w:ascii="宋体" w:hAnsi="宋体" w:cs="宋体" w:eastAsia="宋体" w:hint="default"/>
                <w:sz w:val="18"/>
                <w:szCs w:val="18"/>
              </w:rPr>
            </w:pPr>
            <w:r>
              <w:rPr>
                <w:rFonts w:ascii="宋体" w:hAnsi="宋体" w:cs="宋体" w:eastAsia="宋体" w:hint="default"/>
                <w:spacing w:val="-5"/>
                <w:sz w:val="18"/>
                <w:szCs w:val="18"/>
              </w:rPr>
              <w:t>瑞电气”）的实际控制人，索瑞电气及子公司、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办事处因生产经营需要，租赁使用了部分房屋</w:t>
            </w:r>
          </w:p>
        </w:tc>
        <w:tc>
          <w:tcPr>
            <w:tcW w:w="994" w:type="dxa"/>
            <w:tcBorders>
              <w:top w:val="nil" w:sz="6" w:space="0" w:color="auto"/>
              <w:left w:val="single" w:sz="14" w:space="0" w:color="FFFFFF"/>
              <w:bottom w:val="nil" w:sz="6" w:space="0" w:color="auto"/>
              <w:right w:val="single" w:sz="6" w:space="0" w:color="000000"/>
            </w:tcBorders>
          </w:tcPr>
          <w:p>
            <w:pPr>
              <w:pStyle w:val="TableParagraph"/>
              <w:spacing w:line="240" w:lineRule="auto" w:before="1"/>
              <w:ind w:left="1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8"/>
              <w:ind w:left="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before="157"/>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及厂房，因部分租赁房屋尚未取得房屋所有权</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证书，且所有租赁的房屋均未在当地房屋管理</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844"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12" w:space="0" w:color="000000"/>
              <w:right w:val="single" w:sz="6" w:space="0" w:color="000000"/>
            </w:tcBorders>
          </w:tcPr>
          <w:p>
            <w:pPr/>
          </w:p>
        </w:tc>
        <w:tc>
          <w:tcPr>
            <w:tcW w:w="368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部门办理房屋登记备案手续，存在生产经营不</w:t>
            </w:r>
          </w:p>
        </w:tc>
        <w:tc>
          <w:tcPr>
            <w:tcW w:w="994" w:type="dxa"/>
            <w:tcBorders>
              <w:top w:val="nil" w:sz="6" w:space="0" w:color="auto"/>
              <w:left w:val="single" w:sz="6" w:space="0" w:color="000000"/>
              <w:bottom w:val="single" w:sz="12" w:space="0" w:color="000000"/>
              <w:right w:val="single" w:sz="6" w:space="0" w:color="000000"/>
            </w:tcBorders>
          </w:tcPr>
          <w:p>
            <w:pPr/>
          </w:p>
        </w:tc>
        <w:tc>
          <w:tcPr>
            <w:tcW w:w="850" w:type="dxa"/>
            <w:tcBorders>
              <w:top w:val="nil" w:sz="6" w:space="0" w:color="auto"/>
              <w:left w:val="single" w:sz="6" w:space="0" w:color="000000"/>
              <w:bottom w:val="single" w:sz="12" w:space="0" w:color="000000"/>
              <w:right w:val="single" w:sz="6" w:space="0" w:color="000000"/>
            </w:tcBorders>
          </w:tcPr>
          <w:p>
            <w:pPr/>
          </w:p>
        </w:tc>
        <w:tc>
          <w:tcPr>
            <w:tcW w:w="920"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276"/>
        <w:gridCol w:w="3686"/>
        <w:gridCol w:w="994"/>
        <w:gridCol w:w="850"/>
        <w:gridCol w:w="927"/>
      </w:tblGrid>
      <w:tr>
        <w:trPr>
          <w:trHeight w:val="5054" w:hRule="exact"/>
        </w:trPr>
        <w:tc>
          <w:tcPr>
            <w:tcW w:w="1844" w:type="dxa"/>
            <w:vMerge w:val="restart"/>
            <w:tcBorders>
              <w:top w:val="single" w:sz="12" w:space="0" w:color="000000"/>
              <w:left w:val="single" w:sz="12"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3686"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1" w:right="47"/>
              <w:jc w:val="both"/>
              <w:rPr>
                <w:rFonts w:ascii="宋体" w:hAnsi="宋体" w:cs="宋体" w:eastAsia="宋体" w:hint="default"/>
                <w:sz w:val="18"/>
                <w:szCs w:val="18"/>
              </w:rPr>
            </w:pPr>
            <w:r>
              <w:rPr>
                <w:rFonts w:ascii="宋体" w:hAnsi="宋体" w:cs="宋体" w:eastAsia="宋体" w:hint="default"/>
                <w:sz w:val="18"/>
                <w:szCs w:val="18"/>
              </w:rPr>
              <w:t>稳定的风险。对于索瑞电气租赁使用该等房屋 及厂房因国家法律、法规规定，以及地方政府 规划导致该等房屋及厂房占用土地被征用、该 等厂房被拆除以及出租方提前解除租赁合同等 原因影响索瑞电气正常生产经营的，本人不可 </w:t>
            </w:r>
            <w:r>
              <w:rPr>
                <w:rFonts w:ascii="宋体" w:hAnsi="宋体" w:cs="宋体" w:eastAsia="宋体" w:hint="default"/>
                <w:spacing w:val="-5"/>
                <w:sz w:val="18"/>
                <w:szCs w:val="18"/>
              </w:rPr>
              <w:t>撤销地承诺及保证如下：（</w:t>
            </w:r>
            <w:r>
              <w:rPr>
                <w:rFonts w:ascii="宋体" w:hAnsi="宋体" w:cs="宋体" w:eastAsia="宋体" w:hint="default"/>
                <w:spacing w:val="-5"/>
                <w:sz w:val="18"/>
                <w:szCs w:val="18"/>
              </w:rPr>
              <w:t>1</w:t>
            </w:r>
            <w:r>
              <w:rPr>
                <w:rFonts w:ascii="宋体" w:hAnsi="宋体" w:cs="宋体" w:eastAsia="宋体" w:hint="default"/>
                <w:spacing w:val="-5"/>
                <w:sz w:val="18"/>
                <w:szCs w:val="18"/>
              </w:rPr>
              <w:t>）无论何种原因导</w:t>
            </w:r>
            <w:r>
              <w:rPr>
                <w:rFonts w:ascii="宋体" w:hAnsi="宋体" w:cs="宋体" w:eastAsia="宋体" w:hint="default"/>
                <w:spacing w:val="-75"/>
                <w:sz w:val="18"/>
                <w:szCs w:val="18"/>
              </w:rPr>
              <w:t> </w:t>
            </w:r>
            <w:r>
              <w:rPr>
                <w:rFonts w:ascii="宋体" w:hAnsi="宋体" w:cs="宋体" w:eastAsia="宋体" w:hint="default"/>
                <w:sz w:val="18"/>
                <w:szCs w:val="18"/>
              </w:rPr>
              <w:t>致索瑞电气在租赁合同约定有效期内租赁使用 的房屋或厂房被拆除或出租方提前解除租赁合 同，对于索瑞电气搬迁支付的全部费用，以及 </w:t>
            </w:r>
            <w:r>
              <w:rPr>
                <w:rFonts w:ascii="宋体" w:hAnsi="宋体" w:cs="宋体" w:eastAsia="宋体" w:hint="default"/>
                <w:spacing w:val="-5"/>
                <w:sz w:val="18"/>
                <w:szCs w:val="18"/>
              </w:rPr>
              <w:t>因搬迁停产造成的损失由本人全额补偿。（</w:t>
            </w:r>
            <w:r>
              <w:rPr>
                <w:rFonts w:ascii="宋体" w:hAnsi="宋体" w:cs="宋体" w:eastAsia="宋体"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本函出具之日即发生法律效力，于任何时候均 对本人具有不可撤销的法律约束力。如因本人 未履行本函所述承诺及保证义务的，索瑞电气 及按照国家法律法规及索瑞电气章程享有诉讼 代表权利的股东等均有权依据本函依法提起诉 讼。</w:t>
            </w:r>
          </w:p>
        </w:tc>
        <w:tc>
          <w:tcPr>
            <w:tcW w:w="994" w:type="dxa"/>
            <w:tcBorders>
              <w:top w:val="single" w:sz="12" w:space="0" w:color="000000"/>
              <w:left w:val="single" w:sz="6" w:space="0" w:color="000000"/>
              <w:bottom w:val="single" w:sz="6" w:space="0" w:color="000000"/>
              <w:right w:val="single" w:sz="6" w:space="0" w:color="000000"/>
            </w:tcBorders>
          </w:tcPr>
          <w:p>
            <w:pPr/>
          </w:p>
        </w:tc>
        <w:tc>
          <w:tcPr>
            <w:tcW w:w="850" w:type="dxa"/>
            <w:tcBorders>
              <w:top w:val="single" w:sz="12" w:space="0" w:color="000000"/>
              <w:left w:val="single" w:sz="6" w:space="0" w:color="000000"/>
              <w:bottom w:val="single" w:sz="6" w:space="0" w:color="000000"/>
              <w:right w:val="single" w:sz="6" w:space="0" w:color="000000"/>
            </w:tcBorders>
          </w:tcPr>
          <w:p>
            <w:pPr/>
          </w:p>
        </w:tc>
        <w:tc>
          <w:tcPr>
            <w:tcW w:w="927" w:type="dxa"/>
            <w:tcBorders>
              <w:top w:val="single" w:sz="12" w:space="0" w:color="000000"/>
              <w:left w:val="single" w:sz="6" w:space="0" w:color="000000"/>
              <w:bottom w:val="single" w:sz="6" w:space="0" w:color="000000"/>
              <w:right w:val="single" w:sz="12" w:space="0" w:color="000000"/>
            </w:tcBorders>
          </w:tcPr>
          <w:p>
            <w:pPr/>
          </w:p>
        </w:tc>
      </w:tr>
      <w:tr>
        <w:trPr>
          <w:trHeight w:val="1967" w:hRule="exact"/>
        </w:trPr>
        <w:tc>
          <w:tcPr>
            <w:tcW w:w="1844"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周军</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1" w:right="0"/>
              <w:jc w:val="both"/>
              <w:rPr>
                <w:rFonts w:ascii="宋体" w:hAnsi="宋体" w:cs="宋体" w:eastAsia="宋体" w:hint="default"/>
                <w:sz w:val="18"/>
                <w:szCs w:val="18"/>
              </w:rPr>
            </w:pPr>
            <w:r>
              <w:rPr>
                <w:rFonts w:ascii="宋体" w:hAnsi="宋体" w:cs="宋体" w:eastAsia="宋体" w:hint="default"/>
                <w:spacing w:val="-4"/>
                <w:sz w:val="18"/>
                <w:szCs w:val="18"/>
              </w:rPr>
              <w:t>关于重大资产重组事项的承诺：本人于</w:t>
            </w:r>
            <w:r>
              <w:rPr>
                <w:rFonts w:ascii="宋体" w:hAnsi="宋体" w:cs="宋体" w:eastAsia="宋体" w:hint="default"/>
                <w:spacing w:val="-43"/>
                <w:sz w:val="18"/>
                <w:szCs w:val="18"/>
              </w:rPr>
              <w:t> </w:t>
            </w: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5"/>
              <w:ind w:left="21" w:right="0"/>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4"/>
                <w:sz w:val="18"/>
                <w:szCs w:val="18"/>
              </w:rPr>
              <w:t> </w:t>
            </w:r>
            <w:r>
              <w:rPr>
                <w:rFonts w:ascii="宋体" w:hAnsi="宋体" w:cs="宋体" w:eastAsia="宋体" w:hint="default"/>
                <w:sz w:val="18"/>
                <w:szCs w:val="18"/>
              </w:rPr>
              <w:t>月从湖北省公安电业有限责任公司处受让索</w:t>
            </w:r>
          </w:p>
          <w:p>
            <w:pPr>
              <w:pStyle w:val="TableParagraph"/>
              <w:spacing w:line="319" w:lineRule="auto" w:before="76"/>
              <w:ind w:left="21" w:right="18"/>
              <w:jc w:val="both"/>
              <w:rPr>
                <w:rFonts w:ascii="宋体" w:hAnsi="宋体" w:cs="宋体" w:eastAsia="宋体" w:hint="default"/>
                <w:sz w:val="18"/>
                <w:szCs w:val="18"/>
              </w:rPr>
            </w:pPr>
            <w:r>
              <w:rPr>
                <w:rFonts w:ascii="宋体" w:hAnsi="宋体" w:cs="宋体" w:eastAsia="宋体" w:hint="default"/>
                <w:sz w:val="18"/>
                <w:szCs w:val="18"/>
              </w:rPr>
              <w:t>瑞电气</w:t>
            </w:r>
            <w:r>
              <w:rPr>
                <w:rFonts w:ascii="宋体" w:hAnsi="宋体" w:cs="宋体" w:eastAsia="宋体" w:hint="default"/>
                <w:spacing w:val="-45"/>
                <w:sz w:val="18"/>
                <w:szCs w:val="18"/>
              </w:rPr>
              <w:t> </w:t>
            </w:r>
            <w:r>
              <w:rPr>
                <w:rFonts w:ascii="宋体" w:hAnsi="宋体" w:cs="宋体" w:eastAsia="宋体" w:hint="default"/>
                <w:sz w:val="18"/>
                <w:szCs w:val="18"/>
              </w:rPr>
              <w:t>80</w:t>
            </w:r>
            <w:r>
              <w:rPr>
                <w:rFonts w:ascii="宋体" w:hAnsi="宋体" w:cs="宋体" w:eastAsia="宋体" w:hint="default"/>
                <w:spacing w:val="-45"/>
                <w:sz w:val="18"/>
                <w:szCs w:val="18"/>
              </w:rPr>
              <w:t> </w:t>
            </w:r>
            <w:r>
              <w:rPr>
                <w:rFonts w:ascii="宋体" w:hAnsi="宋体" w:cs="宋体" w:eastAsia="宋体" w:hint="default"/>
                <w:spacing w:val="-4"/>
                <w:sz w:val="18"/>
                <w:szCs w:val="18"/>
              </w:rPr>
              <w:t>万元出资额，若因上述股权与与湖北</w:t>
            </w:r>
            <w:r>
              <w:rPr>
                <w:rFonts w:ascii="宋体" w:hAnsi="宋体" w:cs="宋体" w:eastAsia="宋体" w:hint="default"/>
                <w:sz w:val="18"/>
                <w:szCs w:val="18"/>
              </w:rPr>
              <w:t> 省公安电业有限责任公司之间出现纠纷或争议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从而给索瑞电气或者光一科技带来损失，本人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将全额承担相应的损失。</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152" w:hRule="exact"/>
        </w:trPr>
        <w:tc>
          <w:tcPr>
            <w:tcW w:w="1844"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任昌兆</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18"/>
              <w:jc w:val="both"/>
              <w:rPr>
                <w:rFonts w:ascii="宋体" w:hAnsi="宋体" w:cs="宋体" w:eastAsia="宋体" w:hint="default"/>
                <w:sz w:val="18"/>
                <w:szCs w:val="18"/>
              </w:rPr>
            </w:pPr>
            <w:r>
              <w:rPr>
                <w:rFonts w:ascii="宋体" w:hAnsi="宋体" w:cs="宋体" w:eastAsia="宋体" w:hint="default"/>
                <w:sz w:val="18"/>
                <w:szCs w:val="18"/>
              </w:rPr>
              <w:t>关于盈利承诺期内索瑞电气与陕西福星电网设 </w:t>
            </w:r>
            <w:r>
              <w:rPr>
                <w:rFonts w:ascii="宋体" w:hAnsi="宋体" w:cs="宋体" w:eastAsia="宋体" w:hint="default"/>
                <w:spacing w:val="-5"/>
                <w:sz w:val="18"/>
                <w:szCs w:val="18"/>
              </w:rPr>
              <w:t>备有限责任公司交易价格公允性的承诺：（</w:t>
            </w:r>
            <w:r>
              <w:rPr>
                <w:rFonts w:ascii="宋体" w:hAnsi="宋体" w:cs="宋体" w:eastAsia="宋体"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盈利承诺期内，索瑞电气向陕西福星销售电能 计量箱的毛利率与索瑞电气对陕西福星以外的 其他客户销售电能计量箱毛利率基本一致，毛 利率绝对值相差不超过</w:t>
            </w:r>
            <w:r>
              <w:rPr>
                <w:rFonts w:ascii="宋体" w:hAnsi="宋体" w:cs="宋体" w:eastAsia="宋体" w:hint="default"/>
                <w:spacing w:val="-46"/>
                <w:sz w:val="18"/>
                <w:szCs w:val="18"/>
              </w:rPr>
              <w:t> </w:t>
            </w:r>
            <w:r>
              <w:rPr>
                <w:rFonts w:ascii="宋体" w:hAnsi="宋体" w:cs="宋体" w:eastAsia="宋体" w:hint="default"/>
                <w:spacing w:val="-9"/>
                <w:sz w:val="18"/>
                <w:szCs w:val="18"/>
              </w:rPr>
              <w:t>5%</w:t>
            </w:r>
            <w:r>
              <w:rPr>
                <w:rFonts w:ascii="宋体" w:hAnsi="宋体" w:cs="宋体" w:eastAsia="宋体" w:hint="default"/>
                <w:spacing w:val="-9"/>
                <w:sz w:val="18"/>
                <w:szCs w:val="18"/>
              </w:rPr>
              <w:t>；（</w:t>
            </w:r>
            <w:r>
              <w:rPr>
                <w:rFonts w:ascii="宋体" w:hAnsi="宋体" w:cs="宋体" w:eastAsia="宋体" w:hint="default"/>
                <w:spacing w:val="-9"/>
                <w:sz w:val="18"/>
                <w:szCs w:val="18"/>
              </w:rPr>
              <w:t>2</w:t>
            </w:r>
            <w:r>
              <w:rPr>
                <w:rFonts w:ascii="宋体" w:hAnsi="宋体" w:cs="宋体" w:eastAsia="宋体" w:hint="default"/>
                <w:spacing w:val="-9"/>
                <w:sz w:val="18"/>
                <w:szCs w:val="18"/>
              </w:rPr>
              <w:t>）自本承诺作出</w:t>
            </w:r>
            <w:r>
              <w:rPr>
                <w:rFonts w:ascii="宋体" w:hAnsi="宋体" w:cs="宋体" w:eastAsia="宋体" w:hint="default"/>
                <w:sz w:val="18"/>
                <w:szCs w:val="18"/>
              </w:rPr>
              <w:t> 之日起，盈利承诺期内，索瑞电气不再从陕西 </w:t>
            </w:r>
            <w:r>
              <w:rPr>
                <w:rFonts w:ascii="宋体" w:hAnsi="宋体" w:cs="宋体" w:eastAsia="宋体" w:hint="default"/>
                <w:spacing w:val="-5"/>
                <w:sz w:val="18"/>
                <w:szCs w:val="18"/>
              </w:rPr>
              <w:t>福星采购任何产品。（</w:t>
            </w:r>
            <w:r>
              <w:rPr>
                <w:rFonts w:ascii="宋体" w:hAnsi="宋体" w:cs="宋体" w:eastAsia="宋体" w:hint="default"/>
                <w:spacing w:val="-5"/>
                <w:sz w:val="18"/>
                <w:szCs w:val="18"/>
              </w:rPr>
              <w:t>3</w:t>
            </w:r>
            <w:r>
              <w:rPr>
                <w:rFonts w:ascii="宋体" w:hAnsi="宋体" w:cs="宋体" w:eastAsia="宋体" w:hint="default"/>
                <w:spacing w:val="-5"/>
                <w:sz w:val="18"/>
                <w:szCs w:val="18"/>
              </w:rPr>
              <w:t>）索瑞电气与陕西福星</w:t>
            </w:r>
            <w:r>
              <w:rPr>
                <w:rFonts w:ascii="宋体" w:hAnsi="宋体" w:cs="宋体" w:eastAsia="宋体" w:hint="default"/>
                <w:spacing w:val="-75"/>
                <w:sz w:val="18"/>
                <w:szCs w:val="18"/>
              </w:rPr>
              <w:t> </w:t>
            </w:r>
            <w:r>
              <w:rPr>
                <w:rFonts w:ascii="宋体" w:hAnsi="宋体" w:cs="宋体" w:eastAsia="宋体" w:hint="default"/>
                <w:sz w:val="18"/>
                <w:szCs w:val="18"/>
              </w:rPr>
              <w:t>之间的交易遵循交易市场价格交易的原则，不 会利用索瑞电气与陕西福星之间的交易损害上 </w:t>
            </w:r>
            <w:r>
              <w:rPr>
                <w:rFonts w:ascii="宋体" w:hAnsi="宋体" w:cs="宋体" w:eastAsia="宋体" w:hint="default"/>
                <w:spacing w:val="-5"/>
                <w:sz w:val="18"/>
                <w:szCs w:val="18"/>
              </w:rPr>
              <w:t>市公司的利益。（</w:t>
            </w:r>
            <w:r>
              <w:rPr>
                <w:rFonts w:ascii="宋体" w:hAnsi="宋体" w:cs="宋体" w:eastAsia="宋体" w:hint="default"/>
                <w:spacing w:val="-5"/>
                <w:sz w:val="18"/>
                <w:szCs w:val="18"/>
              </w:rPr>
              <w:t>4</w:t>
            </w:r>
            <w:r>
              <w:rPr>
                <w:rFonts w:ascii="宋体" w:hAnsi="宋体" w:cs="宋体" w:eastAsia="宋体" w:hint="default"/>
                <w:spacing w:val="-5"/>
                <w:sz w:val="18"/>
                <w:szCs w:val="18"/>
              </w:rPr>
              <w:t>）若索瑞电气与陕西福星之</w:t>
            </w:r>
            <w:r>
              <w:rPr>
                <w:rFonts w:ascii="宋体" w:hAnsi="宋体" w:cs="宋体" w:eastAsia="宋体" w:hint="default"/>
                <w:spacing w:val="-75"/>
                <w:sz w:val="18"/>
                <w:szCs w:val="18"/>
              </w:rPr>
              <w:t> </w:t>
            </w:r>
            <w:r>
              <w:rPr>
                <w:rFonts w:ascii="宋体" w:hAnsi="宋体" w:cs="宋体" w:eastAsia="宋体" w:hint="default"/>
                <w:sz w:val="18"/>
                <w:szCs w:val="18"/>
              </w:rPr>
              <w:t>间的交易情况与上述承诺事项不符，任昌兆先 生愿意承诺相应的法律责任。</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04</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558" w:hRule="exact"/>
        </w:trPr>
        <w:tc>
          <w:tcPr>
            <w:tcW w:w="1844"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0" w:right="158"/>
              <w:jc w:val="both"/>
              <w:rPr>
                <w:rFonts w:ascii="宋体" w:hAnsi="宋体" w:cs="宋体" w:eastAsia="宋体" w:hint="default"/>
                <w:sz w:val="18"/>
                <w:szCs w:val="18"/>
              </w:rPr>
            </w:pPr>
            <w:r>
              <w:rPr>
                <w:rFonts w:ascii="宋体" w:hAnsi="宋体" w:cs="宋体" w:eastAsia="宋体" w:hint="default"/>
                <w:sz w:val="18"/>
                <w:szCs w:val="18"/>
              </w:rPr>
              <w:t>江苏光一投资 管理有限责任 公司、龙昌明</w:t>
            </w:r>
          </w:p>
        </w:tc>
        <w:tc>
          <w:tcPr>
            <w:tcW w:w="368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1"/>
              <w:ind w:left="21" w:right="18"/>
              <w:jc w:val="both"/>
              <w:rPr>
                <w:rFonts w:ascii="宋体" w:hAnsi="宋体" w:cs="宋体" w:eastAsia="宋体" w:hint="default"/>
                <w:sz w:val="18"/>
                <w:szCs w:val="18"/>
              </w:rPr>
            </w:pPr>
            <w:r>
              <w:rPr>
                <w:rFonts w:ascii="宋体" w:hAnsi="宋体" w:cs="宋体" w:eastAsia="宋体" w:hint="default"/>
                <w:spacing w:val="10"/>
                <w:sz w:val="18"/>
                <w:szCs w:val="18"/>
              </w:rPr>
              <w:t>公司控股股东江苏光一投资管理有限责任公</w:t>
            </w:r>
            <w:r>
              <w:rPr>
                <w:rFonts w:ascii="宋体" w:hAnsi="宋体" w:cs="宋体" w:eastAsia="宋体" w:hint="default"/>
                <w:sz w:val="18"/>
                <w:szCs w:val="18"/>
              </w:rPr>
              <w:t> 司、实际控制人龙昌明先生就公司发行股份及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支付现金购买湖北索瑞电气有限公司</w:t>
            </w:r>
            <w:r>
              <w:rPr>
                <w:rFonts w:ascii="宋体" w:hAnsi="宋体" w:cs="宋体" w:eastAsia="宋体" w:hint="default"/>
                <w:spacing w:val="-61"/>
                <w:sz w:val="18"/>
                <w:szCs w:val="18"/>
              </w:rPr>
              <w:t> </w:t>
            </w:r>
            <w:r>
              <w:rPr>
                <w:rFonts w:ascii="宋体" w:hAnsi="宋体" w:cs="宋体" w:eastAsia="宋体" w:hint="default"/>
                <w:sz w:val="18"/>
                <w:szCs w:val="18"/>
              </w:rPr>
              <w:t>84.82%</w:t>
            </w:r>
            <w:r>
              <w:rPr>
                <w:rFonts w:ascii="宋体" w:hAnsi="宋体" w:cs="宋体" w:eastAsia="宋体" w:hint="default"/>
                <w:sz w:val="18"/>
                <w:szCs w:val="18"/>
              </w:rPr>
              <w:t>股 权事项</w:t>
            </w:r>
            <w:r>
              <w:rPr>
                <w:rFonts w:ascii="宋体" w:hAnsi="宋体" w:cs="宋体" w:eastAsia="宋体" w:hint="default"/>
                <w:spacing w:val="5"/>
                <w:sz w:val="18"/>
                <w:szCs w:val="18"/>
              </w:rPr>
              <w:t> </w:t>
            </w:r>
            <w:r>
              <w:rPr>
                <w:rFonts w:ascii="宋体" w:hAnsi="宋体" w:cs="宋体" w:eastAsia="宋体" w:hint="default"/>
                <w:spacing w:val="-4"/>
                <w:sz w:val="18"/>
                <w:szCs w:val="18"/>
              </w:rPr>
              <w:t>1</w:t>
            </w:r>
            <w:r>
              <w:rPr>
                <w:rFonts w:ascii="宋体" w:hAnsi="宋体" w:cs="宋体" w:eastAsia="宋体" w:hint="default"/>
                <w:spacing w:val="-4"/>
                <w:sz w:val="18"/>
                <w:szCs w:val="18"/>
              </w:rPr>
              <w:t>、关于避免同业竞争的承诺：（</w:t>
            </w:r>
            <w:r>
              <w:rPr>
                <w:rFonts w:ascii="宋体" w:hAnsi="宋体" w:cs="宋体" w:eastAsia="宋体" w:hint="default"/>
                <w:spacing w:val="-4"/>
                <w:sz w:val="18"/>
                <w:szCs w:val="18"/>
              </w:rPr>
              <w:t>1</w:t>
            </w:r>
            <w:r>
              <w:rPr>
                <w:rFonts w:ascii="宋体" w:hAnsi="宋体" w:cs="宋体" w:eastAsia="宋体" w:hint="default"/>
                <w:spacing w:val="-4"/>
                <w:sz w:val="18"/>
                <w:szCs w:val="18"/>
              </w:rPr>
              <w:t>）本</w:t>
            </w:r>
            <w:r>
              <w:rPr>
                <w:rFonts w:ascii="宋体" w:hAnsi="宋体" w:cs="宋体" w:eastAsia="宋体" w:hint="default"/>
                <w:spacing w:val="1"/>
                <w:sz w:val="18"/>
                <w:szCs w:val="18"/>
              </w:rPr>
              <w:t> </w:t>
            </w:r>
            <w:r>
              <w:rPr>
                <w:rFonts w:ascii="宋体" w:hAnsi="宋体" w:cs="宋体" w:eastAsia="宋体" w:hint="default"/>
                <w:sz w:val="18"/>
                <w:szCs w:val="18"/>
              </w:rPr>
              <w:t>次交易完成后，在作为光一科技股东期间，本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公司</w:t>
            </w:r>
            <w:r>
              <w:rPr>
                <w:rFonts w:ascii="宋体" w:hAnsi="宋体" w:cs="宋体" w:eastAsia="宋体" w:hint="default"/>
                <w:spacing w:val="5"/>
                <w:sz w:val="18"/>
                <w:szCs w:val="18"/>
              </w:rPr>
              <w:t>/</w:t>
            </w:r>
            <w:r>
              <w:rPr>
                <w:rFonts w:ascii="宋体" w:hAnsi="宋体" w:cs="宋体" w:eastAsia="宋体" w:hint="default"/>
                <w:spacing w:val="5"/>
                <w:sz w:val="18"/>
                <w:szCs w:val="18"/>
              </w:rPr>
              <w:t>本人及控制的其他企业不会直接或间接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从事任何与光一科技及其下属公司主要经营业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务构成同业竞争或潜在同业竞争关系的生产与</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97.299988pt;margin-top:73.499985pt;width:49pt;height:686.5pt;mso-position-horizontal-relative:page;mso-position-vertical-relative:page;z-index:-913456" coordorigin="7946,1470" coordsize="980,13730">
            <v:shape style="position:absolute;left:7946;top:1470;width:980;height:13730" coordorigin="7946,1470" coordsize="980,13730" path="m7946,15199l8926,15199,8926,1470,7946,1470,7946,15199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276"/>
        <w:gridCol w:w="3686"/>
        <w:gridCol w:w="994"/>
        <w:gridCol w:w="850"/>
        <w:gridCol w:w="920"/>
      </w:tblGrid>
      <w:tr>
        <w:trPr>
          <w:trHeight w:val="327" w:hRule="exact"/>
        </w:trPr>
        <w:tc>
          <w:tcPr>
            <w:tcW w:w="1844" w:type="dxa"/>
            <w:vMerge w:val="restart"/>
            <w:tcBorders>
              <w:top w:val="single" w:sz="12" w:space="0" w:color="000000"/>
              <w:left w:val="single" w:sz="12" w:space="0" w:color="000000"/>
              <w:right w:val="single" w:sz="6" w:space="0" w:color="000000"/>
            </w:tcBorders>
            <w:shd w:val="clear" w:color="auto" w:fill="D2D2D2"/>
          </w:tcPr>
          <w:p>
            <w:pPr/>
          </w:p>
        </w:tc>
        <w:tc>
          <w:tcPr>
            <w:tcW w:w="1276" w:type="dxa"/>
            <w:vMerge w:val="restart"/>
            <w:tcBorders>
              <w:top w:val="single" w:sz="12" w:space="0" w:color="000000"/>
              <w:left w:val="single" w:sz="6" w:space="0" w:color="000000"/>
              <w:right w:val="single" w:sz="6" w:space="0" w:color="000000"/>
            </w:tcBorders>
          </w:tcPr>
          <w:p>
            <w:pPr/>
          </w:p>
        </w:tc>
        <w:tc>
          <w:tcPr>
            <w:tcW w:w="368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经营业务，亦不会投资任何与光一科技及其下</w:t>
            </w:r>
          </w:p>
        </w:tc>
        <w:tc>
          <w:tcPr>
            <w:tcW w:w="994" w:type="dxa"/>
            <w:tcBorders>
              <w:top w:val="single" w:sz="12" w:space="0" w:color="000000"/>
              <w:left w:val="single" w:sz="6" w:space="0" w:color="000000"/>
              <w:bottom w:val="nil" w:sz="6" w:space="0" w:color="auto"/>
              <w:right w:val="single" w:sz="6" w:space="0" w:color="000000"/>
            </w:tcBorders>
          </w:tcPr>
          <w:p>
            <w:pPr/>
          </w:p>
        </w:tc>
        <w:tc>
          <w:tcPr>
            <w:tcW w:w="850" w:type="dxa"/>
            <w:vMerge w:val="restart"/>
            <w:tcBorders>
              <w:top w:val="single" w:sz="12" w:space="0" w:color="000000"/>
              <w:left w:val="single" w:sz="6" w:space="0" w:color="000000"/>
              <w:right w:val="single" w:sz="6" w:space="0" w:color="000000"/>
            </w:tcBorders>
          </w:tcPr>
          <w:p>
            <w:pPr/>
          </w:p>
        </w:tc>
        <w:tc>
          <w:tcPr>
            <w:tcW w:w="920" w:type="dxa"/>
            <w:vMerge w:val="restart"/>
            <w:tcBorders>
              <w:top w:val="single" w:sz="12" w:space="0" w:color="000000"/>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属公司主要经营业务构成同业竞争或潜在同业</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竞争关系的</w:t>
            </w:r>
            <w:r>
              <w:rPr>
                <w:rFonts w:ascii="宋体" w:hAnsi="宋体" w:cs="宋体" w:eastAsia="宋体" w:hint="default"/>
                <w:spacing w:val="2"/>
                <w:sz w:val="18"/>
                <w:szCs w:val="18"/>
              </w:rPr>
              <w:t>其</w:t>
            </w:r>
            <w:r>
              <w:rPr>
                <w:rFonts w:ascii="宋体" w:hAnsi="宋体" w:cs="宋体" w:eastAsia="宋体" w:hint="default"/>
                <w:spacing w:val="1"/>
                <w:sz w:val="18"/>
                <w:szCs w:val="18"/>
              </w:rPr>
              <w:t>他企业</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在上述期间</w:t>
            </w:r>
            <w:r>
              <w:rPr>
                <w:rFonts w:ascii="宋体" w:hAnsi="宋体" w:cs="宋体" w:eastAsia="宋体" w:hint="default"/>
                <w:spacing w:val="2"/>
                <w:sz w:val="18"/>
                <w:szCs w:val="18"/>
              </w:rPr>
              <w:t>，</w:t>
            </w:r>
            <w:r>
              <w:rPr>
                <w:rFonts w:ascii="宋体" w:hAnsi="宋体" w:cs="宋体" w:eastAsia="宋体" w:hint="default"/>
                <w:spacing w:val="1"/>
                <w:sz w:val="18"/>
                <w:szCs w:val="18"/>
              </w:rPr>
              <w:t>如</w:t>
            </w:r>
            <w:r>
              <w:rPr>
                <w:rFonts w:ascii="宋体" w:hAnsi="宋体" w:cs="宋体" w:eastAsia="宋体" w:hint="default"/>
                <w:sz w:val="18"/>
                <w:szCs w:val="18"/>
              </w:rPr>
              <w:t>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pacing w:val="5"/>
                <w:sz w:val="18"/>
                <w:szCs w:val="18"/>
              </w:rPr>
              <w:t>/</w:t>
            </w:r>
            <w:r>
              <w:rPr>
                <w:rFonts w:ascii="宋体" w:hAnsi="宋体" w:cs="宋体" w:eastAsia="宋体" w:hint="default"/>
                <w:spacing w:val="5"/>
                <w:sz w:val="18"/>
                <w:szCs w:val="18"/>
              </w:rPr>
              <w:t>本人及控制的企业的现有业务或该等企</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业为进一步拓展业务范围，与光一科技及其下</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属公司经营的业务产生竞争，则本公司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本人及</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控制的企业将采取停止经营产生竞争的业务的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方式，或者采取将产生竞争的业务纳入光一科</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技的方式，或者采取将产生竞争的业务转让给</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5"/>
                <w:sz w:val="18"/>
                <w:szCs w:val="18"/>
              </w:rPr>
              <w:t>无关联关系第三方等的合法方式，使本公司</w:t>
            </w:r>
            <w:r>
              <w:rPr>
                <w:rFonts w:ascii="宋体" w:hAnsi="宋体" w:cs="宋体" w:eastAsia="宋体" w:hint="default"/>
                <w:spacing w:val="5"/>
                <w:sz w:val="18"/>
                <w:szCs w:val="18"/>
              </w:rPr>
              <w:t>/</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本人及控制的企业不再从事与光一科技主营业</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务相同或类</w:t>
            </w:r>
            <w:r>
              <w:rPr>
                <w:rFonts w:ascii="宋体" w:hAnsi="宋体" w:cs="宋体" w:eastAsia="宋体" w:hint="default"/>
                <w:spacing w:val="2"/>
                <w:sz w:val="18"/>
                <w:szCs w:val="18"/>
              </w:rPr>
              <w:t>似</w:t>
            </w:r>
            <w:r>
              <w:rPr>
                <w:rFonts w:ascii="宋体" w:hAnsi="宋体" w:cs="宋体" w:eastAsia="宋体" w:hint="default"/>
                <w:spacing w:val="1"/>
                <w:sz w:val="18"/>
                <w:szCs w:val="18"/>
              </w:rPr>
              <w:t>的业务</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w:t>
            </w:r>
            <w:r>
              <w:rPr>
                <w:rFonts w:ascii="宋体" w:hAnsi="宋体" w:cs="宋体" w:eastAsia="宋体" w:hint="default"/>
                <w:spacing w:val="1"/>
                <w:sz w:val="18"/>
                <w:szCs w:val="18"/>
              </w:rPr>
              <w:t>本函自签署</w:t>
            </w:r>
            <w:r>
              <w:rPr>
                <w:rFonts w:ascii="宋体" w:hAnsi="宋体" w:cs="宋体" w:eastAsia="宋体" w:hint="default"/>
                <w:spacing w:val="2"/>
                <w:sz w:val="18"/>
                <w:szCs w:val="18"/>
              </w:rPr>
              <w:t>出</w:t>
            </w:r>
            <w:r>
              <w:rPr>
                <w:rFonts w:ascii="宋体" w:hAnsi="宋体" w:cs="宋体" w:eastAsia="宋体" w:hint="default"/>
                <w:spacing w:val="1"/>
                <w:sz w:val="18"/>
                <w:szCs w:val="18"/>
              </w:rPr>
              <w:t>具</w:t>
            </w:r>
            <w:r>
              <w:rPr>
                <w:rFonts w:ascii="宋体" w:hAnsi="宋体" w:cs="宋体" w:eastAsia="宋体" w:hint="default"/>
                <w:sz w:val="18"/>
                <w:szCs w:val="18"/>
              </w:rPr>
              <w:t>之</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日起立即生效，即对本公司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本人具有法律约束</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力。自本函生效至本公司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本人作为光一科技股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东的任何时候，本公司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本人将严格遵守并履行</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本函所作的承诺及保证义务；对于违反本函承</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诺及保证义务的，本公司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本人承诺采取一切必</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要且有效的措施及时纠正消除由此造成光一科</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技的不利影响，并对造成光一科技直接和间接</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损失承担赔偿责任。</w:t>
            </w:r>
            <w:r>
              <w:rPr>
                <w:rFonts w:ascii="宋体" w:hAnsi="宋体" w:cs="宋体" w:eastAsia="宋体" w:hint="default"/>
                <w:spacing w:val="-3"/>
                <w:sz w:val="18"/>
                <w:szCs w:val="18"/>
              </w:rPr>
              <w:t>2</w:t>
            </w:r>
            <w:r>
              <w:rPr>
                <w:rFonts w:ascii="宋体" w:hAnsi="宋体" w:cs="宋体" w:eastAsia="宋体" w:hint="default"/>
                <w:spacing w:val="-3"/>
                <w:sz w:val="18"/>
                <w:szCs w:val="18"/>
              </w:rPr>
              <w:t>、关于减少和规范关联交</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易的承诺</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pacing w:val="-21"/>
                <w:sz w:val="18"/>
                <w:szCs w:val="18"/>
              </w:rPr>
              <w:t>）</w:t>
            </w:r>
            <w:r>
              <w:rPr>
                <w:rFonts w:ascii="宋体" w:hAnsi="宋体" w:cs="宋体" w:eastAsia="宋体" w:hint="default"/>
                <w:sz w:val="18"/>
                <w:szCs w:val="18"/>
              </w:rPr>
              <w:t>本次交易完成后</w:t>
            </w:r>
            <w:r>
              <w:rPr>
                <w:rFonts w:ascii="宋体" w:hAnsi="宋体" w:cs="宋体" w:eastAsia="宋体" w:hint="default"/>
                <w:spacing w:val="-21"/>
                <w:sz w:val="18"/>
                <w:szCs w:val="18"/>
              </w:rPr>
              <w:t>，</w:t>
            </w:r>
            <w:r>
              <w:rPr>
                <w:rFonts w:ascii="宋体" w:hAnsi="宋体" w:cs="宋体" w:eastAsia="宋体" w:hint="default"/>
                <w:sz w:val="18"/>
                <w:szCs w:val="18"/>
              </w:rPr>
              <w:t>本公</w:t>
            </w:r>
            <w:r>
              <w:rPr>
                <w:rFonts w:ascii="宋体" w:hAnsi="宋体" w:cs="宋体" w:eastAsia="宋体" w:hint="default"/>
                <w:spacing w:val="-1"/>
                <w:sz w:val="18"/>
                <w:szCs w:val="18"/>
              </w:rPr>
              <w:t>司</w:t>
            </w:r>
            <w:r>
              <w:rPr>
                <w:rFonts w:ascii="宋体" w:hAnsi="宋体" w:cs="宋体" w:eastAsia="宋体" w:hint="default"/>
                <w:sz w:val="18"/>
                <w:szCs w:val="18"/>
              </w:rPr>
              <w:t>/</w:t>
            </w:r>
            <w:r>
              <w:rPr>
                <w:rFonts w:ascii="宋体" w:hAnsi="宋体" w:cs="宋体" w:eastAsia="宋体" w:hint="default"/>
                <w:sz w:val="18"/>
                <w:szCs w:val="18"/>
              </w:rPr>
              <w:t>本人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及直接或间接控制或影响的企业与重组后的光</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一科技及其控股企业之间将减少并尽可能避免</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关联交易。对于无法避免或者有合理原因而发</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生的关联交易，本公司</w:t>
            </w:r>
            <w:r>
              <w:rPr>
                <w:rFonts w:ascii="宋体" w:hAnsi="宋体" w:cs="宋体" w:eastAsia="宋体" w:hint="default"/>
                <w:sz w:val="18"/>
                <w:szCs w:val="18"/>
              </w:rPr>
              <w:t>/</w:t>
            </w:r>
            <w:r>
              <w:rPr>
                <w:rFonts w:ascii="宋体" w:hAnsi="宋体" w:cs="宋体" w:eastAsia="宋体" w:hint="default"/>
                <w:sz w:val="18"/>
                <w:szCs w:val="18"/>
              </w:rPr>
              <w:t>本人承诺将按照公平</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54"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公允、等价有偿等原则依法签订协议，履行合</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法程序，并将按照有关法律、法规、其他规范</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性文件以及光一科技公司章程等的规定，依法</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履行相关内部决策批准程序并及时履行信息披</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露义务，保证不以与市场价格相比显失公允的</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条件与光一科技进行交易，保证不利用关联交</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易非法转移光一科技的资金、利润，亦不利用</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该类交易从事任何损害光一科技及其他股东合</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法权益的行为</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31"/>
                <w:sz w:val="18"/>
                <w:szCs w:val="18"/>
              </w:rPr>
              <w:t>）</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人及直接或间接</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控制或影响的企业将严格避免向光一科技及其</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控股和参股公司拆借、占用光一科技及其控股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和参股公司资金或采取由光一科技及其控股和</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参股公司代垫款、代偿债务等方式侵占光一科</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技资金</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31"/>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次交易完成后本公司</w:t>
            </w:r>
            <w:r>
              <w:rPr>
                <w:rFonts w:ascii="宋体" w:hAnsi="宋体" w:cs="宋体" w:eastAsia="宋体" w:hint="default"/>
                <w:sz w:val="18"/>
                <w:szCs w:val="18"/>
              </w:rPr>
              <w:t>/</w:t>
            </w:r>
            <w:r>
              <w:rPr>
                <w:rFonts w:ascii="宋体" w:hAnsi="宋体" w:cs="宋体" w:eastAsia="宋体" w:hint="default"/>
                <w:sz w:val="18"/>
                <w:szCs w:val="18"/>
              </w:rPr>
              <w:t>本人将继</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续严格按照有关法律法规、规范性文件以及光</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一科技公司章程的有关规定行使股东权利；在</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光一科技股东大会对有关涉及本人的关联交易</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进行表决时</w:t>
            </w:r>
            <w:r>
              <w:rPr>
                <w:rFonts w:ascii="宋体" w:hAnsi="宋体" w:cs="宋体" w:eastAsia="宋体" w:hint="default"/>
                <w:spacing w:val="2"/>
                <w:sz w:val="18"/>
                <w:szCs w:val="18"/>
              </w:rPr>
              <w:t>，</w:t>
            </w:r>
            <w:r>
              <w:rPr>
                <w:rFonts w:ascii="宋体" w:hAnsi="宋体" w:cs="宋体" w:eastAsia="宋体" w:hint="default"/>
                <w:spacing w:val="1"/>
                <w:sz w:val="18"/>
                <w:szCs w:val="18"/>
              </w:rPr>
              <w:t>履行回避表</w:t>
            </w:r>
            <w:r>
              <w:rPr>
                <w:rFonts w:ascii="宋体" w:hAnsi="宋体" w:cs="宋体" w:eastAsia="宋体" w:hint="default"/>
                <w:spacing w:val="2"/>
                <w:sz w:val="18"/>
                <w:szCs w:val="18"/>
              </w:rPr>
              <w:t>决</w:t>
            </w:r>
            <w:r>
              <w:rPr>
                <w:rFonts w:ascii="宋体" w:hAnsi="宋体" w:cs="宋体" w:eastAsia="宋体" w:hint="default"/>
                <w:spacing w:val="1"/>
                <w:sz w:val="18"/>
                <w:szCs w:val="18"/>
              </w:rPr>
              <w:t>的义务</w:t>
            </w:r>
            <w:r>
              <w:rPr>
                <w:rFonts w:ascii="宋体" w:hAnsi="宋体" w:cs="宋体" w:eastAsia="宋体" w:hint="default"/>
                <w:spacing w:val="-89"/>
                <w:sz w:val="18"/>
                <w:szCs w:val="18"/>
              </w:rPr>
              <w:t>。</w:t>
            </w:r>
            <w:r>
              <w:rPr>
                <w:rFonts w:ascii="宋体" w:hAnsi="宋体" w:cs="宋体" w:eastAsia="宋体" w:hint="default"/>
                <w:spacing w:val="3"/>
                <w:sz w:val="18"/>
                <w:szCs w:val="18"/>
              </w:rPr>
              <w:t>（</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本</w:t>
            </w:r>
            <w:r>
              <w:rPr>
                <w:rFonts w:ascii="宋体" w:hAnsi="宋体" w:cs="宋体" w:eastAsia="宋体" w:hint="default"/>
                <w:sz w:val="18"/>
                <w:szCs w:val="18"/>
              </w:rPr>
              <w:t>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27" w:hRule="exact"/>
        </w:trPr>
        <w:tc>
          <w:tcPr>
            <w:tcW w:w="1844" w:type="dxa"/>
            <w:vMerge/>
            <w:tcBorders>
              <w:left w:val="single" w:sz="12" w:space="0" w:color="000000"/>
              <w:bottom w:val="single" w:sz="12" w:space="0" w:color="000000"/>
              <w:right w:val="single" w:sz="6" w:space="0" w:color="000000"/>
            </w:tcBorders>
            <w:shd w:val="clear" w:color="auto" w:fill="D2D2D2"/>
          </w:tcPr>
          <w:p>
            <w:pPr/>
          </w:p>
        </w:tc>
        <w:tc>
          <w:tcPr>
            <w:tcW w:w="1276" w:type="dxa"/>
            <w:vMerge/>
            <w:tcBorders>
              <w:left w:val="single" w:sz="6" w:space="0" w:color="000000"/>
              <w:bottom w:val="single" w:sz="12" w:space="0" w:color="000000"/>
              <w:right w:val="single" w:sz="6" w:space="0" w:color="000000"/>
            </w:tcBorders>
          </w:tcPr>
          <w:p>
            <w:pPr/>
          </w:p>
        </w:tc>
        <w:tc>
          <w:tcPr>
            <w:tcW w:w="368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5"/>
                <w:sz w:val="18"/>
                <w:szCs w:val="18"/>
              </w:rPr>
              <w:t>司</w:t>
            </w:r>
            <w:r>
              <w:rPr>
                <w:rFonts w:ascii="宋体" w:hAnsi="宋体" w:cs="宋体" w:eastAsia="宋体" w:hint="default"/>
                <w:spacing w:val="5"/>
                <w:sz w:val="18"/>
                <w:szCs w:val="18"/>
              </w:rPr>
              <w:t>/</w:t>
            </w:r>
            <w:r>
              <w:rPr>
                <w:rFonts w:ascii="宋体" w:hAnsi="宋体" w:cs="宋体" w:eastAsia="宋体" w:hint="default"/>
                <w:spacing w:val="5"/>
                <w:sz w:val="18"/>
                <w:szCs w:val="18"/>
              </w:rPr>
              <w:t>本人保证不通过关联交易取得任何不正当</w:t>
            </w:r>
          </w:p>
        </w:tc>
        <w:tc>
          <w:tcPr>
            <w:tcW w:w="994" w:type="dxa"/>
            <w:tcBorders>
              <w:top w:val="nil" w:sz="6" w:space="0" w:color="auto"/>
              <w:left w:val="single" w:sz="6" w:space="0" w:color="000000"/>
              <w:bottom w:val="single" w:sz="12" w:space="0" w:color="000000"/>
              <w:right w:val="single" w:sz="6" w:space="0" w:color="000000"/>
            </w:tcBorders>
          </w:tcPr>
          <w:p>
            <w:pPr/>
          </w:p>
        </w:tc>
        <w:tc>
          <w:tcPr>
            <w:tcW w:w="850" w:type="dxa"/>
            <w:vMerge/>
            <w:tcBorders>
              <w:left w:val="single" w:sz="6" w:space="0" w:color="000000"/>
              <w:bottom w:val="single" w:sz="12" w:space="0" w:color="000000"/>
              <w:right w:val="single" w:sz="6" w:space="0" w:color="000000"/>
            </w:tcBorders>
          </w:tcPr>
          <w:p>
            <w:pPr/>
          </w:p>
        </w:tc>
        <w:tc>
          <w:tcPr>
            <w:tcW w:w="920" w:type="dxa"/>
            <w:vMerge/>
            <w:tcBorders>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97.299988pt;margin-top:484.899994pt;width:49pt;height:279.8pt;mso-position-horizontal-relative:page;mso-position-vertical-relative:page;z-index:-913432" coordorigin="7946,9698" coordsize="980,5596">
            <v:shape style="position:absolute;left:7946;top:9698;width:980;height:5596" coordorigin="7946,9698" coordsize="980,5596" path="m7946,15294l8926,15294,8926,9698,7946,9698,7946,15294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286"/>
        <w:gridCol w:w="3675"/>
        <w:gridCol w:w="994"/>
        <w:gridCol w:w="850"/>
        <w:gridCol w:w="927"/>
      </w:tblGrid>
      <w:tr>
        <w:trPr>
          <w:trHeight w:val="1934" w:hRule="exact"/>
        </w:trPr>
        <w:tc>
          <w:tcPr>
            <w:tcW w:w="1844" w:type="dxa"/>
            <w:vMerge w:val="restart"/>
            <w:tcBorders>
              <w:top w:val="single" w:sz="12" w:space="0" w:color="000000"/>
              <w:left w:val="single" w:sz="12" w:space="0" w:color="000000"/>
              <w:right w:val="single" w:sz="6" w:space="0" w:color="000000"/>
            </w:tcBorders>
            <w:shd w:val="clear" w:color="auto" w:fill="D2D2D2"/>
          </w:tcPr>
          <w:p>
            <w:pPr/>
          </w:p>
        </w:tc>
        <w:tc>
          <w:tcPr>
            <w:tcW w:w="1286" w:type="dxa"/>
            <w:tcBorders>
              <w:top w:val="single" w:sz="12" w:space="0" w:color="000000"/>
              <w:left w:val="single" w:sz="6" w:space="0" w:color="000000"/>
              <w:bottom w:val="single" w:sz="6" w:space="0" w:color="000000"/>
              <w:right w:val="single" w:sz="6" w:space="0" w:color="000000"/>
            </w:tcBorders>
          </w:tcPr>
          <w:p>
            <w:pPr/>
          </w:p>
        </w:tc>
        <w:tc>
          <w:tcPr>
            <w:tcW w:w="3675"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10" w:right="18"/>
              <w:jc w:val="both"/>
              <w:rPr>
                <w:rFonts w:ascii="宋体" w:hAnsi="宋体" w:cs="宋体" w:eastAsia="宋体" w:hint="default"/>
                <w:sz w:val="18"/>
                <w:szCs w:val="18"/>
              </w:rPr>
            </w:pPr>
            <w:r>
              <w:rPr>
                <w:rFonts w:ascii="宋体" w:hAnsi="宋体" w:cs="宋体" w:eastAsia="宋体" w:hint="default"/>
                <w:sz w:val="18"/>
                <w:szCs w:val="18"/>
              </w:rPr>
              <w:t>的利益或使光一科技及其控股和参股公司承担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任何不正当的义务。（</w:t>
            </w:r>
            <w:r>
              <w:rPr>
                <w:rFonts w:ascii="宋体" w:hAnsi="宋体" w:cs="宋体" w:eastAsia="宋体" w:hint="default"/>
                <w:spacing w:val="-4"/>
                <w:sz w:val="18"/>
                <w:szCs w:val="18"/>
              </w:rPr>
              <w:t>5</w:t>
            </w:r>
            <w:r>
              <w:rPr>
                <w:rFonts w:ascii="宋体" w:hAnsi="宋体" w:cs="宋体" w:eastAsia="宋体" w:hint="default"/>
                <w:spacing w:val="-4"/>
                <w:sz w:val="18"/>
                <w:szCs w:val="18"/>
              </w:rPr>
              <w:t>）如果因违反上述承诺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导致光一科技或其控股和参股公司损失或利用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关联交易侵占光一科技或其控股和参股公司利</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益的，本公司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本人依法承担光一科技或其控股</w:t>
            </w:r>
            <w:r>
              <w:rPr>
                <w:rFonts w:ascii="宋体" w:hAnsi="宋体" w:cs="宋体" w:eastAsia="宋体" w:hint="default"/>
                <w:sz w:val="18"/>
                <w:szCs w:val="18"/>
              </w:rPr>
              <w:t> 和参股公司的损失。</w:t>
            </w:r>
          </w:p>
        </w:tc>
        <w:tc>
          <w:tcPr>
            <w:tcW w:w="994" w:type="dxa"/>
            <w:tcBorders>
              <w:top w:val="single" w:sz="12" w:space="0" w:color="000000"/>
              <w:left w:val="single" w:sz="6" w:space="0" w:color="000000"/>
              <w:bottom w:val="single" w:sz="6" w:space="0" w:color="000000"/>
              <w:right w:val="single" w:sz="6" w:space="0" w:color="000000"/>
            </w:tcBorders>
          </w:tcPr>
          <w:p>
            <w:pPr/>
          </w:p>
        </w:tc>
        <w:tc>
          <w:tcPr>
            <w:tcW w:w="850" w:type="dxa"/>
            <w:tcBorders>
              <w:top w:val="single" w:sz="12" w:space="0" w:color="000000"/>
              <w:left w:val="single" w:sz="6" w:space="0" w:color="000000"/>
              <w:bottom w:val="single" w:sz="6" w:space="0" w:color="000000"/>
              <w:right w:val="single" w:sz="6" w:space="0" w:color="000000"/>
            </w:tcBorders>
          </w:tcPr>
          <w:p>
            <w:pPr/>
          </w:p>
        </w:tc>
        <w:tc>
          <w:tcPr>
            <w:tcW w:w="927" w:type="dxa"/>
            <w:tcBorders>
              <w:top w:val="single" w:sz="12" w:space="0" w:color="000000"/>
              <w:left w:val="single" w:sz="6" w:space="0" w:color="000000"/>
              <w:bottom w:val="single" w:sz="6" w:space="0" w:color="000000"/>
              <w:right w:val="single" w:sz="12" w:space="0" w:color="000000"/>
            </w:tcBorders>
          </w:tcPr>
          <w:p>
            <w:pPr/>
          </w:p>
        </w:tc>
      </w:tr>
      <w:tr>
        <w:trPr>
          <w:trHeight w:val="11920" w:hRule="exact"/>
        </w:trPr>
        <w:tc>
          <w:tcPr>
            <w:tcW w:w="1844" w:type="dxa"/>
            <w:vMerge/>
            <w:tcBorders>
              <w:left w:val="single" w:sz="12" w:space="0" w:color="000000"/>
              <w:bottom w:val="single" w:sz="12" w:space="0" w:color="000000"/>
              <w:right w:val="single" w:sz="6" w:space="0" w:color="000000"/>
            </w:tcBorders>
            <w:shd w:val="clear" w:color="auto" w:fill="D2D2D2"/>
          </w:tcPr>
          <w:p>
            <w:pPr/>
          </w:p>
        </w:tc>
        <w:tc>
          <w:tcPr>
            <w:tcW w:w="1286" w:type="dxa"/>
            <w:tcBorders>
              <w:top w:val="single" w:sz="6" w:space="0" w:color="000000"/>
              <w:left w:val="single" w:sz="6" w:space="0" w:color="000000"/>
              <w:bottom w:val="single" w:sz="12"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6" w:lineRule="auto"/>
              <w:ind w:left="20" w:right="-13"/>
              <w:jc w:val="both"/>
              <w:rPr>
                <w:rFonts w:ascii="宋体" w:hAnsi="宋体" w:cs="宋体" w:eastAsia="宋体" w:hint="default"/>
                <w:sz w:val="18"/>
                <w:szCs w:val="18"/>
              </w:rPr>
            </w:pPr>
            <w:r>
              <w:rPr>
                <w:rFonts w:ascii="宋体" w:hAnsi="宋体" w:cs="宋体" w:eastAsia="宋体" w:hint="default"/>
                <w:spacing w:val="18"/>
                <w:sz w:val="18"/>
                <w:szCs w:val="18"/>
              </w:rPr>
              <w:t>任昌兆</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pacing w:val="13"/>
                <w:sz w:val="18"/>
                <w:szCs w:val="18"/>
              </w:rPr>
              <w:t>任晶</w:t>
            </w:r>
            <w:r>
              <w:rPr>
                <w:rFonts w:ascii="宋体" w:hAnsi="宋体" w:cs="宋体" w:eastAsia="宋体" w:hint="default"/>
                <w:spacing w:val="-63"/>
                <w:sz w:val="18"/>
                <w:szCs w:val="18"/>
              </w:rPr>
              <w:t> </w:t>
            </w:r>
            <w:r>
              <w:rPr>
                <w:rFonts w:ascii="宋体" w:hAnsi="宋体" w:cs="宋体" w:eastAsia="宋体" w:hint="default"/>
                <w:spacing w:val="-6"/>
                <w:sz w:val="18"/>
                <w:szCs w:val="18"/>
              </w:rPr>
              <w:t>晶、魏法旭、郑</w:t>
            </w:r>
            <w:r>
              <w:rPr>
                <w:rFonts w:ascii="宋体" w:hAnsi="宋体" w:cs="宋体" w:eastAsia="宋体" w:hint="default"/>
                <w:sz w:val="18"/>
                <w:szCs w:val="18"/>
              </w:rPr>
              <w:t> 丽蓉、邓丽萍、 </w:t>
            </w:r>
            <w:r>
              <w:rPr>
                <w:rFonts w:ascii="宋体" w:hAnsi="宋体" w:cs="宋体" w:eastAsia="宋体" w:hint="default"/>
                <w:spacing w:val="18"/>
                <w:sz w:val="18"/>
                <w:szCs w:val="18"/>
              </w:rPr>
              <w:t>赵业香</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pacing w:val="13"/>
                <w:sz w:val="18"/>
                <w:szCs w:val="18"/>
              </w:rPr>
              <w:t>桂长</w:t>
            </w:r>
            <w:r>
              <w:rPr>
                <w:rFonts w:ascii="宋体" w:hAnsi="宋体" w:cs="宋体" w:eastAsia="宋体" w:hint="default"/>
                <w:spacing w:val="-63"/>
                <w:sz w:val="18"/>
                <w:szCs w:val="18"/>
              </w:rPr>
              <w:t> </w:t>
            </w:r>
            <w:r>
              <w:rPr>
                <w:rFonts w:ascii="宋体" w:hAnsi="宋体" w:cs="宋体" w:eastAsia="宋体" w:hint="default"/>
                <w:spacing w:val="-6"/>
                <w:sz w:val="18"/>
                <w:szCs w:val="18"/>
              </w:rPr>
              <w:t>钟、李善元、梁</w:t>
            </w:r>
            <w:r>
              <w:rPr>
                <w:rFonts w:ascii="宋体" w:hAnsi="宋体" w:cs="宋体" w:eastAsia="宋体" w:hint="default"/>
                <w:sz w:val="18"/>
                <w:szCs w:val="18"/>
              </w:rPr>
              <w:t> </w:t>
            </w:r>
            <w:r>
              <w:rPr>
                <w:rFonts w:ascii="宋体" w:hAnsi="宋体" w:cs="宋体" w:eastAsia="宋体" w:hint="default"/>
                <w:spacing w:val="-6"/>
                <w:sz w:val="18"/>
                <w:szCs w:val="18"/>
              </w:rPr>
              <w:t>蓉、廖庆生、郑</w:t>
            </w:r>
            <w:r>
              <w:rPr>
                <w:rFonts w:ascii="宋体" w:hAnsi="宋体" w:cs="宋体" w:eastAsia="宋体" w:hint="default"/>
                <w:sz w:val="18"/>
                <w:szCs w:val="18"/>
              </w:rPr>
              <w:t> </w:t>
            </w:r>
            <w:r>
              <w:rPr>
                <w:rFonts w:ascii="宋体" w:hAnsi="宋体" w:cs="宋体" w:eastAsia="宋体" w:hint="default"/>
                <w:spacing w:val="-6"/>
                <w:sz w:val="18"/>
                <w:szCs w:val="18"/>
              </w:rPr>
              <w:t>立筠、周军、田</w:t>
            </w:r>
            <w:r>
              <w:rPr>
                <w:rFonts w:ascii="宋体" w:hAnsi="宋体" w:cs="宋体" w:eastAsia="宋体" w:hint="default"/>
                <w:sz w:val="18"/>
                <w:szCs w:val="18"/>
              </w:rPr>
              <w:t> 裕树、张天祯、 王平、方旭东、 </w:t>
            </w:r>
            <w:r>
              <w:rPr>
                <w:rFonts w:ascii="宋体" w:hAnsi="宋体" w:cs="宋体" w:eastAsia="宋体" w:hint="default"/>
                <w:spacing w:val="18"/>
                <w:sz w:val="18"/>
                <w:szCs w:val="18"/>
              </w:rPr>
              <w:t>何传柏</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pacing w:val="13"/>
                <w:sz w:val="18"/>
                <w:szCs w:val="18"/>
              </w:rPr>
              <w:t>郭明</w:t>
            </w:r>
            <w:r>
              <w:rPr>
                <w:rFonts w:ascii="宋体" w:hAnsi="宋体" w:cs="宋体" w:eastAsia="宋体" w:hint="default"/>
                <w:spacing w:val="-63"/>
                <w:sz w:val="18"/>
                <w:szCs w:val="18"/>
              </w:rPr>
              <w:t> </w:t>
            </w:r>
            <w:r>
              <w:rPr>
                <w:rFonts w:ascii="宋体" w:hAnsi="宋体" w:cs="宋体" w:eastAsia="宋体" w:hint="default"/>
                <w:spacing w:val="-6"/>
                <w:sz w:val="18"/>
                <w:szCs w:val="18"/>
              </w:rPr>
              <w:t>亮、毛为国、门</w:t>
            </w:r>
            <w:r>
              <w:rPr>
                <w:rFonts w:ascii="宋体" w:hAnsi="宋体" w:cs="宋体" w:eastAsia="宋体" w:hint="default"/>
                <w:sz w:val="18"/>
                <w:szCs w:val="18"/>
              </w:rPr>
              <w:t> </w:t>
            </w:r>
            <w:r>
              <w:rPr>
                <w:rFonts w:ascii="宋体" w:hAnsi="宋体" w:cs="宋体" w:eastAsia="宋体" w:hint="default"/>
                <w:spacing w:val="-6"/>
                <w:sz w:val="18"/>
                <w:szCs w:val="18"/>
              </w:rPr>
              <w:t>崇喜、李强、徐</w:t>
            </w:r>
            <w:r>
              <w:rPr>
                <w:rFonts w:ascii="宋体" w:hAnsi="宋体" w:cs="宋体" w:eastAsia="宋体" w:hint="default"/>
                <w:sz w:val="18"/>
                <w:szCs w:val="18"/>
              </w:rPr>
              <w:t> </w:t>
            </w:r>
            <w:r>
              <w:rPr>
                <w:rFonts w:ascii="宋体" w:hAnsi="宋体" w:cs="宋体" w:eastAsia="宋体" w:hint="default"/>
                <w:spacing w:val="-6"/>
                <w:sz w:val="18"/>
                <w:szCs w:val="18"/>
              </w:rPr>
              <w:t>光涛、文涛、罗</w:t>
            </w:r>
            <w:r>
              <w:rPr>
                <w:rFonts w:ascii="宋体" w:hAnsi="宋体" w:cs="宋体" w:eastAsia="宋体" w:hint="default"/>
                <w:sz w:val="18"/>
                <w:szCs w:val="18"/>
              </w:rPr>
              <w:t> </w:t>
            </w:r>
            <w:r>
              <w:rPr>
                <w:rFonts w:ascii="宋体" w:hAnsi="宋体" w:cs="宋体" w:eastAsia="宋体" w:hint="default"/>
                <w:spacing w:val="-6"/>
                <w:sz w:val="18"/>
                <w:szCs w:val="18"/>
              </w:rPr>
              <w:t>丹、彭娥昌、张</w:t>
            </w:r>
            <w:r>
              <w:rPr>
                <w:rFonts w:ascii="宋体" w:hAnsi="宋体" w:cs="宋体" w:eastAsia="宋体" w:hint="default"/>
                <w:sz w:val="18"/>
                <w:szCs w:val="18"/>
              </w:rPr>
              <w:t> 红、陈世勇</w:t>
            </w:r>
          </w:p>
        </w:tc>
        <w:tc>
          <w:tcPr>
            <w:tcW w:w="3675" w:type="dxa"/>
            <w:tcBorders>
              <w:top w:val="single" w:sz="6" w:space="0" w:color="000000"/>
              <w:left w:val="single" w:sz="9" w:space="0" w:color="FFFFFF"/>
              <w:bottom w:val="single" w:sz="12" w:space="0" w:color="000000"/>
              <w:right w:val="single" w:sz="6" w:space="0" w:color="000000"/>
            </w:tcBorders>
          </w:tcPr>
          <w:p>
            <w:pPr>
              <w:pStyle w:val="TableParagraph"/>
              <w:spacing w:line="316" w:lineRule="auto" w:before="52"/>
              <w:ind w:left="7" w:right="18"/>
              <w:jc w:val="both"/>
              <w:rPr>
                <w:rFonts w:ascii="宋体" w:hAnsi="宋体" w:cs="宋体" w:eastAsia="宋体" w:hint="default"/>
                <w:sz w:val="18"/>
                <w:szCs w:val="18"/>
              </w:rPr>
            </w:pPr>
            <w:r>
              <w:rPr>
                <w:rFonts w:ascii="宋体" w:hAnsi="宋体" w:cs="宋体" w:eastAsia="宋体" w:hint="default"/>
                <w:sz w:val="18"/>
                <w:szCs w:val="18"/>
              </w:rPr>
              <w:t>公司发行股份及支付现金购买湖北索瑞电气有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限公司</w:t>
            </w:r>
            <w:r>
              <w:rPr>
                <w:rFonts w:ascii="宋体" w:hAnsi="宋体" w:cs="宋体" w:eastAsia="宋体" w:hint="default"/>
                <w:spacing w:val="22"/>
                <w:sz w:val="18"/>
                <w:szCs w:val="18"/>
              </w:rPr>
              <w:t> </w:t>
            </w:r>
            <w:r>
              <w:rPr>
                <w:rFonts w:ascii="宋体" w:hAnsi="宋体" w:cs="宋体" w:eastAsia="宋体" w:hint="default"/>
                <w:spacing w:val="4"/>
                <w:sz w:val="18"/>
                <w:szCs w:val="18"/>
              </w:rPr>
              <w:t>84.82%</w:t>
            </w:r>
            <w:r>
              <w:rPr>
                <w:rFonts w:ascii="宋体" w:hAnsi="宋体" w:cs="宋体" w:eastAsia="宋体" w:hint="default"/>
                <w:spacing w:val="4"/>
                <w:sz w:val="18"/>
                <w:szCs w:val="18"/>
              </w:rPr>
              <w:t>股权事项的被收购人任昌兆等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27</w:t>
            </w:r>
            <w:r>
              <w:rPr>
                <w:rFonts w:ascii="宋体" w:hAnsi="宋体" w:cs="宋体" w:eastAsia="宋体" w:hint="default"/>
                <w:spacing w:val="20"/>
                <w:sz w:val="18"/>
                <w:szCs w:val="18"/>
              </w:rPr>
              <w:t> </w:t>
            </w:r>
            <w:r>
              <w:rPr>
                <w:rFonts w:ascii="宋体" w:hAnsi="宋体" w:cs="宋体" w:eastAsia="宋体" w:hint="default"/>
                <w:sz w:val="18"/>
                <w:szCs w:val="18"/>
              </w:rPr>
              <w:t>名自然人承诺：</w:t>
            </w:r>
            <w:r>
              <w:rPr>
                <w:rFonts w:ascii="宋体" w:hAnsi="宋体" w:cs="宋体" w:eastAsia="宋体" w:hint="default"/>
                <w:sz w:val="18"/>
                <w:szCs w:val="18"/>
              </w:rPr>
              <w:t>1</w:t>
            </w:r>
            <w:r>
              <w:rPr>
                <w:rFonts w:ascii="宋体" w:hAnsi="宋体" w:cs="宋体" w:eastAsia="宋体" w:hint="default"/>
                <w:sz w:val="18"/>
                <w:szCs w:val="18"/>
              </w:rPr>
              <w:t>、关于避免同业竞争的承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诺：（</w:t>
            </w:r>
            <w:r>
              <w:rPr>
                <w:rFonts w:ascii="宋体" w:hAnsi="宋体" w:cs="宋体" w:eastAsia="宋体" w:hint="default"/>
                <w:spacing w:val="-4"/>
                <w:sz w:val="18"/>
                <w:szCs w:val="18"/>
              </w:rPr>
              <w:t>1</w:t>
            </w:r>
            <w:r>
              <w:rPr>
                <w:rFonts w:ascii="宋体" w:hAnsi="宋体" w:cs="宋体" w:eastAsia="宋体" w:hint="default"/>
                <w:spacing w:val="-4"/>
                <w:sz w:val="18"/>
                <w:szCs w:val="18"/>
              </w:rPr>
              <w:t>）本次交易完成后，在作为光一科技股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东期间，本人或本人近亲属及本人或本人近亲</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属控制的其他企业不会直接或间接从事任何与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光一科技及其下属公司主要经营业务构成同业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竞争或潜在同业竞争关系的生产与经营业务，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亦不会投资任何与光一科技及其下属公司主要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经营业务构成同业竞争或潜在同业竞争关系的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其他企业。（</w:t>
            </w:r>
            <w:r>
              <w:rPr>
                <w:rFonts w:ascii="宋体" w:hAnsi="宋体" w:cs="宋体" w:eastAsia="宋体" w:hint="default"/>
                <w:spacing w:val="-4"/>
                <w:sz w:val="18"/>
                <w:szCs w:val="18"/>
              </w:rPr>
              <w:t>2</w:t>
            </w:r>
            <w:r>
              <w:rPr>
                <w:rFonts w:ascii="宋体" w:hAnsi="宋体" w:cs="宋体" w:eastAsia="宋体" w:hint="default"/>
                <w:spacing w:val="-4"/>
                <w:sz w:val="18"/>
                <w:szCs w:val="18"/>
              </w:rPr>
              <w:t>）在上述期间，如本人或本人近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亲属及本人或本人近亲属控制的企业的现有业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务或该等企业为进一步拓展业务范围，与光一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科技及其下属公司经营的业务产生竞争，则本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人或本人近亲属及本人或本人近亲属控制的企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业将采取停止经营产生竞争的业务的方式，或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0"/>
                <w:sz w:val="18"/>
                <w:szCs w:val="18"/>
              </w:rPr>
              <w:t>者采取将产生竞争的业务纳入光一科技的方</w:t>
            </w:r>
            <w:r>
              <w:rPr>
                <w:rFonts w:ascii="宋体" w:hAnsi="宋体" w:cs="宋体" w:eastAsia="宋体" w:hint="default"/>
                <w:sz w:val="18"/>
                <w:szCs w:val="18"/>
              </w:rPr>
              <w:t> 式，或者采取将产生竞争的业务转让给无关联</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关系第三方等的合法方式，使本人或本人近亲</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属及本人或本人近亲属控制的企业不再从事与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光一科技主营业务相同或类似的业务。（</w:t>
            </w:r>
            <w:r>
              <w:rPr>
                <w:rFonts w:ascii="宋体" w:hAnsi="宋体" w:cs="宋体" w:eastAsia="宋体" w:hint="default"/>
                <w:spacing w:val="-4"/>
                <w:sz w:val="18"/>
                <w:szCs w:val="18"/>
              </w:rPr>
              <w:t>3</w:t>
            </w:r>
            <w:r>
              <w:rPr>
                <w:rFonts w:ascii="宋体" w:hAnsi="宋体" w:cs="宋体" w:eastAsia="宋体" w:hint="default"/>
                <w:spacing w:val="-4"/>
                <w:sz w:val="18"/>
                <w:szCs w:val="18"/>
              </w:rPr>
              <w:t>）本</w:t>
            </w:r>
            <w:r>
              <w:rPr>
                <w:rFonts w:ascii="宋体" w:hAnsi="宋体" w:cs="宋体" w:eastAsia="宋体" w:hint="default"/>
                <w:spacing w:val="-71"/>
                <w:sz w:val="18"/>
                <w:szCs w:val="18"/>
              </w:rPr>
              <w:t> </w:t>
            </w:r>
            <w:r>
              <w:rPr>
                <w:rFonts w:ascii="宋体" w:hAnsi="宋体" w:cs="宋体" w:eastAsia="宋体" w:hint="default"/>
                <w:sz w:val="18"/>
                <w:szCs w:val="18"/>
              </w:rPr>
              <w:t>函自签署出具之日起立即生效，即对本人具有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法律约束力。自本函生效至本人作为光一科技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股东的任何时候，本人将严格遵守并履行本函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所作的承诺及保证义务；对于违反本函承诺及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保证义务的，本人承诺采取一切必要且有效的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措施及时纠正消除由此造成光一科技的不利影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响，并对造成光一科技直接和间接损失承担赔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偿责任。</w:t>
            </w:r>
            <w:r>
              <w:rPr>
                <w:rFonts w:ascii="宋体" w:hAnsi="宋体" w:cs="宋体" w:eastAsia="宋体" w:hint="default"/>
                <w:sz w:val="18"/>
                <w:szCs w:val="18"/>
              </w:rPr>
              <w:t>2</w:t>
            </w:r>
            <w:r>
              <w:rPr>
                <w:rFonts w:ascii="宋体" w:hAnsi="宋体" w:cs="宋体" w:eastAsia="宋体" w:hint="default"/>
                <w:sz w:val="18"/>
                <w:szCs w:val="18"/>
              </w:rPr>
              <w:t>、关于减少和规范关联交易的承诺</w:t>
            </w:r>
          </w:p>
          <w:p>
            <w:pPr>
              <w:pStyle w:val="TableParagraph"/>
              <w:spacing w:line="316" w:lineRule="auto" w:before="19"/>
              <w:ind w:left="7" w:right="17"/>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）本次交易完成后，本人或本人近亲属及本</w:t>
            </w:r>
            <w:r>
              <w:rPr>
                <w:rFonts w:ascii="宋体" w:hAnsi="宋体" w:cs="宋体" w:eastAsia="宋体" w:hint="default"/>
                <w:sz w:val="18"/>
                <w:szCs w:val="18"/>
              </w:rPr>
              <w:t> 人或本人近亲属直接或间接控制或影响的企业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与重组后的光一科技及其控股企业之间将减少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并尽可能避免关联交易。对于无法避免或者有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合理原因而发生的关联交易，本人或本人近亲</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属承诺将按照公平、公允、等价有偿等原则依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法签订协议，履行合法程序，并将按照有关法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律、法规、其他规范性文件以及光一科技公司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章程等的规定，依法履行相关内部决策批准程</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65.040009pt;margin-top:403.879974pt;width:181.25pt;height:162.8pt;mso-position-horizontal-relative:page;mso-position-vertical-relative:page;z-index:-9134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1"/>
                    <w:ind w:left="0" w:right="0" w:firstLine="0"/>
                    <w:jc w:val="left"/>
                    <w:rPr>
                      <w:rFonts w:ascii="宋体" w:hAnsi="宋体" w:cs="宋体" w:eastAsia="宋体" w:hint="default"/>
                      <w:sz w:val="18"/>
                      <w:szCs w:val="18"/>
                    </w:rPr>
                  </w:pPr>
                  <w:r>
                    <w:rPr>
                      <w:rFonts w:ascii="宋体" w:hAnsi="宋体" w:cs="宋体" w:eastAsia="宋体" w:hint="default"/>
                      <w:sz w:val="18"/>
                      <w:szCs w:val="18"/>
                    </w:rPr>
                    <w:t>湖北红土创业投资有限公司承诺：</w:t>
                  </w:r>
                </w:p>
              </w:txbxContent>
            </v:textbox>
            <w10:wrap type="none"/>
          </v:shape>
        </w:pict>
      </w:r>
      <w:r>
        <w:rPr/>
        <w:pict>
          <v:group style="position:absolute;margin-left:397.299988pt;margin-top:403.879974pt;width:49pt;height:162.8pt;mso-position-horizontal-relative:page;mso-position-vertical-relative:page;z-index:-913384" coordorigin="7946,8078" coordsize="980,3256">
            <v:shape style="position:absolute;left:7946;top:8078;width:980;height:3256" coordorigin="7946,8078" coordsize="980,3256" path="m7946,11334l8926,11334,8926,8078,7946,8078,7946,11334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276"/>
        <w:gridCol w:w="3686"/>
        <w:gridCol w:w="994"/>
        <w:gridCol w:w="850"/>
        <w:gridCol w:w="920"/>
      </w:tblGrid>
      <w:tr>
        <w:trPr>
          <w:trHeight w:val="327" w:hRule="exact"/>
        </w:trPr>
        <w:tc>
          <w:tcPr>
            <w:tcW w:w="1844" w:type="dxa"/>
            <w:vMerge w:val="restart"/>
            <w:tcBorders>
              <w:top w:val="single" w:sz="12" w:space="0" w:color="000000"/>
              <w:left w:val="single" w:sz="12" w:space="0" w:color="000000"/>
              <w:right w:val="single" w:sz="6" w:space="0" w:color="000000"/>
            </w:tcBorders>
            <w:shd w:val="clear" w:color="auto" w:fill="D2D2D2"/>
          </w:tcPr>
          <w:p>
            <w:pPr/>
          </w:p>
        </w:tc>
        <w:tc>
          <w:tcPr>
            <w:tcW w:w="1276" w:type="dxa"/>
            <w:vMerge w:val="restart"/>
            <w:tcBorders>
              <w:top w:val="single" w:sz="12" w:space="0" w:color="000000"/>
              <w:left w:val="single" w:sz="6" w:space="0" w:color="000000"/>
              <w:right w:val="single" w:sz="6" w:space="0" w:color="000000"/>
            </w:tcBorders>
          </w:tcPr>
          <w:p>
            <w:pPr/>
          </w:p>
        </w:tc>
        <w:tc>
          <w:tcPr>
            <w:tcW w:w="368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序并及时履行信息披露义务，保证不以与市场</w:t>
            </w:r>
          </w:p>
        </w:tc>
        <w:tc>
          <w:tcPr>
            <w:tcW w:w="994" w:type="dxa"/>
            <w:vMerge w:val="restart"/>
            <w:tcBorders>
              <w:top w:val="single" w:sz="12" w:space="0" w:color="000000"/>
              <w:left w:val="single" w:sz="6" w:space="0" w:color="000000"/>
              <w:right w:val="single" w:sz="6" w:space="0" w:color="000000"/>
            </w:tcBorders>
          </w:tcPr>
          <w:p>
            <w:pPr/>
          </w:p>
        </w:tc>
        <w:tc>
          <w:tcPr>
            <w:tcW w:w="850" w:type="dxa"/>
            <w:vMerge w:val="restart"/>
            <w:tcBorders>
              <w:top w:val="single" w:sz="12" w:space="0" w:color="000000"/>
              <w:left w:val="single" w:sz="6" w:space="0" w:color="000000"/>
              <w:right w:val="single" w:sz="6" w:space="0" w:color="000000"/>
            </w:tcBorders>
          </w:tcPr>
          <w:p>
            <w:pPr/>
          </w:p>
        </w:tc>
        <w:tc>
          <w:tcPr>
            <w:tcW w:w="920" w:type="dxa"/>
            <w:vMerge w:val="restart"/>
            <w:tcBorders>
              <w:top w:val="single" w:sz="12" w:space="0" w:color="000000"/>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0"/>
                <w:sz w:val="18"/>
                <w:szCs w:val="18"/>
              </w:rPr>
              <w:t>价格相比显失公允的条件与光一科技进行交</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易，保证不利用关联交易非法转移光一科技的</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资金、利润，亦不利用该类交易从事任何损害</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光一科技及</w:t>
            </w:r>
            <w:r>
              <w:rPr>
                <w:rFonts w:ascii="宋体" w:hAnsi="宋体" w:cs="宋体" w:eastAsia="宋体" w:hint="default"/>
                <w:spacing w:val="2"/>
                <w:sz w:val="18"/>
                <w:szCs w:val="18"/>
              </w:rPr>
              <w:t>其</w:t>
            </w:r>
            <w:r>
              <w:rPr>
                <w:rFonts w:ascii="宋体" w:hAnsi="宋体" w:cs="宋体" w:eastAsia="宋体" w:hint="default"/>
                <w:spacing w:val="1"/>
                <w:sz w:val="18"/>
                <w:szCs w:val="18"/>
              </w:rPr>
              <w:t>他股东合法</w:t>
            </w:r>
            <w:r>
              <w:rPr>
                <w:rFonts w:ascii="宋体" w:hAnsi="宋体" w:cs="宋体" w:eastAsia="宋体" w:hint="default"/>
                <w:spacing w:val="2"/>
                <w:sz w:val="18"/>
                <w:szCs w:val="18"/>
              </w:rPr>
              <w:t>权</w:t>
            </w:r>
            <w:r>
              <w:rPr>
                <w:rFonts w:ascii="宋体" w:hAnsi="宋体" w:cs="宋体" w:eastAsia="宋体" w:hint="default"/>
                <w:spacing w:val="1"/>
                <w:sz w:val="18"/>
                <w:szCs w:val="18"/>
              </w:rPr>
              <w:t>益的行</w:t>
            </w:r>
            <w:r>
              <w:rPr>
                <w:rFonts w:ascii="宋体" w:hAnsi="宋体" w:cs="宋体" w:eastAsia="宋体" w:hint="default"/>
                <w:spacing w:val="3"/>
                <w:sz w:val="18"/>
                <w:szCs w:val="18"/>
              </w:rPr>
              <w:t>为</w:t>
            </w:r>
            <w:r>
              <w:rPr>
                <w:rFonts w:ascii="宋体" w:hAnsi="宋体" w:cs="宋体" w:eastAsia="宋体" w:hint="default"/>
                <w:spacing w:val="-89"/>
                <w:sz w:val="18"/>
                <w:szCs w:val="18"/>
              </w:rPr>
              <w:t>。</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）本</w:t>
            </w:r>
            <w:r>
              <w:rPr>
                <w:rFonts w:ascii="宋体" w:hAnsi="宋体" w:cs="宋体" w:eastAsia="宋体" w:hint="default"/>
                <w:sz w:val="18"/>
                <w:szCs w:val="18"/>
              </w:rPr>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人或本人近亲属及本人或本人近亲属直接或间</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接控制或影响的企业将严格避免向光一科技及</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其控股和参股公司拆借、占用光一科技及其控</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股和参股公司资金或采取由光一科技及其控股</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和参股公司代垫款、代偿债务等方式侵占光一</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科技资金</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1"/>
                <w:sz w:val="18"/>
                <w:szCs w:val="18"/>
              </w:rPr>
              <w:t>）本次交易</w:t>
            </w:r>
            <w:r>
              <w:rPr>
                <w:rFonts w:ascii="宋体" w:hAnsi="宋体" w:cs="宋体" w:eastAsia="宋体" w:hint="default"/>
                <w:spacing w:val="2"/>
                <w:sz w:val="18"/>
                <w:szCs w:val="18"/>
              </w:rPr>
              <w:t>完</w:t>
            </w:r>
            <w:r>
              <w:rPr>
                <w:rFonts w:ascii="宋体" w:hAnsi="宋体" w:cs="宋体" w:eastAsia="宋体" w:hint="default"/>
                <w:spacing w:val="1"/>
                <w:sz w:val="18"/>
                <w:szCs w:val="18"/>
              </w:rPr>
              <w:t>成后本人将</w:t>
            </w:r>
            <w:r>
              <w:rPr>
                <w:rFonts w:ascii="宋体" w:hAnsi="宋体" w:cs="宋体" w:eastAsia="宋体" w:hint="default"/>
                <w:spacing w:val="2"/>
                <w:sz w:val="18"/>
                <w:szCs w:val="18"/>
              </w:rPr>
              <w:t>继</w:t>
            </w:r>
            <w:r>
              <w:rPr>
                <w:rFonts w:ascii="宋体" w:hAnsi="宋体" w:cs="宋体" w:eastAsia="宋体" w:hint="default"/>
                <w:spacing w:val="1"/>
                <w:sz w:val="18"/>
                <w:szCs w:val="18"/>
              </w:rPr>
              <w:t>续</w:t>
            </w:r>
            <w:r>
              <w:rPr>
                <w:rFonts w:ascii="宋体" w:hAnsi="宋体" w:cs="宋体" w:eastAsia="宋体" w:hint="default"/>
                <w:sz w:val="18"/>
                <w:szCs w:val="18"/>
              </w:rPr>
              <w:t>严</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格按照有关法律法规、规范性文件以及光一科</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技公司章程的有关规定行使股东权利；在光一</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科技股东大会对有关涉及本人的关联交易进行</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表决时，履</w:t>
            </w:r>
            <w:r>
              <w:rPr>
                <w:rFonts w:ascii="宋体" w:hAnsi="宋体" w:cs="宋体" w:eastAsia="宋体" w:hint="default"/>
                <w:spacing w:val="2"/>
                <w:sz w:val="18"/>
                <w:szCs w:val="18"/>
              </w:rPr>
              <w:t>行</w:t>
            </w:r>
            <w:r>
              <w:rPr>
                <w:rFonts w:ascii="宋体" w:hAnsi="宋体" w:cs="宋体" w:eastAsia="宋体" w:hint="default"/>
                <w:spacing w:val="1"/>
                <w:sz w:val="18"/>
                <w:szCs w:val="18"/>
              </w:rPr>
              <w:t>回避表决的</w:t>
            </w:r>
            <w:r>
              <w:rPr>
                <w:rFonts w:ascii="宋体" w:hAnsi="宋体" w:cs="宋体" w:eastAsia="宋体" w:hint="default"/>
                <w:spacing w:val="2"/>
                <w:sz w:val="18"/>
                <w:szCs w:val="18"/>
              </w:rPr>
              <w:t>义</w:t>
            </w:r>
            <w:r>
              <w:rPr>
                <w:rFonts w:ascii="宋体" w:hAnsi="宋体" w:cs="宋体" w:eastAsia="宋体" w:hint="default"/>
                <w:spacing w:val="1"/>
                <w:sz w:val="18"/>
                <w:szCs w:val="18"/>
              </w:rPr>
              <w:t>务</w:t>
            </w:r>
            <w:r>
              <w:rPr>
                <w:rFonts w:ascii="宋体" w:hAnsi="宋体" w:cs="宋体" w:eastAsia="宋体" w:hint="default"/>
                <w:spacing w:val="-89"/>
                <w:sz w:val="18"/>
                <w:szCs w:val="18"/>
              </w:rPr>
              <w:t>。</w:t>
            </w:r>
            <w:r>
              <w:rPr>
                <w:rFonts w:ascii="宋体" w:hAnsi="宋体" w:cs="宋体" w:eastAsia="宋体" w:hint="default"/>
                <w:spacing w:val="3"/>
                <w:sz w:val="18"/>
                <w:szCs w:val="18"/>
              </w:rPr>
              <w:t>（</w:t>
            </w:r>
            <w:r>
              <w:rPr>
                <w:rFonts w:ascii="宋体" w:hAnsi="宋体" w:cs="宋体" w:eastAsia="宋体" w:hint="default"/>
                <w:spacing w:val="1"/>
                <w:sz w:val="18"/>
                <w:szCs w:val="18"/>
              </w:rPr>
              <w:t>4</w:t>
            </w:r>
            <w:r>
              <w:rPr>
                <w:rFonts w:ascii="宋体" w:hAnsi="宋体" w:cs="宋体" w:eastAsia="宋体" w:hint="default"/>
                <w:spacing w:val="1"/>
                <w:sz w:val="18"/>
                <w:szCs w:val="18"/>
              </w:rPr>
              <w:t>）本</w:t>
            </w:r>
            <w:r>
              <w:rPr>
                <w:rFonts w:ascii="宋体" w:hAnsi="宋体" w:cs="宋体" w:eastAsia="宋体" w:hint="default"/>
                <w:spacing w:val="2"/>
                <w:sz w:val="18"/>
                <w:szCs w:val="18"/>
              </w:rPr>
              <w:t>人</w:t>
            </w:r>
            <w:r>
              <w:rPr>
                <w:rFonts w:ascii="宋体" w:hAnsi="宋体" w:cs="宋体" w:eastAsia="宋体" w:hint="default"/>
                <w:spacing w:val="1"/>
                <w:sz w:val="18"/>
                <w:szCs w:val="18"/>
              </w:rPr>
              <w:t>保</w:t>
            </w:r>
            <w:r>
              <w:rPr>
                <w:rFonts w:ascii="宋体" w:hAnsi="宋体" w:cs="宋体" w:eastAsia="宋体" w:hint="default"/>
                <w:sz w:val="18"/>
                <w:szCs w:val="18"/>
              </w:rPr>
              <w:t>证</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不通过关联交易取得任何不正当的利益或使光</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一科技及其控股和参股公司承担任何不正当的</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1"/>
                <w:sz w:val="18"/>
                <w:szCs w:val="18"/>
              </w:rPr>
              <w:t>义务</w:t>
            </w:r>
            <w:r>
              <w:rPr>
                <w:rFonts w:ascii="宋体" w:hAnsi="宋体" w:cs="宋体" w:eastAsia="宋体" w:hint="default"/>
                <w:spacing w:val="-89"/>
                <w:sz w:val="18"/>
                <w:szCs w:val="18"/>
              </w:rPr>
              <w:t>。</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pacing w:val="1"/>
                <w:sz w:val="18"/>
                <w:szCs w:val="18"/>
              </w:rPr>
              <w:t>）</w:t>
            </w:r>
            <w:r>
              <w:rPr>
                <w:rFonts w:ascii="宋体" w:hAnsi="宋体" w:cs="宋体" w:eastAsia="宋体" w:hint="default"/>
                <w:spacing w:val="2"/>
                <w:sz w:val="18"/>
                <w:szCs w:val="18"/>
              </w:rPr>
              <w:t>如</w:t>
            </w:r>
            <w:r>
              <w:rPr>
                <w:rFonts w:ascii="宋体" w:hAnsi="宋体" w:cs="宋体" w:eastAsia="宋体" w:hint="default"/>
                <w:spacing w:val="1"/>
                <w:sz w:val="18"/>
                <w:szCs w:val="18"/>
              </w:rPr>
              <w:t>果因违反上</w:t>
            </w:r>
            <w:r>
              <w:rPr>
                <w:rFonts w:ascii="宋体" w:hAnsi="宋体" w:cs="宋体" w:eastAsia="宋体" w:hint="default"/>
                <w:spacing w:val="2"/>
                <w:sz w:val="18"/>
                <w:szCs w:val="18"/>
              </w:rPr>
              <w:t>述</w:t>
            </w:r>
            <w:r>
              <w:rPr>
                <w:rFonts w:ascii="宋体" w:hAnsi="宋体" w:cs="宋体" w:eastAsia="宋体" w:hint="default"/>
                <w:spacing w:val="1"/>
                <w:sz w:val="18"/>
                <w:szCs w:val="18"/>
              </w:rPr>
              <w:t>承诺导致光</w:t>
            </w:r>
            <w:r>
              <w:rPr>
                <w:rFonts w:ascii="宋体" w:hAnsi="宋体" w:cs="宋体" w:eastAsia="宋体" w:hint="default"/>
                <w:spacing w:val="2"/>
                <w:sz w:val="18"/>
                <w:szCs w:val="18"/>
              </w:rPr>
              <w:t>一</w:t>
            </w:r>
            <w:r>
              <w:rPr>
                <w:rFonts w:ascii="宋体" w:hAnsi="宋体" w:cs="宋体" w:eastAsia="宋体" w:hint="default"/>
                <w:spacing w:val="1"/>
                <w:sz w:val="18"/>
                <w:szCs w:val="18"/>
              </w:rPr>
              <w:t>科</w:t>
            </w:r>
            <w:r>
              <w:rPr>
                <w:rFonts w:ascii="宋体" w:hAnsi="宋体" w:cs="宋体" w:eastAsia="宋体" w:hint="default"/>
                <w:sz w:val="18"/>
                <w:szCs w:val="18"/>
              </w:rPr>
              <w:t>技</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或其控股和参股公司损失或利用关联交易侵占</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13"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光一科技或其控股和参股公司利益的，本人依</w:t>
            </w:r>
          </w:p>
        </w:tc>
        <w:tc>
          <w:tcPr>
            <w:tcW w:w="994"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58" w:hRule="exact"/>
        </w:trPr>
        <w:tc>
          <w:tcPr>
            <w:tcW w:w="1844" w:type="dxa"/>
            <w:vMerge/>
            <w:tcBorders>
              <w:left w:val="single" w:sz="12" w:space="0" w:color="000000"/>
              <w:right w:val="single" w:sz="6" w:space="0" w:color="000000"/>
            </w:tcBorders>
            <w:shd w:val="clear" w:color="auto" w:fill="D2D2D2"/>
          </w:tcPr>
          <w:p>
            <w:pPr/>
          </w:p>
        </w:tc>
        <w:tc>
          <w:tcPr>
            <w:tcW w:w="1276" w:type="dxa"/>
            <w:vMerge/>
            <w:tcBorders>
              <w:left w:val="single" w:sz="6" w:space="0" w:color="000000"/>
              <w:bottom w:val="single" w:sz="6" w:space="0" w:color="000000"/>
              <w:right w:val="single" w:sz="6" w:space="0" w:color="000000"/>
            </w:tcBorders>
          </w:tcPr>
          <w:p>
            <w:pPr/>
          </w:p>
        </w:tc>
        <w:tc>
          <w:tcPr>
            <w:tcW w:w="368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法承担光一科技或其控股和参股公司的损失。</w:t>
            </w:r>
          </w:p>
        </w:tc>
        <w:tc>
          <w:tcPr>
            <w:tcW w:w="994"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20" w:type="dxa"/>
            <w:vMerge/>
            <w:tcBorders>
              <w:left w:val="single" w:sz="6" w:space="0" w:color="000000"/>
              <w:bottom w:val="single" w:sz="6" w:space="0" w:color="000000"/>
              <w:right w:val="single" w:sz="12" w:space="0" w:color="000000"/>
            </w:tcBorders>
          </w:tcPr>
          <w:p>
            <w:pPr/>
          </w:p>
        </w:tc>
      </w:tr>
      <w:tr>
        <w:trPr>
          <w:trHeight w:val="361" w:hRule="exact"/>
        </w:trPr>
        <w:tc>
          <w:tcPr>
            <w:tcW w:w="1844"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9" w:space="0" w:color="FFFFFF"/>
            </w:tcBorders>
          </w:tcPr>
          <w:p>
            <w:pPr/>
          </w:p>
        </w:tc>
        <w:tc>
          <w:tcPr>
            <w:tcW w:w="3686" w:type="dxa"/>
            <w:tcBorders>
              <w:top w:val="single" w:sz="6" w:space="0" w:color="000000"/>
              <w:left w:val="single" w:sz="9" w:space="0" w:color="FFFFFF"/>
              <w:bottom w:val="nil" w:sz="6" w:space="0" w:color="auto"/>
              <w:right w:val="single" w:sz="6"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公司发行股份及支付现金购买湖北索瑞电气有</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62"/>
                <w:sz w:val="18"/>
                <w:szCs w:val="18"/>
              </w:rPr>
              <w:t> </w:t>
            </w:r>
            <w:r>
              <w:rPr>
                <w:rFonts w:ascii="宋体" w:hAnsi="宋体" w:cs="宋体" w:eastAsia="宋体" w:hint="default"/>
                <w:sz w:val="18"/>
                <w:szCs w:val="18"/>
              </w:rPr>
              <w:t>84.82%</w:t>
            </w:r>
            <w:r>
              <w:rPr>
                <w:rFonts w:ascii="宋体" w:hAnsi="宋体" w:cs="宋体" w:eastAsia="宋体" w:hint="default"/>
                <w:sz w:val="18"/>
                <w:szCs w:val="18"/>
              </w:rPr>
              <w:t>股权事项，交易对方湖北乾瀚投</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资有限公司、公安县鑫旺投资有限公司、深圳</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创新投资集团有限公司、北京红土鑫洲创业投</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0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资中</w:t>
            </w:r>
            <w:r>
              <w:rPr>
                <w:rFonts w:ascii="宋体" w:hAnsi="宋体" w:cs="宋体" w:eastAsia="宋体" w:hint="default"/>
                <w:spacing w:val="-31"/>
                <w:sz w:val="18"/>
                <w:szCs w:val="18"/>
              </w:rPr>
              <w:t>心</w:t>
            </w:r>
            <w:r>
              <w:rPr>
                <w:rFonts w:ascii="宋体" w:hAnsi="宋体" w:cs="宋体" w:eastAsia="宋体" w:hint="default"/>
                <w:sz w:val="18"/>
                <w:szCs w:val="18"/>
              </w:rPr>
              <w:t>（有限合伙</w:t>
            </w:r>
            <w:r>
              <w:rPr>
                <w:rFonts w:ascii="宋体" w:hAnsi="宋体" w:cs="宋体" w:eastAsia="宋体" w:hint="default"/>
                <w:spacing w:val="-90"/>
                <w:sz w:val="18"/>
                <w:szCs w:val="18"/>
              </w:rPr>
              <w:t>）</w:t>
            </w:r>
            <w:r>
              <w:rPr>
                <w:rFonts w:ascii="宋体" w:hAnsi="宋体" w:cs="宋体" w:eastAsia="宋体" w:hint="default"/>
                <w:spacing w:val="-31"/>
                <w:sz w:val="18"/>
                <w:szCs w:val="18"/>
              </w:rPr>
              <w:t>、</w:t>
            </w:r>
            <w:r>
              <w:rPr>
                <w:rFonts w:ascii="宋体" w:hAnsi="宋体" w:cs="宋体" w:eastAsia="宋体" w:hint="default"/>
                <w:sz w:val="18"/>
                <w:szCs w:val="18"/>
              </w:rPr>
              <w:t>南昌红土创新资本创业投</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1"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Style w:val="TableParagraph"/>
              <w:spacing w:line="240" w:lineRule="auto" w:before="1"/>
              <w:ind w:left="20" w:right="0"/>
              <w:jc w:val="left"/>
              <w:rPr>
                <w:rFonts w:ascii="宋体" w:hAnsi="宋体" w:cs="宋体" w:eastAsia="宋体" w:hint="default"/>
                <w:sz w:val="18"/>
                <w:szCs w:val="18"/>
              </w:rPr>
            </w:pPr>
            <w:r>
              <w:rPr>
                <w:rFonts w:ascii="宋体" w:hAnsi="宋体" w:cs="宋体" w:eastAsia="宋体" w:hint="default"/>
                <w:sz w:val="18"/>
                <w:szCs w:val="18"/>
              </w:rPr>
              <w:t>湖</w:t>
            </w:r>
            <w:r>
              <w:rPr>
                <w:rFonts w:ascii="宋体" w:hAnsi="宋体" w:cs="宋体" w:eastAsia="宋体" w:hint="default"/>
                <w:spacing w:val="-63"/>
                <w:sz w:val="18"/>
                <w:szCs w:val="18"/>
              </w:rPr>
              <w:t> </w:t>
            </w:r>
            <w:r>
              <w:rPr>
                <w:rFonts w:ascii="宋体" w:hAnsi="宋体" w:cs="宋体" w:eastAsia="宋体" w:hint="default"/>
                <w:sz w:val="18"/>
                <w:szCs w:val="18"/>
              </w:rPr>
              <w:t>北</w:t>
            </w:r>
            <w:r>
              <w:rPr>
                <w:rFonts w:ascii="宋体" w:hAnsi="宋体" w:cs="宋体" w:eastAsia="宋体" w:hint="default"/>
                <w:spacing w:val="-63"/>
                <w:sz w:val="18"/>
                <w:szCs w:val="18"/>
              </w:rPr>
              <w:t> </w:t>
            </w:r>
            <w:r>
              <w:rPr>
                <w:rFonts w:ascii="宋体" w:hAnsi="宋体" w:cs="宋体" w:eastAsia="宋体" w:hint="default"/>
                <w:sz w:val="18"/>
                <w:szCs w:val="18"/>
              </w:rPr>
              <w:t>乾</w:t>
            </w:r>
            <w:r>
              <w:rPr>
                <w:rFonts w:ascii="宋体" w:hAnsi="宋体" w:cs="宋体" w:eastAsia="宋体" w:hint="default"/>
                <w:spacing w:val="-63"/>
                <w:sz w:val="18"/>
                <w:szCs w:val="18"/>
              </w:rPr>
              <w:t> </w:t>
            </w:r>
            <w:r>
              <w:rPr>
                <w:rFonts w:ascii="宋体" w:hAnsi="宋体" w:cs="宋体" w:eastAsia="宋体" w:hint="default"/>
                <w:sz w:val="18"/>
                <w:szCs w:val="18"/>
              </w:rPr>
              <w:t>瀚</w:t>
            </w:r>
            <w:r>
              <w:rPr>
                <w:rFonts w:ascii="宋体" w:hAnsi="宋体" w:cs="宋体" w:eastAsia="宋体" w:hint="default"/>
                <w:spacing w:val="-62"/>
                <w:sz w:val="18"/>
                <w:szCs w:val="18"/>
              </w:rPr>
              <w:t> </w:t>
            </w:r>
            <w:r>
              <w:rPr>
                <w:rFonts w:ascii="宋体" w:hAnsi="宋体" w:cs="宋体" w:eastAsia="宋体" w:hint="default"/>
                <w:sz w:val="18"/>
                <w:szCs w:val="18"/>
              </w:rPr>
              <w:t>投</w:t>
            </w:r>
            <w:r>
              <w:rPr>
                <w:rFonts w:ascii="宋体" w:hAnsi="宋体" w:cs="宋体" w:eastAsia="宋体" w:hint="default"/>
                <w:spacing w:val="-63"/>
                <w:sz w:val="18"/>
                <w:szCs w:val="18"/>
              </w:rPr>
              <w:t> </w:t>
            </w:r>
            <w:r>
              <w:rPr>
                <w:rFonts w:ascii="宋体" w:hAnsi="宋体" w:cs="宋体" w:eastAsia="宋体" w:hint="default"/>
                <w:sz w:val="18"/>
                <w:szCs w:val="18"/>
              </w:rPr>
              <w:t>资</w:t>
            </w: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pacing w:val="-6"/>
                <w:sz w:val="18"/>
                <w:szCs w:val="18"/>
              </w:rPr>
              <w:t>有限公司、公安</w:t>
            </w: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1"/>
                <w:sz w:val="18"/>
                <w:szCs w:val="18"/>
              </w:rPr>
              <w:t>、</w:t>
            </w:r>
            <w:r>
              <w:rPr>
                <w:rFonts w:ascii="宋体" w:hAnsi="宋体" w:cs="宋体" w:eastAsia="宋体" w:hint="default"/>
                <w:sz w:val="18"/>
                <w:szCs w:val="18"/>
              </w:rPr>
              <w:t>关于避免同业竞争的承诺</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pacing w:val="-21"/>
                <w:sz w:val="18"/>
                <w:szCs w:val="18"/>
              </w:rPr>
              <w:t>）</w:t>
            </w:r>
            <w:r>
              <w:rPr>
                <w:rFonts w:ascii="宋体" w:hAnsi="宋体" w:cs="宋体" w:eastAsia="宋体" w:hint="default"/>
                <w:sz w:val="18"/>
                <w:szCs w:val="18"/>
              </w:rPr>
              <w:t>本次交易完</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县</w:t>
            </w:r>
            <w:r>
              <w:rPr>
                <w:rFonts w:ascii="宋体" w:hAnsi="宋体" w:cs="宋体" w:eastAsia="宋体" w:hint="default"/>
                <w:spacing w:val="-63"/>
                <w:sz w:val="18"/>
                <w:szCs w:val="18"/>
              </w:rPr>
              <w:t> </w:t>
            </w:r>
            <w:r>
              <w:rPr>
                <w:rFonts w:ascii="宋体" w:hAnsi="宋体" w:cs="宋体" w:eastAsia="宋体" w:hint="default"/>
                <w:sz w:val="18"/>
                <w:szCs w:val="18"/>
              </w:rPr>
              <w:t>鑫</w:t>
            </w:r>
            <w:r>
              <w:rPr>
                <w:rFonts w:ascii="宋体" w:hAnsi="宋体" w:cs="宋体" w:eastAsia="宋体" w:hint="default"/>
                <w:spacing w:val="-63"/>
                <w:sz w:val="18"/>
                <w:szCs w:val="18"/>
              </w:rPr>
              <w:t> </w:t>
            </w:r>
            <w:r>
              <w:rPr>
                <w:rFonts w:ascii="宋体" w:hAnsi="宋体" w:cs="宋体" w:eastAsia="宋体" w:hint="default"/>
                <w:sz w:val="18"/>
                <w:szCs w:val="18"/>
              </w:rPr>
              <w:t>旺</w:t>
            </w:r>
            <w:r>
              <w:rPr>
                <w:rFonts w:ascii="宋体" w:hAnsi="宋体" w:cs="宋体" w:eastAsia="宋体" w:hint="default"/>
                <w:spacing w:val="-63"/>
                <w:sz w:val="18"/>
                <w:szCs w:val="18"/>
              </w:rPr>
              <w:t> </w:t>
            </w:r>
            <w:r>
              <w:rPr>
                <w:rFonts w:ascii="宋体" w:hAnsi="宋体" w:cs="宋体" w:eastAsia="宋体" w:hint="default"/>
                <w:sz w:val="18"/>
                <w:szCs w:val="18"/>
              </w:rPr>
              <w:t>投</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3"/>
                <w:sz w:val="18"/>
                <w:szCs w:val="18"/>
              </w:rPr>
              <w:t> </w:t>
            </w:r>
            <w:r>
              <w:rPr>
                <w:rFonts w:ascii="宋体" w:hAnsi="宋体" w:cs="宋体" w:eastAsia="宋体" w:hint="default"/>
                <w:sz w:val="18"/>
                <w:szCs w:val="18"/>
              </w:rPr>
              <w:t>有</w:t>
            </w: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z w:val="18"/>
                <w:szCs w:val="18"/>
              </w:rPr>
              <w:t>成后，在作为光一科技股东期间，本公司及本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pacing w:val="-6"/>
                <w:sz w:val="18"/>
                <w:szCs w:val="18"/>
              </w:rPr>
              <w:t>限公司、深圳创</w:t>
            </w: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z w:val="18"/>
                <w:szCs w:val="18"/>
              </w:rPr>
              <w:t>公司控制的其他企业不会直接或间接从事任何</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pacing w:val="-63"/>
                <w:sz w:val="18"/>
                <w:szCs w:val="18"/>
              </w:rPr>
              <w:t> </w:t>
            </w:r>
            <w:r>
              <w:rPr>
                <w:rFonts w:ascii="宋体" w:hAnsi="宋体" w:cs="宋体" w:eastAsia="宋体" w:hint="default"/>
                <w:sz w:val="18"/>
                <w:szCs w:val="18"/>
              </w:rPr>
              <w:t>投</w:t>
            </w:r>
            <w:r>
              <w:rPr>
                <w:rFonts w:ascii="宋体" w:hAnsi="宋体" w:cs="宋体" w:eastAsia="宋体" w:hint="default"/>
                <w:spacing w:val="-63"/>
                <w:sz w:val="18"/>
                <w:szCs w:val="18"/>
              </w:rPr>
              <w:t> </w:t>
            </w:r>
            <w:r>
              <w:rPr>
                <w:rFonts w:ascii="宋体" w:hAnsi="宋体" w:cs="宋体" w:eastAsia="宋体" w:hint="default"/>
                <w:sz w:val="18"/>
                <w:szCs w:val="18"/>
              </w:rPr>
              <w:t>资</w:t>
            </w:r>
            <w:r>
              <w:rPr>
                <w:rFonts w:ascii="宋体" w:hAnsi="宋体" w:cs="宋体" w:eastAsia="宋体" w:hint="default"/>
                <w:spacing w:val="-63"/>
                <w:sz w:val="18"/>
                <w:szCs w:val="18"/>
              </w:rPr>
              <w:t> </w:t>
            </w:r>
            <w:r>
              <w:rPr>
                <w:rFonts w:ascii="宋体" w:hAnsi="宋体" w:cs="宋体" w:eastAsia="宋体" w:hint="default"/>
                <w:sz w:val="18"/>
                <w:szCs w:val="18"/>
              </w:rPr>
              <w:t>集</w:t>
            </w:r>
            <w:r>
              <w:rPr>
                <w:rFonts w:ascii="宋体" w:hAnsi="宋体" w:cs="宋体" w:eastAsia="宋体" w:hint="default"/>
                <w:spacing w:val="-62"/>
                <w:sz w:val="18"/>
                <w:szCs w:val="18"/>
              </w:rPr>
              <w:t> </w:t>
            </w:r>
            <w:r>
              <w:rPr>
                <w:rFonts w:ascii="宋体" w:hAnsi="宋体" w:cs="宋体" w:eastAsia="宋体" w:hint="default"/>
                <w:sz w:val="18"/>
                <w:szCs w:val="18"/>
              </w:rPr>
              <w:t>团</w:t>
            </w:r>
            <w:r>
              <w:rPr>
                <w:rFonts w:ascii="宋体" w:hAnsi="宋体" w:cs="宋体" w:eastAsia="宋体" w:hint="default"/>
                <w:spacing w:val="-63"/>
                <w:sz w:val="18"/>
                <w:szCs w:val="18"/>
              </w:rPr>
              <w:t> </w:t>
            </w:r>
            <w:r>
              <w:rPr>
                <w:rFonts w:ascii="宋体" w:hAnsi="宋体" w:cs="宋体" w:eastAsia="宋体" w:hint="default"/>
                <w:sz w:val="18"/>
                <w:szCs w:val="18"/>
              </w:rPr>
              <w:t>有</w:t>
            </w: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z w:val="18"/>
                <w:szCs w:val="18"/>
              </w:rPr>
              <w:t>与光一科技及其下属公司主要经营业务构成同</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936"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Style w:val="TableParagraph"/>
              <w:spacing w:line="316" w:lineRule="auto"/>
              <w:ind w:left="20" w:right="14"/>
              <w:jc w:val="both"/>
              <w:rPr>
                <w:rFonts w:ascii="宋体" w:hAnsi="宋体" w:cs="宋体" w:eastAsia="宋体" w:hint="default"/>
                <w:sz w:val="18"/>
                <w:szCs w:val="18"/>
              </w:rPr>
            </w:pPr>
            <w:r>
              <w:rPr>
                <w:rFonts w:ascii="宋体" w:hAnsi="宋体" w:cs="宋体" w:eastAsia="宋体" w:hint="default"/>
                <w:spacing w:val="-6"/>
                <w:sz w:val="18"/>
                <w:szCs w:val="18"/>
              </w:rPr>
              <w:t>限公司、北京红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土</w:t>
            </w:r>
            <w:r>
              <w:rPr>
                <w:rFonts w:ascii="宋体" w:hAnsi="宋体" w:cs="宋体" w:eastAsia="宋体" w:hint="default"/>
                <w:spacing w:val="-63"/>
                <w:sz w:val="18"/>
                <w:szCs w:val="18"/>
              </w:rPr>
              <w:t> </w:t>
            </w:r>
            <w:r>
              <w:rPr>
                <w:rFonts w:ascii="宋体" w:hAnsi="宋体" w:cs="宋体" w:eastAsia="宋体" w:hint="default"/>
                <w:sz w:val="18"/>
                <w:szCs w:val="18"/>
              </w:rPr>
              <w:t>鑫</w:t>
            </w:r>
            <w:r>
              <w:rPr>
                <w:rFonts w:ascii="宋体" w:hAnsi="宋体" w:cs="宋体" w:eastAsia="宋体" w:hint="default"/>
                <w:spacing w:val="-63"/>
                <w:sz w:val="18"/>
                <w:szCs w:val="18"/>
              </w:rPr>
              <w:t> </w:t>
            </w:r>
            <w:r>
              <w:rPr>
                <w:rFonts w:ascii="宋体" w:hAnsi="宋体" w:cs="宋体" w:eastAsia="宋体" w:hint="default"/>
                <w:sz w:val="18"/>
                <w:szCs w:val="18"/>
              </w:rPr>
              <w:t>洲</w:t>
            </w:r>
            <w:r>
              <w:rPr>
                <w:rFonts w:ascii="宋体" w:hAnsi="宋体" w:cs="宋体" w:eastAsia="宋体" w:hint="default"/>
                <w:spacing w:val="-63"/>
                <w:sz w:val="18"/>
                <w:szCs w:val="18"/>
              </w:rPr>
              <w:t> </w:t>
            </w:r>
            <w:r>
              <w:rPr>
                <w:rFonts w:ascii="宋体" w:hAnsi="宋体" w:cs="宋体" w:eastAsia="宋体" w:hint="default"/>
                <w:sz w:val="18"/>
                <w:szCs w:val="18"/>
              </w:rPr>
              <w:t>创</w:t>
            </w:r>
            <w:r>
              <w:rPr>
                <w:rFonts w:ascii="宋体" w:hAnsi="宋体" w:cs="宋体" w:eastAsia="宋体" w:hint="default"/>
                <w:spacing w:val="-62"/>
                <w:sz w:val="18"/>
                <w:szCs w:val="18"/>
              </w:rPr>
              <w:t> </w:t>
            </w:r>
            <w:r>
              <w:rPr>
                <w:rFonts w:ascii="宋体" w:hAnsi="宋体" w:cs="宋体" w:eastAsia="宋体" w:hint="default"/>
                <w:sz w:val="18"/>
                <w:szCs w:val="18"/>
              </w:rPr>
              <w:t>业</w:t>
            </w:r>
            <w:r>
              <w:rPr>
                <w:rFonts w:ascii="宋体" w:hAnsi="宋体" w:cs="宋体" w:eastAsia="宋体" w:hint="default"/>
                <w:spacing w:val="-63"/>
                <w:sz w:val="18"/>
                <w:szCs w:val="18"/>
              </w:rPr>
              <w:t> </w:t>
            </w:r>
            <w:r>
              <w:rPr>
                <w:rFonts w:ascii="宋体" w:hAnsi="宋体" w:cs="宋体" w:eastAsia="宋体" w:hint="default"/>
                <w:sz w:val="18"/>
                <w:szCs w:val="18"/>
              </w:rPr>
              <w:t>投</w:t>
            </w:r>
            <w:r>
              <w:rPr>
                <w:rFonts w:ascii="宋体" w:hAnsi="宋体" w:cs="宋体" w:eastAsia="宋体" w:hint="default"/>
                <w:sz w:val="18"/>
                <w:szCs w:val="18"/>
              </w:rPr>
              <w:t> </w:t>
            </w:r>
            <w:r>
              <w:rPr>
                <w:rFonts w:ascii="宋体" w:hAnsi="宋体" w:cs="宋体" w:eastAsia="宋体" w:hint="default"/>
                <w:spacing w:val="-6"/>
                <w:sz w:val="18"/>
                <w:szCs w:val="18"/>
              </w:rPr>
              <w:t>资中心（有限合</w:t>
            </w: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316" w:lineRule="auto" w:before="20"/>
              <w:ind w:left="17" w:right="20"/>
              <w:jc w:val="both"/>
              <w:rPr>
                <w:rFonts w:ascii="宋体" w:hAnsi="宋体" w:cs="宋体" w:eastAsia="宋体" w:hint="default"/>
                <w:sz w:val="18"/>
                <w:szCs w:val="18"/>
              </w:rPr>
            </w:pPr>
            <w:r>
              <w:rPr>
                <w:rFonts w:ascii="宋体" w:hAnsi="宋体" w:cs="宋体" w:eastAsia="宋体" w:hint="default"/>
                <w:spacing w:val="10"/>
                <w:sz w:val="18"/>
                <w:szCs w:val="18"/>
              </w:rPr>
              <w:t>业竞争或潜在同业竞争关系的生产与经营业</w:t>
            </w:r>
            <w:r>
              <w:rPr>
                <w:rFonts w:ascii="宋体" w:hAnsi="宋体" w:cs="宋体" w:eastAsia="宋体" w:hint="default"/>
                <w:sz w:val="18"/>
                <w:szCs w:val="18"/>
              </w:rPr>
              <w:t> 务，亦不会投资任何与光一科技及其下属公司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主要经营业务构成同业竞争或潜在同业竞争关</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57"/>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pacing w:val="8"/>
                <w:sz w:val="18"/>
                <w:szCs w:val="18"/>
              </w:rPr>
              <w:t>伙</w:t>
            </w:r>
            <w:r>
              <w:rPr>
                <w:rFonts w:ascii="宋体" w:hAnsi="宋体" w:cs="宋体" w:eastAsia="宋体" w:hint="default"/>
                <w:spacing w:val="-82"/>
                <w:sz w:val="18"/>
                <w:szCs w:val="18"/>
              </w:rPr>
              <w:t>）</w:t>
            </w:r>
            <w:r>
              <w:rPr>
                <w:rFonts w:ascii="宋体" w:hAnsi="宋体" w:cs="宋体" w:eastAsia="宋体" w:hint="default"/>
                <w:spacing w:val="8"/>
                <w:sz w:val="18"/>
                <w:szCs w:val="18"/>
              </w:rPr>
              <w:t>、南昌红土</w:t>
            </w:r>
            <w:r>
              <w:rPr>
                <w:rFonts w:ascii="宋体" w:hAnsi="宋体" w:cs="宋体" w:eastAsia="宋体" w:hint="default"/>
                <w:sz w:val="18"/>
                <w:szCs w:val="18"/>
              </w:rPr>
            </w: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pacing w:val="1"/>
                <w:sz w:val="18"/>
                <w:szCs w:val="18"/>
              </w:rPr>
              <w:t>系的其他企业</w:t>
            </w:r>
            <w:r>
              <w:rPr>
                <w:rFonts w:ascii="宋体" w:hAnsi="宋体" w:cs="宋体" w:eastAsia="宋体" w:hint="default"/>
                <w:spacing w:val="-88"/>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1"/>
                <w:sz w:val="18"/>
                <w:szCs w:val="18"/>
              </w:rPr>
              <w:t>）在上述</w:t>
            </w:r>
            <w:r>
              <w:rPr>
                <w:rFonts w:ascii="宋体" w:hAnsi="宋体" w:cs="宋体" w:eastAsia="宋体" w:hint="default"/>
                <w:spacing w:val="2"/>
                <w:sz w:val="18"/>
                <w:szCs w:val="18"/>
              </w:rPr>
              <w:t>期</w:t>
            </w:r>
            <w:r>
              <w:rPr>
                <w:rFonts w:ascii="宋体" w:hAnsi="宋体" w:cs="宋体" w:eastAsia="宋体" w:hint="default"/>
                <w:spacing w:val="1"/>
                <w:sz w:val="18"/>
                <w:szCs w:val="18"/>
              </w:rPr>
              <w:t>间，如本公</w:t>
            </w:r>
            <w:r>
              <w:rPr>
                <w:rFonts w:ascii="宋体" w:hAnsi="宋体" w:cs="宋体" w:eastAsia="宋体" w:hint="default"/>
                <w:spacing w:val="2"/>
                <w:sz w:val="18"/>
                <w:szCs w:val="18"/>
              </w:rPr>
              <w:t>司</w:t>
            </w:r>
            <w:r>
              <w:rPr>
                <w:rFonts w:ascii="宋体" w:hAnsi="宋体" w:cs="宋体" w:eastAsia="宋体" w:hint="default"/>
                <w:sz w:val="18"/>
                <w:szCs w:val="18"/>
              </w:rPr>
              <w:t>及</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创</w:t>
            </w:r>
            <w:r>
              <w:rPr>
                <w:rFonts w:ascii="宋体" w:hAnsi="宋体" w:cs="宋体" w:eastAsia="宋体" w:hint="default"/>
                <w:spacing w:val="-63"/>
                <w:sz w:val="18"/>
                <w:szCs w:val="18"/>
              </w:rPr>
              <w:t> </w:t>
            </w:r>
            <w:r>
              <w:rPr>
                <w:rFonts w:ascii="宋体" w:hAnsi="宋体" w:cs="宋体" w:eastAsia="宋体" w:hint="default"/>
                <w:sz w:val="18"/>
                <w:szCs w:val="18"/>
              </w:rPr>
              <w:t>新</w:t>
            </w:r>
            <w:r>
              <w:rPr>
                <w:rFonts w:ascii="宋体" w:hAnsi="宋体" w:cs="宋体" w:eastAsia="宋体" w:hint="default"/>
                <w:spacing w:val="-63"/>
                <w:sz w:val="18"/>
                <w:szCs w:val="18"/>
              </w:rPr>
              <w:t> </w:t>
            </w:r>
            <w:r>
              <w:rPr>
                <w:rFonts w:ascii="宋体" w:hAnsi="宋体" w:cs="宋体" w:eastAsia="宋体" w:hint="default"/>
                <w:sz w:val="18"/>
                <w:szCs w:val="18"/>
              </w:rPr>
              <w:t>资</w:t>
            </w:r>
            <w:r>
              <w:rPr>
                <w:rFonts w:ascii="宋体" w:hAnsi="宋体" w:cs="宋体" w:eastAsia="宋体" w:hint="default"/>
                <w:spacing w:val="-63"/>
                <w:sz w:val="18"/>
                <w:szCs w:val="18"/>
              </w:rPr>
              <w:t> </w:t>
            </w:r>
            <w:r>
              <w:rPr>
                <w:rFonts w:ascii="宋体" w:hAnsi="宋体" w:cs="宋体" w:eastAsia="宋体" w:hint="default"/>
                <w:sz w:val="18"/>
                <w:szCs w:val="18"/>
              </w:rPr>
              <w:t>本</w:t>
            </w:r>
            <w:r>
              <w:rPr>
                <w:rFonts w:ascii="宋体" w:hAnsi="宋体" w:cs="宋体" w:eastAsia="宋体" w:hint="default"/>
                <w:spacing w:val="-62"/>
                <w:sz w:val="18"/>
                <w:szCs w:val="18"/>
              </w:rPr>
              <w:t> </w:t>
            </w:r>
            <w:r>
              <w:rPr>
                <w:rFonts w:ascii="宋体" w:hAnsi="宋体" w:cs="宋体" w:eastAsia="宋体" w:hint="default"/>
                <w:sz w:val="18"/>
                <w:szCs w:val="18"/>
              </w:rPr>
              <w:t>创</w:t>
            </w:r>
            <w:r>
              <w:rPr>
                <w:rFonts w:ascii="宋体" w:hAnsi="宋体" w:cs="宋体" w:eastAsia="宋体" w:hint="default"/>
                <w:spacing w:val="-63"/>
                <w:sz w:val="18"/>
                <w:szCs w:val="18"/>
              </w:rPr>
              <w:t> </w:t>
            </w:r>
            <w:r>
              <w:rPr>
                <w:rFonts w:ascii="宋体" w:hAnsi="宋体" w:cs="宋体" w:eastAsia="宋体" w:hint="default"/>
                <w:sz w:val="18"/>
                <w:szCs w:val="18"/>
              </w:rPr>
              <w:t>业</w:t>
            </w: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z w:val="18"/>
                <w:szCs w:val="18"/>
              </w:rPr>
              <w:t>本公司控制的企业的现有业务或该等企业为进</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Style w:val="TableParagraph"/>
              <w:spacing w:line="240" w:lineRule="auto"/>
              <w:ind w:left="20" w:right="-23"/>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z w:val="18"/>
                <w:szCs w:val="18"/>
              </w:rPr>
              <w:t>一步拓展业务范围，与光一科技及其下属公司</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湖</w:t>
            </w:r>
            <w:r>
              <w:rPr>
                <w:rFonts w:ascii="宋体" w:hAnsi="宋体" w:cs="宋体" w:eastAsia="宋体" w:hint="default"/>
                <w:spacing w:val="-63"/>
                <w:sz w:val="18"/>
                <w:szCs w:val="18"/>
              </w:rPr>
              <w:t> </w:t>
            </w:r>
            <w:r>
              <w:rPr>
                <w:rFonts w:ascii="宋体" w:hAnsi="宋体" w:cs="宋体" w:eastAsia="宋体" w:hint="default"/>
                <w:sz w:val="18"/>
                <w:szCs w:val="18"/>
              </w:rPr>
              <w:t>北</w:t>
            </w:r>
            <w:r>
              <w:rPr>
                <w:rFonts w:ascii="宋体" w:hAnsi="宋体" w:cs="宋体" w:eastAsia="宋体" w:hint="default"/>
                <w:spacing w:val="-63"/>
                <w:sz w:val="18"/>
                <w:szCs w:val="18"/>
              </w:rPr>
              <w:t> </w:t>
            </w:r>
            <w:r>
              <w:rPr>
                <w:rFonts w:ascii="宋体" w:hAnsi="宋体" w:cs="宋体" w:eastAsia="宋体" w:hint="default"/>
                <w:sz w:val="18"/>
                <w:szCs w:val="18"/>
              </w:rPr>
              <w:t>红</w:t>
            </w:r>
            <w:r>
              <w:rPr>
                <w:rFonts w:ascii="宋体" w:hAnsi="宋体" w:cs="宋体" w:eastAsia="宋体" w:hint="default"/>
                <w:spacing w:val="-63"/>
                <w:sz w:val="18"/>
                <w:szCs w:val="18"/>
              </w:rPr>
              <w:t> </w:t>
            </w:r>
            <w:r>
              <w:rPr>
                <w:rFonts w:ascii="宋体" w:hAnsi="宋体" w:cs="宋体" w:eastAsia="宋体" w:hint="default"/>
                <w:sz w:val="18"/>
                <w:szCs w:val="18"/>
              </w:rPr>
              <w:t>土</w:t>
            </w:r>
            <w:r>
              <w:rPr>
                <w:rFonts w:ascii="宋体" w:hAnsi="宋体" w:cs="宋体" w:eastAsia="宋体" w:hint="default"/>
                <w:spacing w:val="-62"/>
                <w:sz w:val="18"/>
                <w:szCs w:val="18"/>
              </w:rPr>
              <w:t> </w:t>
            </w:r>
            <w:r>
              <w:rPr>
                <w:rFonts w:ascii="宋体" w:hAnsi="宋体" w:cs="宋体" w:eastAsia="宋体" w:hint="default"/>
                <w:sz w:val="18"/>
                <w:szCs w:val="18"/>
              </w:rPr>
              <w:t>创</w:t>
            </w:r>
            <w:r>
              <w:rPr>
                <w:rFonts w:ascii="宋体" w:hAnsi="宋体" w:cs="宋体" w:eastAsia="宋体" w:hint="default"/>
                <w:spacing w:val="-63"/>
                <w:sz w:val="18"/>
                <w:szCs w:val="18"/>
              </w:rPr>
              <w:t> </w:t>
            </w:r>
            <w:r>
              <w:rPr>
                <w:rFonts w:ascii="宋体" w:hAnsi="宋体" w:cs="宋体" w:eastAsia="宋体" w:hint="default"/>
                <w:sz w:val="18"/>
                <w:szCs w:val="18"/>
              </w:rPr>
              <w:t>业</w:t>
            </w: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z w:val="18"/>
                <w:szCs w:val="18"/>
              </w:rPr>
              <w:t>经营的业务产生竞争，则本公司及本公司控制</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2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Style w:val="TableParagraph"/>
              <w:spacing w:line="240" w:lineRule="auto" w:before="1"/>
              <w:ind w:left="20"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20"/>
              <w:ind w:left="17" w:right="0"/>
              <w:jc w:val="left"/>
              <w:rPr>
                <w:rFonts w:ascii="宋体" w:hAnsi="宋体" w:cs="宋体" w:eastAsia="宋体" w:hint="default"/>
                <w:sz w:val="18"/>
                <w:szCs w:val="18"/>
              </w:rPr>
            </w:pPr>
            <w:r>
              <w:rPr>
                <w:rFonts w:ascii="宋体" w:hAnsi="宋体" w:cs="宋体" w:eastAsia="宋体" w:hint="default"/>
                <w:spacing w:val="10"/>
                <w:sz w:val="18"/>
                <w:szCs w:val="18"/>
              </w:rPr>
              <w:t>的企业将采取停止经营产生竞争的业务的方</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式，或者采取将产生竞争的业务纳入光一科技</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的方式，或者采取将产生竞争的业务转让给无</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关联关系第三方等的合法方式，使本公司及本</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公司控制的企业不再从事与光一科技主营业务</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844"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12" w:space="0" w:color="000000"/>
              <w:right w:val="single" w:sz="9" w:space="0" w:color="FFFFFF"/>
            </w:tcBorders>
          </w:tcPr>
          <w:p>
            <w:pPr/>
          </w:p>
        </w:tc>
        <w:tc>
          <w:tcPr>
            <w:tcW w:w="3686" w:type="dxa"/>
            <w:tcBorders>
              <w:top w:val="nil" w:sz="6" w:space="0" w:color="auto"/>
              <w:left w:val="single" w:sz="9" w:space="0" w:color="FFFFFF"/>
              <w:bottom w:val="single" w:sz="12" w:space="0" w:color="000000"/>
              <w:right w:val="single" w:sz="6" w:space="0" w:color="000000"/>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pacing w:val="1"/>
                <w:sz w:val="18"/>
                <w:szCs w:val="18"/>
              </w:rPr>
              <w:t>相同或类似</w:t>
            </w:r>
            <w:r>
              <w:rPr>
                <w:rFonts w:ascii="宋体" w:hAnsi="宋体" w:cs="宋体" w:eastAsia="宋体" w:hint="default"/>
                <w:spacing w:val="2"/>
                <w:sz w:val="18"/>
                <w:szCs w:val="18"/>
              </w:rPr>
              <w:t>的</w:t>
            </w:r>
            <w:r>
              <w:rPr>
                <w:rFonts w:ascii="宋体" w:hAnsi="宋体" w:cs="宋体" w:eastAsia="宋体" w:hint="default"/>
                <w:spacing w:val="1"/>
                <w:sz w:val="18"/>
                <w:szCs w:val="18"/>
              </w:rPr>
              <w:t>业务</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1"/>
                <w:sz w:val="18"/>
                <w:szCs w:val="18"/>
              </w:rPr>
              <w:t>）</w:t>
            </w:r>
            <w:r>
              <w:rPr>
                <w:rFonts w:ascii="宋体" w:hAnsi="宋体" w:cs="宋体" w:eastAsia="宋体" w:hint="default"/>
                <w:spacing w:val="2"/>
                <w:sz w:val="18"/>
                <w:szCs w:val="18"/>
              </w:rPr>
              <w:t>本</w:t>
            </w:r>
            <w:r>
              <w:rPr>
                <w:rFonts w:ascii="宋体" w:hAnsi="宋体" w:cs="宋体" w:eastAsia="宋体" w:hint="default"/>
                <w:spacing w:val="1"/>
                <w:sz w:val="18"/>
                <w:szCs w:val="18"/>
              </w:rPr>
              <w:t>函自签署出</w:t>
            </w:r>
            <w:r>
              <w:rPr>
                <w:rFonts w:ascii="宋体" w:hAnsi="宋体" w:cs="宋体" w:eastAsia="宋体" w:hint="default"/>
                <w:spacing w:val="2"/>
                <w:sz w:val="18"/>
                <w:szCs w:val="18"/>
              </w:rPr>
              <w:t>具</w:t>
            </w:r>
            <w:r>
              <w:rPr>
                <w:rFonts w:ascii="宋体" w:hAnsi="宋体" w:cs="宋体" w:eastAsia="宋体" w:hint="default"/>
                <w:spacing w:val="1"/>
                <w:sz w:val="18"/>
                <w:szCs w:val="18"/>
              </w:rPr>
              <w:t>之</w:t>
            </w:r>
            <w:r>
              <w:rPr>
                <w:rFonts w:ascii="宋体" w:hAnsi="宋体" w:cs="宋体" w:eastAsia="宋体" w:hint="default"/>
                <w:sz w:val="18"/>
                <w:szCs w:val="18"/>
              </w:rPr>
              <w:t>日</w:t>
            </w:r>
          </w:p>
        </w:tc>
        <w:tc>
          <w:tcPr>
            <w:tcW w:w="994" w:type="dxa"/>
            <w:tcBorders>
              <w:top w:val="nil" w:sz="6" w:space="0" w:color="auto"/>
              <w:left w:val="single" w:sz="6" w:space="0" w:color="000000"/>
              <w:bottom w:val="single" w:sz="12" w:space="0" w:color="000000"/>
              <w:right w:val="single" w:sz="6" w:space="0" w:color="000000"/>
            </w:tcBorders>
          </w:tcPr>
          <w:p>
            <w:pPr/>
          </w:p>
        </w:tc>
        <w:tc>
          <w:tcPr>
            <w:tcW w:w="850" w:type="dxa"/>
            <w:tcBorders>
              <w:top w:val="nil" w:sz="6" w:space="0" w:color="auto"/>
              <w:left w:val="single" w:sz="6" w:space="0" w:color="000000"/>
              <w:bottom w:val="single" w:sz="12" w:space="0" w:color="000000"/>
              <w:right w:val="single" w:sz="6" w:space="0" w:color="000000"/>
            </w:tcBorders>
          </w:tcPr>
          <w:p>
            <w:pPr/>
          </w:p>
        </w:tc>
        <w:tc>
          <w:tcPr>
            <w:tcW w:w="920"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65.040009pt;margin-top:73.499985pt;width:181.25pt;height:579.25pt;mso-position-horizontal-relative:page;mso-position-vertical-relative:page;z-index:-913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8"/>
                    <w:ind w:left="0" w:right="0" w:firstLine="0"/>
                    <w:jc w:val="left"/>
                    <w:rPr>
                      <w:rFonts w:ascii="宋体" w:hAnsi="宋体" w:cs="宋体" w:eastAsia="宋体" w:hint="default"/>
                      <w:sz w:val="18"/>
                      <w:szCs w:val="18"/>
                    </w:rPr>
                  </w:pPr>
                  <w:r>
                    <w:rPr>
                      <w:rFonts w:ascii="宋体" w:hAnsi="宋体" w:cs="宋体" w:eastAsia="宋体" w:hint="default"/>
                      <w:sz w:val="18"/>
                      <w:szCs w:val="18"/>
                    </w:rPr>
                    <w:t>对于违反本函承诺及保证义务的，</w:t>
                  </w:r>
                </w:p>
              </w:txbxContent>
            </v:textbox>
            <w10:wrap type="none"/>
          </v:shape>
        </w:pict>
      </w:r>
      <w:r>
        <w:rPr/>
        <w:pict>
          <v:group style="position:absolute;margin-left:397.299988pt;margin-top:73.499985pt;width:49pt;height:579.25pt;mso-position-horizontal-relative:page;mso-position-vertical-relative:page;z-index:-913336" coordorigin="7946,1470" coordsize="980,11585">
            <v:shape style="position:absolute;left:7946;top:1470;width:980;height:11585" coordorigin="7946,1470" coordsize="980,11585" path="m7946,13054l8926,13054,8926,1470,7946,1470,7946,13054xe" filled="true" fillcolor="#ffffff" stroked="false">
              <v:path arrowok="t"/>
              <v:fill type="solid"/>
            </v:shape>
            <w10:wrap type="none"/>
          </v:group>
        </w:pict>
      </w:r>
    </w:p>
    <w:p>
      <w:pPr>
        <w:spacing w:line="240" w:lineRule="auto" w:before="7"/>
        <w:rPr>
          <w:rFonts w:ascii="Times New Roman" w:hAnsi="Times New Roman" w:cs="Times New Roman" w:eastAsia="Times New Roman"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1844"/>
        <w:gridCol w:w="1276"/>
        <w:gridCol w:w="3686"/>
        <w:gridCol w:w="994"/>
        <w:gridCol w:w="850"/>
        <w:gridCol w:w="927"/>
      </w:tblGrid>
      <w:tr>
        <w:trPr>
          <w:trHeight w:val="11607" w:hRule="exact"/>
        </w:trPr>
        <w:tc>
          <w:tcPr>
            <w:tcW w:w="1844" w:type="dxa"/>
            <w:vMerge w:val="restart"/>
            <w:tcBorders>
              <w:top w:val="single" w:sz="12" w:space="0" w:color="000000"/>
              <w:left w:val="single" w:sz="12"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3686"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21" w:right="17"/>
              <w:jc w:val="left"/>
              <w:rPr>
                <w:rFonts w:ascii="宋体" w:hAnsi="宋体" w:cs="宋体" w:eastAsia="宋体" w:hint="default"/>
                <w:sz w:val="18"/>
                <w:szCs w:val="18"/>
              </w:rPr>
            </w:pPr>
            <w:r>
              <w:rPr>
                <w:rFonts w:ascii="宋体" w:hAnsi="宋体" w:cs="宋体" w:eastAsia="宋体" w:hint="default"/>
                <w:sz w:val="18"/>
                <w:szCs w:val="18"/>
              </w:rPr>
              <w:t>起立即生效，即对本公司具有法律约束力。自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本函生效至本公司作为光一科技股东的任何时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候，本公司将严格遵守并履行本函所作的承诺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及保证义务； 本公司承诺采取一切必要且有效的措施及时纠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正消除由此造成光一科技的不利影响，并对造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成光一科技直接和间接损失承担赔偿责任。</w:t>
            </w:r>
            <w:r>
              <w:rPr>
                <w:rFonts w:ascii="宋体" w:hAnsi="宋体" w:cs="宋体" w:eastAsia="宋体" w:hint="default"/>
                <w:sz w:val="18"/>
                <w:szCs w:val="18"/>
              </w:rPr>
              <w:t>2 </w:t>
            </w:r>
            <w:r>
              <w:rPr>
                <w:rFonts w:ascii="宋体" w:hAnsi="宋体" w:cs="宋体" w:eastAsia="宋体" w:hint="default"/>
                <w:spacing w:val="-4"/>
                <w:sz w:val="18"/>
                <w:szCs w:val="18"/>
              </w:rPr>
              <w:t>关于减少和规范关联交易的承诺：（</w:t>
            </w:r>
            <w:r>
              <w:rPr>
                <w:rFonts w:ascii="宋体" w:hAnsi="宋体" w:cs="宋体" w:eastAsia="宋体" w:hint="default"/>
                <w:spacing w:val="-4"/>
                <w:sz w:val="18"/>
                <w:szCs w:val="18"/>
              </w:rPr>
              <w:t>1</w:t>
            </w:r>
            <w:r>
              <w:rPr>
                <w:rFonts w:ascii="宋体" w:hAnsi="宋体" w:cs="宋体" w:eastAsia="宋体" w:hint="default"/>
                <w:spacing w:val="-4"/>
                <w:sz w:val="18"/>
                <w:szCs w:val="18"/>
              </w:rPr>
              <w:t>）本次交</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易完成后，本公司及本公司直接或间接控制或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影响的企业与重组后的光一科技及其控股企业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之间将减少并尽可能避免关联交易。对于无法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避免或者有合理原因而发生的关联交易，本公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司承诺将按照公平、公允、等价有偿等原则依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法签订协议，履行合法程序，并将按照有关法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律、法规、其他规范性文件以及光一科技公司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章程等的规定，依法履行相关内部决策批准程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序并及时履行信息披露义务，保证不以与市场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0"/>
                <w:sz w:val="18"/>
                <w:szCs w:val="18"/>
              </w:rPr>
              <w:t>价格相比显失公允的条件与光一科技进行交</w:t>
            </w:r>
            <w:r>
              <w:rPr>
                <w:rFonts w:ascii="宋体" w:hAnsi="宋体" w:cs="宋体" w:eastAsia="宋体" w:hint="default"/>
                <w:sz w:val="18"/>
                <w:szCs w:val="18"/>
              </w:rPr>
              <w:t> 易，保证不利用关联交易非法转移光一科技的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资金、利润，亦不利用该类交易从事任何损害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光一科技及其他股东合法权益的行为。（</w:t>
            </w:r>
            <w:r>
              <w:rPr>
                <w:rFonts w:ascii="宋体" w:hAnsi="宋体" w:cs="宋体" w:eastAsia="宋体" w:hint="default"/>
                <w:spacing w:val="-4"/>
                <w:sz w:val="18"/>
                <w:szCs w:val="18"/>
              </w:rPr>
              <w:t>2</w:t>
            </w:r>
            <w:r>
              <w:rPr>
                <w:rFonts w:ascii="宋体" w:hAnsi="宋体" w:cs="宋体" w:eastAsia="宋体" w:hint="default"/>
                <w:spacing w:val="-4"/>
                <w:sz w:val="18"/>
                <w:szCs w:val="18"/>
              </w:rPr>
              <w:t>）本</w:t>
            </w:r>
            <w:r>
              <w:rPr>
                <w:rFonts w:ascii="宋体" w:hAnsi="宋体" w:cs="宋体" w:eastAsia="宋体" w:hint="default"/>
                <w:spacing w:val="-71"/>
                <w:sz w:val="18"/>
                <w:szCs w:val="18"/>
              </w:rPr>
              <w:t> </w:t>
            </w:r>
            <w:r>
              <w:rPr>
                <w:rFonts w:ascii="宋体" w:hAnsi="宋体" w:cs="宋体" w:eastAsia="宋体" w:hint="default"/>
                <w:sz w:val="18"/>
                <w:szCs w:val="18"/>
              </w:rPr>
              <w:t>公司及本公司直接或间接控制或影响的企业将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0"/>
                <w:sz w:val="18"/>
                <w:szCs w:val="18"/>
              </w:rPr>
              <w:t>严格避免向光一科技及其控股和参股公司拆</w:t>
            </w:r>
            <w:r>
              <w:rPr>
                <w:rFonts w:ascii="宋体" w:hAnsi="宋体" w:cs="宋体" w:eastAsia="宋体" w:hint="default"/>
                <w:sz w:val="18"/>
                <w:szCs w:val="18"/>
              </w:rPr>
              <w:t> 借、占用光一科技及其控股和参股公司资金或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采取由光一科技及其控股和参股公司代垫款、</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代偿债务等方式侵占光一科技资金。（</w:t>
            </w:r>
            <w:r>
              <w:rPr>
                <w:rFonts w:ascii="宋体" w:hAnsi="宋体" w:cs="宋体" w:eastAsia="宋体" w:hint="default"/>
                <w:spacing w:val="-4"/>
                <w:sz w:val="18"/>
                <w:szCs w:val="18"/>
              </w:rPr>
              <w:t>3</w:t>
            </w:r>
            <w:r>
              <w:rPr>
                <w:rFonts w:ascii="宋体" w:hAnsi="宋体" w:cs="宋体" w:eastAsia="宋体" w:hint="default"/>
                <w:spacing w:val="-4"/>
                <w:sz w:val="18"/>
                <w:szCs w:val="18"/>
              </w:rPr>
              <w:t>）本次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交易完成后本公司将继续严格按照有关法律法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规、规范性文件以及光一科技公司章程的有关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规定行使股东权利；在光一科技股东大会对有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关涉及本公司的关联交易进行表决时，履行回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避表决的义务。（</w:t>
            </w:r>
            <w:r>
              <w:rPr>
                <w:rFonts w:ascii="宋体" w:hAnsi="宋体" w:cs="宋体" w:eastAsia="宋体" w:hint="default"/>
                <w:spacing w:val="-4"/>
                <w:sz w:val="18"/>
                <w:szCs w:val="18"/>
              </w:rPr>
              <w:t>4</w:t>
            </w:r>
            <w:r>
              <w:rPr>
                <w:rFonts w:ascii="宋体" w:hAnsi="宋体" w:cs="宋体" w:eastAsia="宋体" w:hint="default"/>
                <w:spacing w:val="-4"/>
                <w:sz w:val="18"/>
                <w:szCs w:val="18"/>
              </w:rPr>
              <w:t>）本公司保证不通过关联交</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易取得任何不正当的利益或使光一科技及其控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股和参股公司承担任何不正当的义务。（</w:t>
            </w:r>
            <w:r>
              <w:rPr>
                <w:rFonts w:ascii="宋体" w:hAnsi="宋体" w:cs="宋体" w:eastAsia="宋体" w:hint="default"/>
                <w:spacing w:val="-4"/>
                <w:sz w:val="18"/>
                <w:szCs w:val="18"/>
              </w:rPr>
              <w:t>5</w:t>
            </w:r>
            <w:r>
              <w:rPr>
                <w:rFonts w:ascii="宋体" w:hAnsi="宋体" w:cs="宋体" w:eastAsia="宋体" w:hint="default"/>
                <w:spacing w:val="-4"/>
                <w:sz w:val="18"/>
                <w:szCs w:val="18"/>
              </w:rPr>
              <w:t>）如</w:t>
            </w:r>
            <w:r>
              <w:rPr>
                <w:rFonts w:ascii="宋体" w:hAnsi="宋体" w:cs="宋体" w:eastAsia="宋体" w:hint="default"/>
                <w:spacing w:val="-71"/>
                <w:sz w:val="18"/>
                <w:szCs w:val="18"/>
              </w:rPr>
              <w:t> </w:t>
            </w:r>
            <w:r>
              <w:rPr>
                <w:rFonts w:ascii="宋体" w:hAnsi="宋体" w:cs="宋体" w:eastAsia="宋体" w:hint="default"/>
                <w:sz w:val="18"/>
                <w:szCs w:val="18"/>
              </w:rPr>
              <w:t>果因违反上述承诺导致光一科技或其控股和参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股公司损失或利用关联交易侵占光一科技或其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控股和参股公司利益的，本公司依法承担光一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科技或其控股和参股公司的损失。</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12" w:space="0" w:color="000000"/>
              <w:left w:val="single" w:sz="6" w:space="0" w:color="000000"/>
              <w:bottom w:val="single" w:sz="6" w:space="0" w:color="000000"/>
              <w:right w:val="single" w:sz="6" w:space="0" w:color="000000"/>
            </w:tcBorders>
          </w:tcPr>
          <w:p>
            <w:pPr/>
          </w:p>
        </w:tc>
        <w:tc>
          <w:tcPr>
            <w:tcW w:w="927" w:type="dxa"/>
            <w:tcBorders>
              <w:top w:val="single" w:sz="12" w:space="0" w:color="000000"/>
              <w:left w:val="single" w:sz="6" w:space="0" w:color="000000"/>
              <w:bottom w:val="single" w:sz="6" w:space="0" w:color="000000"/>
              <w:right w:val="single" w:sz="12" w:space="0" w:color="000000"/>
            </w:tcBorders>
          </w:tcPr>
          <w:p>
            <w:pPr/>
          </w:p>
        </w:tc>
      </w:tr>
      <w:tr>
        <w:trPr>
          <w:trHeight w:val="2247" w:hRule="exact"/>
        </w:trPr>
        <w:tc>
          <w:tcPr>
            <w:tcW w:w="1844"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9" w:lineRule="auto"/>
              <w:ind w:left="20" w:right="158"/>
              <w:jc w:val="both"/>
              <w:rPr>
                <w:rFonts w:ascii="宋体" w:hAnsi="宋体" w:cs="宋体" w:eastAsia="宋体" w:hint="default"/>
                <w:sz w:val="18"/>
                <w:szCs w:val="18"/>
              </w:rPr>
            </w:pPr>
            <w:r>
              <w:rPr>
                <w:rFonts w:ascii="宋体" w:hAnsi="宋体" w:cs="宋体" w:eastAsia="宋体" w:hint="default"/>
                <w:sz w:val="18"/>
                <w:szCs w:val="18"/>
              </w:rPr>
              <w:t>江苏光一投资 管理有限责任 公司、龙昌明</w:t>
            </w:r>
          </w:p>
        </w:tc>
        <w:tc>
          <w:tcPr>
            <w:tcW w:w="368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52"/>
              <w:ind w:left="21" w:right="17"/>
              <w:jc w:val="both"/>
              <w:rPr>
                <w:rFonts w:ascii="宋体" w:hAnsi="宋体" w:cs="宋体" w:eastAsia="宋体" w:hint="default"/>
                <w:sz w:val="18"/>
                <w:szCs w:val="18"/>
              </w:rPr>
            </w:pPr>
            <w:r>
              <w:rPr>
                <w:rFonts w:ascii="宋体" w:hAnsi="宋体" w:cs="宋体" w:eastAsia="宋体" w:hint="default"/>
                <w:spacing w:val="10"/>
                <w:sz w:val="18"/>
                <w:szCs w:val="18"/>
              </w:rPr>
              <w:t>公司控股股东江苏光一投资管理有限责任公</w:t>
            </w:r>
            <w:r>
              <w:rPr>
                <w:rFonts w:ascii="宋体" w:hAnsi="宋体" w:cs="宋体" w:eastAsia="宋体" w:hint="default"/>
                <w:sz w:val="18"/>
                <w:szCs w:val="18"/>
              </w:rPr>
              <w:t> 司、实际控制人龙昌明先生就公司发行股份及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支付现金购买湖北索瑞电气有限公司</w:t>
            </w:r>
            <w:r>
              <w:rPr>
                <w:rFonts w:ascii="宋体" w:hAnsi="宋体" w:cs="宋体" w:eastAsia="宋体" w:hint="default"/>
                <w:spacing w:val="-61"/>
                <w:sz w:val="18"/>
                <w:szCs w:val="18"/>
              </w:rPr>
              <w:t> </w:t>
            </w:r>
            <w:r>
              <w:rPr>
                <w:rFonts w:ascii="宋体" w:hAnsi="宋体" w:cs="宋体" w:eastAsia="宋体" w:hint="default"/>
                <w:sz w:val="18"/>
                <w:szCs w:val="18"/>
              </w:rPr>
              <w:t>84.82%</w:t>
            </w:r>
            <w:r>
              <w:rPr>
                <w:rFonts w:ascii="宋体" w:hAnsi="宋体" w:cs="宋体" w:eastAsia="宋体" w:hint="default"/>
                <w:sz w:val="18"/>
                <w:szCs w:val="18"/>
              </w:rPr>
              <w:t>股 </w:t>
            </w:r>
            <w:r>
              <w:rPr>
                <w:rFonts w:ascii="宋体" w:hAnsi="宋体" w:cs="宋体" w:eastAsia="宋体" w:hint="default"/>
                <w:spacing w:val="-3"/>
                <w:sz w:val="18"/>
                <w:szCs w:val="18"/>
              </w:rPr>
              <w:t>权事项承诺：在本次交易完成后，本公司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w:t>
            </w:r>
            <w:r>
              <w:rPr>
                <w:rFonts w:ascii="宋体" w:hAnsi="宋体" w:cs="宋体" w:eastAsia="宋体" w:hint="default"/>
                <w:sz w:val="18"/>
                <w:szCs w:val="18"/>
              </w:rPr>
              <w:t> </w:t>
            </w:r>
            <w:r>
              <w:rPr>
                <w:rFonts w:ascii="宋体" w:hAnsi="宋体" w:cs="宋体" w:eastAsia="宋体" w:hint="default"/>
                <w:spacing w:val="-8"/>
                <w:sz w:val="18"/>
                <w:szCs w:val="18"/>
              </w:rPr>
              <w:t>将按照《公司法》、《证券法》和其他有关法律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法规对上市公司的要求，合法合规地行使股东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权利并履行相应的义务，采取切实有效措施保</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73.059998pt;margin-top:480.519989pt;width:73.25pt;height:123.85pt;mso-position-horizontal-relative:page;mso-position-vertical-relative:page;z-index:-913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合作、</w:t>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276"/>
        <w:gridCol w:w="3686"/>
        <w:gridCol w:w="994"/>
        <w:gridCol w:w="850"/>
        <w:gridCol w:w="920"/>
      </w:tblGrid>
      <w:tr>
        <w:trPr>
          <w:trHeight w:val="1622" w:hRule="exact"/>
        </w:trPr>
        <w:tc>
          <w:tcPr>
            <w:tcW w:w="1844"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3686" w:type="dxa"/>
            <w:tcBorders>
              <w:top w:val="single" w:sz="12" w:space="0" w:color="000000"/>
              <w:left w:val="single" w:sz="6" w:space="0" w:color="000000"/>
              <w:bottom w:val="single" w:sz="6" w:space="0" w:color="000000"/>
              <w:right w:val="single" w:sz="6" w:space="0" w:color="000000"/>
            </w:tcBorders>
          </w:tcPr>
          <w:p>
            <w:pPr>
              <w:pStyle w:val="TableParagraph"/>
              <w:spacing w:line="319" w:lineRule="auto" w:before="10"/>
              <w:ind w:left="21" w:right="20"/>
              <w:jc w:val="both"/>
              <w:rPr>
                <w:rFonts w:ascii="宋体" w:hAnsi="宋体" w:cs="宋体" w:eastAsia="宋体" w:hint="default"/>
                <w:sz w:val="18"/>
                <w:szCs w:val="18"/>
              </w:rPr>
            </w:pPr>
            <w:r>
              <w:rPr>
                <w:rFonts w:ascii="宋体" w:hAnsi="宋体" w:cs="宋体" w:eastAsia="宋体" w:hint="default"/>
                <w:sz w:val="18"/>
                <w:szCs w:val="18"/>
              </w:rPr>
              <w:t>证上市公司及其子公司在业务、资产、人员、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机构和财务等方面的独立和完整，同时确保上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市公司在采购、生产、销售、知识产权等方面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保持独立，使上市公司具有完全和完整的独立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经营能力。</w:t>
            </w:r>
          </w:p>
        </w:tc>
        <w:tc>
          <w:tcPr>
            <w:tcW w:w="994" w:type="dxa"/>
            <w:tcBorders>
              <w:top w:val="single" w:sz="12" w:space="0" w:color="000000"/>
              <w:left w:val="single" w:sz="6" w:space="0" w:color="000000"/>
              <w:bottom w:val="single" w:sz="6" w:space="0" w:color="000000"/>
              <w:right w:val="single" w:sz="6" w:space="0" w:color="000000"/>
            </w:tcBorders>
          </w:tcPr>
          <w:p>
            <w:pPr/>
          </w:p>
        </w:tc>
        <w:tc>
          <w:tcPr>
            <w:tcW w:w="850" w:type="dxa"/>
            <w:tcBorders>
              <w:top w:val="single" w:sz="12" w:space="0" w:color="000000"/>
              <w:left w:val="single" w:sz="6" w:space="0" w:color="000000"/>
              <w:bottom w:val="single" w:sz="6" w:space="0" w:color="000000"/>
              <w:right w:val="single" w:sz="6" w:space="0" w:color="000000"/>
            </w:tcBorders>
          </w:tcPr>
          <w:p>
            <w:pPr/>
          </w:p>
        </w:tc>
        <w:tc>
          <w:tcPr>
            <w:tcW w:w="920" w:type="dxa"/>
            <w:tcBorders>
              <w:top w:val="single" w:sz="12" w:space="0" w:color="000000"/>
              <w:left w:val="single" w:sz="6" w:space="0" w:color="000000"/>
              <w:bottom w:val="single" w:sz="6" w:space="0" w:color="000000"/>
              <w:right w:val="single" w:sz="12" w:space="0" w:color="000000"/>
            </w:tcBorders>
          </w:tcPr>
          <w:p>
            <w:pPr/>
          </w:p>
        </w:tc>
      </w:tr>
      <w:tr>
        <w:trPr>
          <w:trHeight w:val="1343" w:hRule="exact"/>
        </w:trPr>
        <w:tc>
          <w:tcPr>
            <w:tcW w:w="1844"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3" w:right="186"/>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0" w:right="158"/>
              <w:jc w:val="both"/>
              <w:rPr>
                <w:rFonts w:ascii="宋体" w:hAnsi="宋体" w:cs="宋体" w:eastAsia="宋体" w:hint="default"/>
                <w:sz w:val="18"/>
                <w:szCs w:val="18"/>
              </w:rPr>
            </w:pPr>
            <w:r>
              <w:rPr>
                <w:rFonts w:ascii="宋体" w:hAnsi="宋体" w:cs="宋体" w:eastAsia="宋体" w:hint="default"/>
                <w:sz w:val="18"/>
                <w:szCs w:val="18"/>
              </w:rPr>
              <w:t>江苏光一投资 管理有限责任 公司</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20"/>
              <w:jc w:val="both"/>
              <w:rPr>
                <w:rFonts w:ascii="宋体" w:hAnsi="宋体" w:cs="宋体" w:eastAsia="宋体" w:hint="default"/>
                <w:sz w:val="18"/>
                <w:szCs w:val="18"/>
              </w:rPr>
            </w:pPr>
            <w:r>
              <w:rPr>
                <w:rFonts w:ascii="宋体" w:hAnsi="宋体" w:cs="宋体" w:eastAsia="宋体" w:hint="default"/>
                <w:sz w:val="18"/>
                <w:szCs w:val="18"/>
              </w:rPr>
              <w:t>自股份公司股票上市之日起三十六个月内，本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公司不转让或委托他人管理本公司直接或间接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持有的股份公司股份，也不由股份公司回购该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等股份，并将依法办理所持股份的锁定手续。</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840" w:hRule="exact"/>
        </w:trPr>
        <w:tc>
          <w:tcPr>
            <w:tcW w:w="1844"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0"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21" w:right="17"/>
              <w:jc w:val="both"/>
              <w:rPr>
                <w:rFonts w:ascii="宋体" w:hAnsi="宋体" w:cs="宋体" w:eastAsia="宋体" w:hint="default"/>
                <w:sz w:val="18"/>
                <w:szCs w:val="18"/>
              </w:rPr>
            </w:pPr>
            <w:r>
              <w:rPr>
                <w:rFonts w:ascii="宋体" w:hAnsi="宋体" w:cs="宋体" w:eastAsia="宋体" w:hint="default"/>
                <w:sz w:val="18"/>
                <w:szCs w:val="18"/>
              </w:rPr>
              <w:t>自公司股票上市之日起三十六个月内，不转让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或委托他人管理本人直接或间接持有的公司股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份，也不由公司回购该等股份，并将依法办理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所持股份的锁定手续。前述锁定期满后，龙昌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明在任职期间，每年转让的股份不超过本人直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接或间接所持股份总数的</w:t>
            </w:r>
            <w:r>
              <w:rPr>
                <w:rFonts w:ascii="宋体" w:hAnsi="宋体" w:cs="宋体" w:eastAsia="宋体" w:hint="default"/>
                <w:spacing w:val="21"/>
                <w:sz w:val="18"/>
                <w:szCs w:val="18"/>
              </w:rPr>
              <w:t> </w:t>
            </w:r>
            <w:r>
              <w:rPr>
                <w:rFonts w:ascii="宋体" w:hAnsi="宋体" w:cs="宋体" w:eastAsia="宋体" w:hint="default"/>
                <w:sz w:val="18"/>
                <w:szCs w:val="18"/>
              </w:rPr>
              <w:t>25%</w:t>
            </w:r>
            <w:r>
              <w:rPr>
                <w:rFonts w:ascii="宋体" w:hAnsi="宋体" w:cs="宋体" w:eastAsia="宋体" w:hint="default"/>
                <w:sz w:val="18"/>
                <w:szCs w:val="18"/>
              </w:rPr>
              <w:t>，离职后半年内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不转让本人直接或间接持有的公司股份。离职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六个月后的十二个月内通过证券交易所挂牌交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易出售股票数量占其直接所持股份总数的比例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不超过</w:t>
            </w:r>
            <w:r>
              <w:rPr>
                <w:rFonts w:ascii="宋体" w:hAnsi="宋体" w:cs="宋体" w:eastAsia="宋体" w:hint="default"/>
                <w:spacing w:val="19"/>
                <w:sz w:val="18"/>
                <w:szCs w:val="18"/>
              </w:rPr>
              <w:t> </w:t>
            </w:r>
            <w:r>
              <w:rPr>
                <w:rFonts w:ascii="宋体" w:hAnsi="宋体" w:cs="宋体" w:eastAsia="宋体" w:hint="default"/>
                <w:sz w:val="18"/>
                <w:szCs w:val="18"/>
              </w:rPr>
              <w:t>50%</w:t>
            </w:r>
            <w:r>
              <w:rPr>
                <w:rFonts w:ascii="宋体" w:hAnsi="宋体" w:cs="宋体" w:eastAsia="宋体" w:hint="default"/>
                <w:sz w:val="18"/>
                <w:szCs w:val="18"/>
              </w:rPr>
              <w:t>。因公司进行权益分派等导致本人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直接或间接持有公司股份发生变化的，仍应遵</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守上述承诺。</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343" w:hRule="exact"/>
        </w:trPr>
        <w:tc>
          <w:tcPr>
            <w:tcW w:w="1844"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0" w:right="0"/>
              <w:jc w:val="left"/>
              <w:rPr>
                <w:rFonts w:ascii="宋体" w:hAnsi="宋体" w:cs="宋体" w:eastAsia="宋体" w:hint="default"/>
                <w:sz w:val="18"/>
                <w:szCs w:val="18"/>
              </w:rPr>
            </w:pPr>
            <w:r>
              <w:rPr>
                <w:rFonts w:ascii="宋体" w:hAnsi="宋体" w:cs="宋体" w:eastAsia="宋体" w:hint="default"/>
                <w:sz w:val="18"/>
                <w:szCs w:val="18"/>
              </w:rPr>
              <w:t>熊珂</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21" w:right="47"/>
              <w:jc w:val="both"/>
              <w:rPr>
                <w:rFonts w:ascii="宋体" w:hAnsi="宋体" w:cs="宋体" w:eastAsia="宋体" w:hint="default"/>
                <w:sz w:val="18"/>
                <w:szCs w:val="18"/>
              </w:rPr>
            </w:pPr>
            <w:r>
              <w:rPr>
                <w:rFonts w:ascii="宋体" w:hAnsi="宋体" w:cs="宋体" w:eastAsia="宋体" w:hint="default"/>
                <w:sz w:val="18"/>
                <w:szCs w:val="18"/>
              </w:rPr>
              <w:t>自公司股票上市之日起三十六个月内，不转让 或委托他人管理本人直接或间接持有的公司股 份，也不由公司回购该等股份，并将依法办理 所持股份的锁定手续。</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5679" w:hRule="exact"/>
        </w:trPr>
        <w:tc>
          <w:tcPr>
            <w:tcW w:w="1844"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single" w:sz="12"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6"/>
              <w:ind w:left="20" w:right="-23"/>
              <w:jc w:val="left"/>
              <w:rPr>
                <w:rFonts w:ascii="宋体" w:hAnsi="宋体" w:cs="宋体" w:eastAsia="宋体" w:hint="default"/>
                <w:sz w:val="18"/>
                <w:szCs w:val="18"/>
              </w:rPr>
            </w:pPr>
            <w:r>
              <w:rPr>
                <w:rFonts w:ascii="宋体" w:hAnsi="宋体" w:cs="宋体" w:eastAsia="宋体" w:hint="default"/>
                <w:sz w:val="18"/>
                <w:szCs w:val="18"/>
              </w:rPr>
              <w:t>江苏光一投资 管理有限责任 公司、龙昌明、 熊珂</w:t>
            </w:r>
          </w:p>
        </w:tc>
        <w:tc>
          <w:tcPr>
            <w:tcW w:w="3686" w:type="dxa"/>
            <w:tcBorders>
              <w:top w:val="single" w:sz="6" w:space="0" w:color="000000"/>
              <w:left w:val="single" w:sz="9" w:space="0" w:color="FFFFFF"/>
              <w:bottom w:val="single" w:sz="12" w:space="0" w:color="000000"/>
              <w:right w:val="single" w:sz="8" w:space="0" w:color="FFFFFF"/>
            </w:tcBorders>
          </w:tcPr>
          <w:p>
            <w:pPr>
              <w:pStyle w:val="TableParagraph"/>
              <w:spacing w:line="316" w:lineRule="auto" w:before="51"/>
              <w:ind w:left="17" w:right="14"/>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、公司控股股东光一投资、实际控制人龙昌明</w:t>
            </w:r>
            <w:r>
              <w:rPr>
                <w:rFonts w:ascii="宋体" w:hAnsi="宋体" w:cs="宋体" w:eastAsia="宋体" w:hint="default"/>
                <w:sz w:val="18"/>
                <w:szCs w:val="18"/>
              </w:rPr>
              <w:t> 及关联人熊珂分别出具《关于避免同业竞争的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8"/>
                <w:sz w:val="18"/>
                <w:szCs w:val="18"/>
              </w:rPr>
              <w:t>声明、承诺及保证函》，承诺对于公司目前从事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的业务以及未来从事的业务，光一投资</w:t>
            </w:r>
            <w:r>
              <w:rPr>
                <w:rFonts w:ascii="宋体" w:hAnsi="宋体" w:cs="宋体" w:eastAsia="宋体" w:hint="default"/>
                <w:spacing w:val="-3"/>
                <w:sz w:val="18"/>
                <w:szCs w:val="18"/>
              </w:rPr>
              <w:t>/</w:t>
            </w:r>
            <w:r>
              <w:rPr>
                <w:rFonts w:ascii="宋体" w:hAnsi="宋体" w:cs="宋体" w:eastAsia="宋体" w:hint="default"/>
                <w:spacing w:val="-3"/>
                <w:sz w:val="18"/>
                <w:szCs w:val="18"/>
              </w:rPr>
              <w:t>龙昌明</w:t>
            </w:r>
          </w:p>
          <w:p>
            <w:pPr>
              <w:pStyle w:val="TableParagraph"/>
              <w:spacing w:line="316" w:lineRule="auto" w:before="19"/>
              <w:ind w:left="17" w:right="-44"/>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熊珂自身不会，也不会通过投资、合资、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联营、委托经营、承包、租赁经营等任何方式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从事与公司构成竞争的业务。</w:t>
            </w:r>
            <w:r>
              <w:rPr>
                <w:rFonts w:ascii="宋体" w:hAnsi="宋体" w:cs="宋体" w:eastAsia="宋体" w:hint="default"/>
                <w:spacing w:val="-3"/>
                <w:sz w:val="18"/>
                <w:szCs w:val="18"/>
              </w:rPr>
              <w:t>2</w:t>
            </w:r>
            <w:r>
              <w:rPr>
                <w:rFonts w:ascii="宋体" w:hAnsi="宋体" w:cs="宋体" w:eastAsia="宋体" w:hint="default"/>
                <w:spacing w:val="-3"/>
                <w:sz w:val="18"/>
                <w:szCs w:val="18"/>
              </w:rPr>
              <w:t>、公司控股股东</w:t>
            </w:r>
            <w:r>
              <w:rPr>
                <w:rFonts w:ascii="宋体" w:hAnsi="宋体" w:cs="宋体" w:eastAsia="宋体" w:hint="default"/>
                <w:sz w:val="18"/>
                <w:szCs w:val="18"/>
              </w:rPr>
              <w:t> 光一投资、实际控制人龙昌明及关联人熊珂分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别出具《关于避免、减少关联交易的承诺函》，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承诺光一投资、龙昌明、熊珂及其所有参股、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控股公司或者企业，今后原则上不与公司发生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关联交易，如在今后的经营活动中确有必要与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公司之间发生无法避免的关联交易，则此种交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易应当是对公司有益的，且必须按正常的商业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条件进行。有关关联交易将严格按照国家有关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法律法规、公司章程的规定履行有关程序，保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证不要求或接受公司在任何一项交易中给予光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一投资及本人优于给予任何其他独立第三方的</w:t>
            </w:r>
          </w:p>
        </w:tc>
        <w:tc>
          <w:tcPr>
            <w:tcW w:w="994" w:type="dxa"/>
            <w:tcBorders>
              <w:top w:val="single" w:sz="6" w:space="0" w:color="000000"/>
              <w:left w:val="single" w:sz="8" w:space="0" w:color="FFFFFF"/>
              <w:bottom w:val="single" w:sz="12" w:space="0" w:color="000000"/>
              <w:right w:val="single" w:sz="6" w:space="0" w:color="000000"/>
            </w:tcBorders>
          </w:tcPr>
          <w:p>
            <w:pPr>
              <w:pStyle w:val="TableParagraph"/>
              <w:spacing w:line="2476" w:lineRule="exact"/>
              <w:ind w:left="-3"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pict>
                <v:group style="width:49pt;height:123.85pt;mso-position-horizontal-relative:char;mso-position-vertical-relative:line" coordorigin="0,0" coordsize="980,2477">
                  <v:group style="position:absolute;left:0;top:0;width:980;height:2477" coordorigin="0,0" coordsize="980,2477">
                    <v:shape style="position:absolute;left:0;top:0;width:980;height:2477" coordorigin="0,0" coordsize="980,2477" path="m0,2477l980,2477,980,0,0,0,0,2477xe" filled="true" fillcolor="#ffffff" stroked="false">
                      <v:path arrowok="t"/>
                      <v:fill type="solid"/>
                    </v:shape>
                  </v:group>
                </v:group>
              </w:pict>
            </w:r>
            <w:r>
              <w:rPr>
                <w:rFonts w:ascii="Times New Roman" w:hAnsi="Times New Roman" w:cs="Times New Roman" w:eastAsia="Times New Roman" w:hint="default"/>
                <w:position w:val="-49"/>
                <w:sz w:val="20"/>
                <w:szCs w:val="20"/>
              </w:rPr>
            </w:r>
          </w:p>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83.040009pt;margin-top:142.639984pt;width:163.25pt;height:15.6pt;mso-position-horizontal-relative:page;mso-position-vertical-relative:page;z-index:-913264" type="#_x0000_t202" filled="false" stroked="false">
            <v:textbox inset="0,0,0,0">
              <w:txbxContent>
                <w:p>
                  <w:pPr>
                    <w:spacing w:line="208"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直接或间接地占用公司资金。</w:t>
                  </w:r>
                </w:p>
              </w:txbxContent>
            </v:textbox>
            <w10:wrap type="none"/>
          </v:shape>
        </w:pict>
      </w:r>
      <w:r>
        <w:rPr/>
        <w:pict>
          <v:shape style="position:absolute;margin-left:283.040009pt;margin-top:159.019989pt;width:163.25pt;height:109.2pt;mso-position-horizontal-relative:page;mso-position-vertical-relative:page;z-index:-9132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承诺如果未来社保管理机关、</w:t>
                  </w:r>
                </w:p>
              </w:txbxContent>
            </v:textbox>
            <w10:wrap type="none"/>
          </v:shape>
        </w:pict>
      </w:r>
      <w:r>
        <w:rPr/>
        <w:pict>
          <v:shape style="position:absolute;margin-left:319.093994pt;margin-top:413.359985pt;width:127.2pt;height:62.45pt;mso-position-horizontal-relative:page;mso-position-vertical-relative:page;z-index:-9132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sz w:val="18"/>
                      <w:szCs w:val="18"/>
                    </w:rPr>
                    <w:t>则公司补缴社保金、</w:t>
                  </w:r>
                </w:p>
              </w:txbxContent>
            </v:textbox>
            <w10:wrap type="none"/>
          </v:shape>
        </w:pict>
      </w:r>
      <w:r>
        <w:rPr/>
        <w:pict>
          <v:group style="position:absolute;margin-left:397.299988pt;margin-top:142.639984pt;width:49pt;height:125.6pt;mso-position-horizontal-relative:page;mso-position-vertical-relative:page;z-index:-913192" coordorigin="7946,2853" coordsize="980,2512">
            <v:group style="position:absolute;left:7946;top:2853;width:980;height:312" coordorigin="7946,2853" coordsize="980,312">
              <v:shape style="position:absolute;left:7946;top:2853;width:980;height:312" coordorigin="7946,2853" coordsize="980,312" path="m7946,3165l8926,3165,8926,2853,7946,2853,7946,3165xe" filled="true" fillcolor="#ffffff" stroked="false">
                <v:path arrowok="t"/>
                <v:fill type="solid"/>
              </v:shape>
            </v:group>
            <v:group style="position:absolute;left:7946;top:3180;width:980;height:2184" coordorigin="7946,3180" coordsize="980,2184">
              <v:shape style="position:absolute;left:7946;top:3180;width:980;height:2184" coordorigin="7946,3180" coordsize="980,2184" path="m7946,5364l8926,5364,8926,3180,7946,3180,7946,5364xe" filled="true" fillcolor="#ffffff" stroked="false">
                <v:path arrowok="t"/>
                <v:fill type="solid"/>
              </v:shape>
            </v:group>
            <w10:wrap type="none"/>
          </v:group>
        </w:pict>
      </w:r>
      <w:r>
        <w:rPr/>
        <w:pict>
          <v:group style="position:absolute;margin-left:397.299988pt;margin-top:413.359985pt;width:49pt;height:62.45pt;mso-position-horizontal-relative:page;mso-position-vertical-relative:page;z-index:-913168" coordorigin="7946,8267" coordsize="980,1249">
            <v:shape style="position:absolute;left:7946;top:8267;width:980;height:1249" coordorigin="7946,8267" coordsize="980,1249" path="m7946,9516l8926,9516,8926,8267,7946,8267,7946,9516xe" filled="true" fillcolor="#ffffff" stroked="false">
              <v:path arrowok="t"/>
              <v:fill type="solid"/>
            </v:shape>
            <w10:wrap type="none"/>
          </v:group>
        </w:pict>
      </w:r>
      <w:r>
        <w:rPr/>
        <w:pict>
          <v:group style="position:absolute;margin-left:397.299988pt;margin-top:615.159973pt;width:49pt;height:79.75pt;mso-position-horizontal-relative:page;mso-position-vertical-relative:page;z-index:-913144" coordorigin="7946,12303" coordsize="980,1595">
            <v:group style="position:absolute;left:7946;top:12655;width:980;height:468" coordorigin="7946,12655" coordsize="980,468">
              <v:shape style="position:absolute;left:7946;top:12655;width:980;height:468" coordorigin="7946,12655" coordsize="980,468" path="m7946,13123l8926,13123,8926,12655,7946,12655,7946,13123xe" filled="true" fillcolor="#ffffff" stroked="false">
                <v:path arrowok="t"/>
                <v:fill type="solid"/>
              </v:shape>
            </v:group>
            <v:group style="position:absolute;left:7966;top:12303;width:938;height:352" coordorigin="7966,12303" coordsize="938,352">
              <v:shape style="position:absolute;left:7966;top:12303;width:938;height:352" coordorigin="7966,12303" coordsize="938,352" path="m7966,12655l8904,12655,8904,12303,7966,12303,7966,12655xe" filled="true" fillcolor="#ffffff" stroked="false">
                <v:path arrowok="t"/>
                <v:fill type="solid"/>
              </v:shape>
            </v:group>
            <v:group style="position:absolute;left:7946;top:13137;width:980;height:761" coordorigin="7946,13137" coordsize="980,761">
              <v:shape style="position:absolute;left:7946;top:13137;width:980;height:761" coordorigin="7946,13137" coordsize="980,761" path="m7946,13898l8926,13898,8926,13137,7946,13137,7946,13898xe" filled="true" fillcolor="#ffffff" stroked="false">
                <v:path arrowok="t"/>
                <v:fill type="solid"/>
              </v:shape>
            </v:group>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276"/>
        <w:gridCol w:w="3686"/>
        <w:gridCol w:w="994"/>
        <w:gridCol w:w="850"/>
        <w:gridCol w:w="920"/>
      </w:tblGrid>
      <w:tr>
        <w:trPr>
          <w:trHeight w:val="374" w:hRule="exact"/>
        </w:trPr>
        <w:tc>
          <w:tcPr>
            <w:tcW w:w="1844" w:type="dxa"/>
            <w:vMerge w:val="restart"/>
            <w:tcBorders>
              <w:top w:val="single" w:sz="12" w:space="0" w:color="000000"/>
              <w:left w:val="single" w:sz="12"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3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条件。</w:t>
            </w:r>
          </w:p>
        </w:tc>
        <w:tc>
          <w:tcPr>
            <w:tcW w:w="994" w:type="dxa"/>
            <w:tcBorders>
              <w:top w:val="single" w:sz="12" w:space="0" w:color="000000"/>
              <w:left w:val="single" w:sz="6" w:space="0" w:color="000000"/>
              <w:bottom w:val="single" w:sz="6" w:space="0" w:color="000000"/>
              <w:right w:val="single" w:sz="6" w:space="0" w:color="000000"/>
            </w:tcBorders>
          </w:tcPr>
          <w:p>
            <w:pPr/>
          </w:p>
        </w:tc>
        <w:tc>
          <w:tcPr>
            <w:tcW w:w="850" w:type="dxa"/>
            <w:tcBorders>
              <w:top w:val="single" w:sz="12" w:space="0" w:color="000000"/>
              <w:left w:val="single" w:sz="6" w:space="0" w:color="000000"/>
              <w:bottom w:val="single" w:sz="6" w:space="0" w:color="000000"/>
              <w:right w:val="single" w:sz="6" w:space="0" w:color="000000"/>
            </w:tcBorders>
          </w:tcPr>
          <w:p>
            <w:pPr/>
          </w:p>
        </w:tc>
        <w:tc>
          <w:tcPr>
            <w:tcW w:w="920" w:type="dxa"/>
            <w:tcBorders>
              <w:top w:val="single" w:sz="12" w:space="0" w:color="000000"/>
              <w:left w:val="single" w:sz="6" w:space="0" w:color="000000"/>
              <w:bottom w:val="single" w:sz="6" w:space="0" w:color="000000"/>
              <w:right w:val="single" w:sz="12" w:space="0" w:color="000000"/>
            </w:tcBorders>
          </w:tcPr>
          <w:p>
            <w:pPr/>
          </w:p>
        </w:tc>
      </w:tr>
      <w:tr>
        <w:trPr>
          <w:trHeight w:val="361" w:hRule="exact"/>
        </w:trPr>
        <w:tc>
          <w:tcPr>
            <w:tcW w:w="1844"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9" w:space="0" w:color="FFFFFF"/>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江苏光一投资</w:t>
            </w:r>
          </w:p>
        </w:tc>
        <w:tc>
          <w:tcPr>
            <w:tcW w:w="3686" w:type="dxa"/>
            <w:tcBorders>
              <w:top w:val="single" w:sz="6" w:space="0" w:color="000000"/>
              <w:left w:val="single" w:sz="9" w:space="0" w:color="FFFFFF"/>
              <w:bottom w:val="nil" w:sz="6" w:space="0" w:color="auto"/>
              <w:right w:val="single" w:sz="6"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光一投资、实际控制人龙昌明及关联人熊珂分</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625"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9" w:space="0" w:color="FFFFFF"/>
            </w:tcBorders>
          </w:tcPr>
          <w:p>
            <w:pPr>
              <w:pStyle w:val="TableParagraph"/>
              <w:spacing w:line="316" w:lineRule="auto" w:before="10"/>
              <w:ind w:left="20" w:right="-23"/>
              <w:jc w:val="left"/>
              <w:rPr>
                <w:rFonts w:ascii="宋体" w:hAnsi="宋体" w:cs="宋体" w:eastAsia="宋体" w:hint="default"/>
                <w:sz w:val="18"/>
                <w:szCs w:val="18"/>
              </w:rPr>
            </w:pPr>
            <w:r>
              <w:rPr>
                <w:rFonts w:ascii="宋体" w:hAnsi="宋体" w:cs="宋体" w:eastAsia="宋体" w:hint="default"/>
                <w:sz w:val="18"/>
                <w:szCs w:val="18"/>
              </w:rPr>
              <w:t>管理有限责任 公司、龙昌明、</w:t>
            </w:r>
          </w:p>
        </w:tc>
        <w:tc>
          <w:tcPr>
            <w:tcW w:w="3686" w:type="dxa"/>
            <w:tcBorders>
              <w:top w:val="nil" w:sz="6" w:space="0" w:color="auto"/>
              <w:left w:val="single" w:sz="9" w:space="0" w:color="FFFFFF"/>
              <w:bottom w:val="nil" w:sz="6" w:space="0" w:color="auto"/>
              <w:right w:val="single" w:sz="6" w:space="0" w:color="000000"/>
            </w:tcBorders>
          </w:tcPr>
          <w:p>
            <w:pPr>
              <w:pStyle w:val="TableParagraph"/>
              <w:spacing w:line="316" w:lineRule="auto" w:before="10"/>
              <w:ind w:left="17" w:right="17"/>
              <w:jc w:val="left"/>
              <w:rPr>
                <w:rFonts w:ascii="宋体" w:hAnsi="宋体" w:cs="宋体" w:eastAsia="宋体" w:hint="default"/>
                <w:sz w:val="18"/>
                <w:szCs w:val="18"/>
              </w:rPr>
            </w:pPr>
            <w:r>
              <w:rPr>
                <w:rFonts w:ascii="宋体" w:hAnsi="宋体" w:cs="宋体" w:eastAsia="宋体" w:hint="default"/>
                <w:spacing w:val="-8"/>
                <w:sz w:val="18"/>
                <w:szCs w:val="18"/>
              </w:rPr>
              <w:t>别出具《关于不占用资金的承诺函》，承诺保证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不利用控股股东</w:t>
            </w:r>
            <w:r>
              <w:rPr>
                <w:rFonts w:ascii="宋体" w:hAnsi="宋体" w:cs="宋体" w:eastAsia="宋体" w:hint="default"/>
                <w:sz w:val="18"/>
                <w:szCs w:val="18"/>
              </w:rPr>
              <w:t>/</w:t>
            </w:r>
            <w:r>
              <w:rPr>
                <w:rFonts w:ascii="宋体" w:hAnsi="宋体" w:cs="宋体" w:eastAsia="宋体" w:hint="default"/>
                <w:sz w:val="18"/>
                <w:szCs w:val="18"/>
              </w:rPr>
              <w:t>实际控制人</w:t>
            </w:r>
            <w:r>
              <w:rPr>
                <w:rFonts w:ascii="宋体" w:hAnsi="宋体" w:cs="宋体" w:eastAsia="宋体" w:hint="default"/>
                <w:sz w:val="18"/>
                <w:szCs w:val="18"/>
              </w:rPr>
              <w:t>/</w:t>
            </w:r>
            <w:r>
              <w:rPr>
                <w:rFonts w:ascii="宋体" w:hAnsi="宋体" w:cs="宋体" w:eastAsia="宋体" w:hint="default"/>
                <w:sz w:val="18"/>
                <w:szCs w:val="18"/>
              </w:rPr>
              <w:t>实际控制人的一</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58"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9" w:space="0" w:color="FFFFFF"/>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熊珂</w:t>
            </w:r>
          </w:p>
        </w:tc>
        <w:tc>
          <w:tcPr>
            <w:tcW w:w="3686" w:type="dxa"/>
            <w:tcBorders>
              <w:top w:val="nil" w:sz="6" w:space="0" w:color="auto"/>
              <w:left w:val="single" w:sz="9" w:space="0" w:color="FFFFFF"/>
              <w:bottom w:val="single" w:sz="6" w:space="0" w:color="000000"/>
              <w:right w:val="single" w:sz="6" w:space="0" w:color="000000"/>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致行动人的地位，</w:t>
            </w:r>
          </w:p>
        </w:tc>
        <w:tc>
          <w:tcPr>
            <w:tcW w:w="994" w:type="dxa"/>
            <w:tcBorders>
              <w:top w:val="nil" w:sz="6" w:space="0" w:color="auto"/>
              <w:left w:val="single" w:sz="6" w:space="0" w:color="000000"/>
              <w:bottom w:val="single" w:sz="6" w:space="0" w:color="000000"/>
              <w:right w:val="single" w:sz="6" w:space="0" w:color="000000"/>
            </w:tcBorders>
          </w:tcPr>
          <w:p>
            <w:pPr/>
          </w:p>
        </w:tc>
        <w:tc>
          <w:tcPr>
            <w:tcW w:w="850" w:type="dxa"/>
            <w:tcBorders>
              <w:top w:val="nil" w:sz="6" w:space="0" w:color="auto"/>
              <w:left w:val="single" w:sz="6" w:space="0" w:color="000000"/>
              <w:bottom w:val="single" w:sz="6" w:space="0" w:color="000000"/>
              <w:right w:val="single" w:sz="6" w:space="0" w:color="000000"/>
            </w:tcBorders>
          </w:tcPr>
          <w:p>
            <w:pPr/>
          </w:p>
        </w:tc>
        <w:tc>
          <w:tcPr>
            <w:tcW w:w="920" w:type="dxa"/>
            <w:tcBorders>
              <w:top w:val="nil" w:sz="6" w:space="0" w:color="auto"/>
              <w:left w:val="single" w:sz="6" w:space="0" w:color="000000"/>
              <w:bottom w:val="single" w:sz="6" w:space="0" w:color="000000"/>
              <w:right w:val="single" w:sz="12" w:space="0" w:color="000000"/>
            </w:tcBorders>
          </w:tcPr>
          <w:p>
            <w:pPr/>
          </w:p>
        </w:tc>
      </w:tr>
      <w:tr>
        <w:trPr>
          <w:trHeight w:val="361" w:hRule="exact"/>
        </w:trPr>
        <w:tc>
          <w:tcPr>
            <w:tcW w:w="1844"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36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、关于社会保障缴纳的承诺：实际控制人龙昌</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明出</w:t>
            </w:r>
            <w:r>
              <w:rPr>
                <w:rFonts w:ascii="宋体" w:hAnsi="宋体" w:cs="宋体" w:eastAsia="宋体" w:hint="default"/>
                <w:spacing w:val="-76"/>
                <w:sz w:val="18"/>
                <w:szCs w:val="18"/>
              </w:rPr>
              <w:t>具</w:t>
            </w:r>
            <w:r>
              <w:rPr>
                <w:rFonts w:ascii="宋体" w:hAnsi="宋体" w:cs="宋体" w:eastAsia="宋体" w:hint="default"/>
                <w:sz w:val="18"/>
                <w:szCs w:val="18"/>
              </w:rPr>
              <w:t>《承诺函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住房公积金管理机关要求公司补缴其于股票发</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行上市前应缴未缴的员工社保金、住房公积金</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的，则公司补缴社保金、住房公积金由光一投</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资及龙昌明共同全额补偿给公司；如果公司因</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此遭受行政处罚、民事索赔的，有关罚金及赔</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625"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1" w:right="20"/>
              <w:jc w:val="left"/>
              <w:rPr>
                <w:rFonts w:ascii="宋体" w:hAnsi="宋体" w:cs="宋体" w:eastAsia="宋体" w:hint="default"/>
                <w:sz w:val="18"/>
                <w:szCs w:val="18"/>
              </w:rPr>
            </w:pPr>
            <w:r>
              <w:rPr>
                <w:rFonts w:ascii="宋体" w:hAnsi="宋体" w:cs="宋体" w:eastAsia="宋体" w:hint="default"/>
                <w:sz w:val="18"/>
                <w:szCs w:val="18"/>
              </w:rPr>
              <w:t>偿金也由光一投资及龙昌明共同全额补偿给公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司。光一投资及龙昌明对公司所负前述义务和</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1"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责任为共同不可区分的连带责任。</w:t>
            </w:r>
            <w:r>
              <w:rPr>
                <w:rFonts w:ascii="宋体" w:hAnsi="宋体" w:cs="宋体" w:eastAsia="宋体" w:hint="default"/>
                <w:spacing w:val="-3"/>
                <w:sz w:val="18"/>
                <w:szCs w:val="18"/>
              </w:rPr>
              <w:t>2</w:t>
            </w:r>
            <w:r>
              <w:rPr>
                <w:rFonts w:ascii="宋体" w:hAnsi="宋体" w:cs="宋体" w:eastAsia="宋体" w:hint="default"/>
                <w:spacing w:val="-3"/>
                <w:sz w:val="18"/>
                <w:szCs w:val="18"/>
              </w:rPr>
              <w:t>、实际控制</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人龙昌明对光一有限无形资产出资出具《承诺</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pacing w:val="-62"/>
                <w:sz w:val="18"/>
                <w:szCs w:val="18"/>
              </w:rPr>
              <w:t>，</w:t>
            </w:r>
            <w:r>
              <w:rPr>
                <w:rFonts w:ascii="宋体" w:hAnsi="宋体" w:cs="宋体" w:eastAsia="宋体" w:hint="default"/>
                <w:sz w:val="18"/>
                <w:szCs w:val="18"/>
              </w:rPr>
              <w:t>承诺该项无形资产是其本人在光一电子工</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作期间主持开发的，本人拥有该项资产的所有</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权，不存在与其他任何第三方之间的纠纷或者</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潜在纠纷。如因该项专有技术引起任何纠纷，</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59"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368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本人愿意以个人财产承担全部责任。</w:t>
            </w:r>
          </w:p>
        </w:tc>
        <w:tc>
          <w:tcPr>
            <w:tcW w:w="994" w:type="dxa"/>
            <w:tcBorders>
              <w:top w:val="nil" w:sz="6" w:space="0" w:color="auto"/>
              <w:left w:val="single" w:sz="6" w:space="0" w:color="000000"/>
              <w:bottom w:val="single" w:sz="6" w:space="0" w:color="000000"/>
              <w:right w:val="single" w:sz="6" w:space="0" w:color="000000"/>
            </w:tcBorders>
          </w:tcPr>
          <w:p>
            <w:pPr/>
          </w:p>
        </w:tc>
        <w:tc>
          <w:tcPr>
            <w:tcW w:w="850" w:type="dxa"/>
            <w:tcBorders>
              <w:top w:val="nil" w:sz="6" w:space="0" w:color="auto"/>
              <w:left w:val="single" w:sz="6" w:space="0" w:color="000000"/>
              <w:bottom w:val="single" w:sz="6" w:space="0" w:color="000000"/>
              <w:right w:val="single" w:sz="6" w:space="0" w:color="000000"/>
            </w:tcBorders>
          </w:tcPr>
          <w:p>
            <w:pPr/>
          </w:p>
        </w:tc>
        <w:tc>
          <w:tcPr>
            <w:tcW w:w="920" w:type="dxa"/>
            <w:tcBorders>
              <w:top w:val="nil" w:sz="6" w:space="0" w:color="auto"/>
              <w:left w:val="single" w:sz="6" w:space="0" w:color="000000"/>
              <w:bottom w:val="single" w:sz="6" w:space="0" w:color="000000"/>
              <w:right w:val="single" w:sz="12" w:space="0" w:color="000000"/>
            </w:tcBorders>
          </w:tcPr>
          <w:p>
            <w:pPr/>
          </w:p>
        </w:tc>
      </w:tr>
      <w:tr>
        <w:trPr>
          <w:trHeight w:val="360" w:hRule="exact"/>
        </w:trPr>
        <w:tc>
          <w:tcPr>
            <w:tcW w:w="1844"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36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公司控股股东光一投资出</w:t>
            </w:r>
            <w:r>
              <w:rPr>
                <w:rFonts w:ascii="宋体" w:hAnsi="宋体" w:cs="宋体" w:eastAsia="宋体" w:hint="default"/>
                <w:spacing w:val="-31"/>
                <w:sz w:val="18"/>
                <w:szCs w:val="18"/>
              </w:rPr>
              <w:t>具</w:t>
            </w:r>
            <w:r>
              <w:rPr>
                <w:rFonts w:ascii="宋体" w:hAnsi="宋体" w:cs="宋体" w:eastAsia="宋体" w:hint="default"/>
                <w:sz w:val="18"/>
                <w:szCs w:val="18"/>
              </w:rPr>
              <w:t>《承诺函</w:t>
            </w:r>
            <w:r>
              <w:rPr>
                <w:rFonts w:ascii="宋体" w:hAnsi="宋体" w:cs="宋体" w:eastAsia="宋体" w:hint="default"/>
                <w:spacing w:val="-90"/>
                <w:sz w:val="18"/>
                <w:szCs w:val="18"/>
              </w:rPr>
              <w:t>》</w:t>
            </w:r>
            <w:r>
              <w:rPr>
                <w:rFonts w:ascii="宋体" w:hAnsi="宋体" w:cs="宋体" w:eastAsia="宋体" w:hint="default"/>
                <w:spacing w:val="-31"/>
                <w:sz w:val="18"/>
                <w:szCs w:val="18"/>
              </w:rPr>
              <w:t>，</w:t>
            </w:r>
            <w:r>
              <w:rPr>
                <w:rFonts w:ascii="宋体" w:hAnsi="宋体" w:cs="宋体" w:eastAsia="宋体" w:hint="default"/>
                <w:spacing w:val="-2"/>
                <w:sz w:val="18"/>
                <w:szCs w:val="18"/>
              </w:rPr>
              <w:t>承</w:t>
            </w:r>
            <w:r>
              <w:rPr>
                <w:rFonts w:ascii="宋体" w:hAnsi="宋体" w:cs="宋体" w:eastAsia="宋体" w:hint="default"/>
                <w:sz w:val="18"/>
                <w:szCs w:val="18"/>
              </w:rPr>
              <w:t>诺如</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11"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果未来社保管理机关、住房公积金管理机关要</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求公司补缴其于股票发行上市前应缴未缴的员</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1248"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0" w:right="158"/>
              <w:jc w:val="both"/>
              <w:rPr>
                <w:rFonts w:ascii="宋体" w:hAnsi="宋体" w:cs="宋体" w:eastAsia="宋体" w:hint="default"/>
                <w:sz w:val="18"/>
                <w:szCs w:val="18"/>
              </w:rPr>
            </w:pPr>
            <w:r>
              <w:rPr>
                <w:rFonts w:ascii="宋体" w:hAnsi="宋体" w:cs="宋体" w:eastAsia="宋体" w:hint="default"/>
                <w:sz w:val="18"/>
                <w:szCs w:val="18"/>
              </w:rPr>
              <w:t>江苏光一投资 管理有限责任 公司</w:t>
            </w: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1" w:right="20"/>
              <w:jc w:val="left"/>
              <w:rPr>
                <w:rFonts w:ascii="宋体" w:hAnsi="宋体" w:cs="宋体" w:eastAsia="宋体" w:hint="default"/>
                <w:sz w:val="18"/>
                <w:szCs w:val="18"/>
              </w:rPr>
            </w:pPr>
            <w:r>
              <w:rPr>
                <w:rFonts w:ascii="宋体" w:hAnsi="宋体" w:cs="宋体" w:eastAsia="宋体" w:hint="default"/>
                <w:spacing w:val="-3"/>
                <w:sz w:val="18"/>
                <w:szCs w:val="18"/>
              </w:rPr>
              <w:t>工社保金、住房公积金的，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住房公积金由光一投资及龙昌明共同全额补偿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给公司；如果公司因此遭受行政处罚、民事索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赔的，有关罚金及赔偿金也由光一投资及龙昌</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明共同全额补偿给公司。光一投资及龙昌明对</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3"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公司所负前述义务和责任为共同不可区分的连</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59"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368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带责任。</w:t>
            </w:r>
          </w:p>
        </w:tc>
        <w:tc>
          <w:tcPr>
            <w:tcW w:w="994" w:type="dxa"/>
            <w:tcBorders>
              <w:top w:val="nil" w:sz="6" w:space="0" w:color="auto"/>
              <w:left w:val="single" w:sz="6" w:space="0" w:color="000000"/>
              <w:bottom w:val="single" w:sz="6" w:space="0" w:color="000000"/>
              <w:right w:val="single" w:sz="6" w:space="0" w:color="000000"/>
            </w:tcBorders>
          </w:tcPr>
          <w:p>
            <w:pPr/>
          </w:p>
        </w:tc>
        <w:tc>
          <w:tcPr>
            <w:tcW w:w="850" w:type="dxa"/>
            <w:tcBorders>
              <w:top w:val="nil" w:sz="6" w:space="0" w:color="auto"/>
              <w:left w:val="single" w:sz="6" w:space="0" w:color="000000"/>
              <w:bottom w:val="single" w:sz="6" w:space="0" w:color="000000"/>
              <w:right w:val="single" w:sz="6" w:space="0" w:color="000000"/>
            </w:tcBorders>
          </w:tcPr>
          <w:p>
            <w:pPr/>
          </w:p>
        </w:tc>
        <w:tc>
          <w:tcPr>
            <w:tcW w:w="920" w:type="dxa"/>
            <w:tcBorders>
              <w:top w:val="nil" w:sz="6" w:space="0" w:color="auto"/>
              <w:left w:val="single" w:sz="6" w:space="0" w:color="000000"/>
              <w:bottom w:val="single" w:sz="6" w:space="0" w:color="000000"/>
              <w:right w:val="single" w:sz="12" w:space="0" w:color="000000"/>
            </w:tcBorders>
          </w:tcPr>
          <w:p>
            <w:pPr/>
          </w:p>
        </w:tc>
      </w:tr>
      <w:tr>
        <w:trPr>
          <w:trHeight w:val="360" w:hRule="exact"/>
        </w:trPr>
        <w:tc>
          <w:tcPr>
            <w:tcW w:w="1844"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36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pacing w:val="10"/>
                <w:sz w:val="18"/>
                <w:szCs w:val="18"/>
              </w:rPr>
              <w:t>实际控制人龙昌明对光一电子股东权益出具</w:t>
            </w:r>
            <w:r>
              <w:rPr>
                <w:rFonts w:ascii="宋体" w:hAnsi="宋体" w:cs="宋体" w:eastAsia="宋体" w:hint="default"/>
                <w:sz w:val="18"/>
                <w:szCs w:val="18"/>
              </w:rPr>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937"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0"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3686" w:type="dxa"/>
            <w:tcBorders>
              <w:top w:val="nil" w:sz="6" w:space="0" w:color="auto"/>
              <w:left w:val="single" w:sz="6" w:space="0" w:color="000000"/>
              <w:bottom w:val="nil" w:sz="6" w:space="0" w:color="auto"/>
              <w:right w:val="single" w:sz="14" w:space="0" w:color="FFFFFF"/>
            </w:tcBorders>
          </w:tcPr>
          <w:p>
            <w:pPr>
              <w:pStyle w:val="TableParagraph"/>
              <w:spacing w:line="316" w:lineRule="auto" w:before="10"/>
              <w:ind w:left="21" w:right="8"/>
              <w:jc w:val="both"/>
              <w:rPr>
                <w:rFonts w:ascii="宋体" w:hAnsi="宋体" w:cs="宋体" w:eastAsia="宋体" w:hint="default"/>
                <w:sz w:val="18"/>
                <w:szCs w:val="18"/>
              </w:rPr>
            </w:pPr>
            <w:r>
              <w:rPr>
                <w:rFonts w:ascii="宋体" w:hAnsi="宋体" w:cs="宋体" w:eastAsia="宋体" w:hint="default"/>
                <w:spacing w:val="-8"/>
                <w:sz w:val="18"/>
                <w:szCs w:val="18"/>
              </w:rPr>
              <w:t>《承诺函》，承诺光一电子股东权益不存在任何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权属纠纷或潜在纠纷，如因光一电子股东权益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归属产生权属争议或纠纷的，由此造成的法律</w:t>
            </w:r>
          </w:p>
        </w:tc>
        <w:tc>
          <w:tcPr>
            <w:tcW w:w="994" w:type="dxa"/>
            <w:tcBorders>
              <w:top w:val="nil" w:sz="6" w:space="0" w:color="auto"/>
              <w:left w:val="single" w:sz="14" w:space="0" w:color="FFFFFF"/>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195" w:lineRule="exact" w:before="77"/>
              <w:ind w:left="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195"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58"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368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经济后果均由其本人承担。</w:t>
            </w:r>
          </w:p>
        </w:tc>
        <w:tc>
          <w:tcPr>
            <w:tcW w:w="994" w:type="dxa"/>
            <w:tcBorders>
              <w:top w:val="nil" w:sz="6" w:space="0" w:color="auto"/>
              <w:left w:val="single" w:sz="6" w:space="0" w:color="000000"/>
              <w:bottom w:val="single" w:sz="6" w:space="0" w:color="000000"/>
              <w:right w:val="single" w:sz="6" w:space="0" w:color="000000"/>
            </w:tcBorders>
          </w:tcPr>
          <w:p>
            <w:pPr/>
          </w:p>
        </w:tc>
        <w:tc>
          <w:tcPr>
            <w:tcW w:w="850" w:type="dxa"/>
            <w:tcBorders>
              <w:top w:val="nil" w:sz="6" w:space="0" w:color="auto"/>
              <w:left w:val="single" w:sz="6" w:space="0" w:color="000000"/>
              <w:bottom w:val="single" w:sz="6" w:space="0" w:color="000000"/>
              <w:right w:val="single" w:sz="6" w:space="0" w:color="000000"/>
            </w:tcBorders>
          </w:tcPr>
          <w:p>
            <w:pPr/>
          </w:p>
        </w:tc>
        <w:tc>
          <w:tcPr>
            <w:tcW w:w="920" w:type="dxa"/>
            <w:tcBorders>
              <w:top w:val="nil" w:sz="6" w:space="0" w:color="auto"/>
              <w:left w:val="single" w:sz="6" w:space="0" w:color="000000"/>
              <w:bottom w:val="single" w:sz="6" w:space="0" w:color="000000"/>
              <w:right w:val="single" w:sz="12" w:space="0" w:color="000000"/>
            </w:tcBorders>
          </w:tcPr>
          <w:p>
            <w:pPr/>
          </w:p>
        </w:tc>
      </w:tr>
      <w:tr>
        <w:trPr>
          <w:trHeight w:val="360" w:hRule="exact"/>
        </w:trPr>
        <w:tc>
          <w:tcPr>
            <w:tcW w:w="1844" w:type="dxa"/>
            <w:vMerge/>
            <w:tcBorders>
              <w:left w:val="single" w:sz="12" w:space="0" w:color="000000"/>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36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实际控制人龙昌明对于</w:t>
            </w:r>
            <w:r>
              <w:rPr>
                <w:rFonts w:ascii="宋体" w:hAnsi="宋体" w:cs="宋体" w:eastAsia="宋体" w:hint="default"/>
                <w:spacing w:val="-60"/>
                <w:sz w:val="18"/>
                <w:szCs w:val="18"/>
              </w:rPr>
              <w:t> </w:t>
            </w:r>
            <w:r>
              <w:rPr>
                <w:rFonts w:ascii="宋体" w:hAnsi="宋体" w:cs="宋体" w:eastAsia="宋体" w:hint="default"/>
                <w:sz w:val="18"/>
                <w:szCs w:val="18"/>
              </w:rPr>
              <w:t>2009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3</w:t>
            </w:r>
            <w:r>
              <w:rPr>
                <w:rFonts w:ascii="宋体" w:hAnsi="宋体" w:cs="宋体" w:eastAsia="宋体" w:hint="default"/>
                <w:spacing w:val="-60"/>
                <w:sz w:val="18"/>
                <w:szCs w:val="18"/>
              </w:rPr>
              <w:t> </w:t>
            </w:r>
            <w:r>
              <w:rPr>
                <w:rFonts w:ascii="宋体" w:hAnsi="宋体" w:cs="宋体" w:eastAsia="宋体" w:hint="default"/>
                <w:sz w:val="18"/>
                <w:szCs w:val="18"/>
              </w:rPr>
              <w:t>月光一有限股</w:t>
            </w:r>
          </w:p>
        </w:tc>
        <w:tc>
          <w:tcPr>
            <w:tcW w:w="994"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东将其持有的光一有限的股权全部转让给光一</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936"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3686" w:type="dxa"/>
            <w:tcBorders>
              <w:top w:val="nil" w:sz="6" w:space="0" w:color="auto"/>
              <w:left w:val="single" w:sz="6" w:space="0" w:color="000000"/>
              <w:bottom w:val="nil" w:sz="6" w:space="0" w:color="auto"/>
              <w:right w:val="single" w:sz="14" w:space="0" w:color="FFFFFF"/>
            </w:tcBorders>
          </w:tcPr>
          <w:p>
            <w:pPr>
              <w:pStyle w:val="TableParagraph"/>
              <w:spacing w:line="316" w:lineRule="auto" w:before="10"/>
              <w:ind w:left="21" w:right="10"/>
              <w:jc w:val="left"/>
              <w:rPr>
                <w:rFonts w:ascii="宋体" w:hAnsi="宋体" w:cs="宋体" w:eastAsia="宋体" w:hint="default"/>
                <w:sz w:val="18"/>
                <w:szCs w:val="18"/>
              </w:rPr>
            </w:pPr>
            <w:r>
              <w:rPr>
                <w:rFonts w:ascii="宋体" w:hAnsi="宋体" w:cs="宋体" w:eastAsia="宋体" w:hint="default"/>
                <w:spacing w:val="-5"/>
                <w:sz w:val="18"/>
                <w:szCs w:val="18"/>
              </w:rPr>
              <w:t>投资所涉及的个人所得税问题出具《承诺函》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承诺如果未来有关税收征管机关就本次股权转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让依据有关税法、规范性文件规定重新核定计</w:t>
            </w:r>
          </w:p>
        </w:tc>
        <w:tc>
          <w:tcPr>
            <w:tcW w:w="994" w:type="dxa"/>
            <w:tcBorders>
              <w:top w:val="nil" w:sz="6" w:space="0" w:color="auto"/>
              <w:left w:val="single" w:sz="14" w:space="0" w:color="FFFFFF"/>
              <w:bottom w:val="nil" w:sz="6" w:space="0" w:color="auto"/>
              <w:right w:val="single" w:sz="6" w:space="0" w:color="000000"/>
            </w:tcBorders>
          </w:tcPr>
          <w:p>
            <w:pPr>
              <w:pStyle w:val="TableParagraph"/>
              <w:spacing w:line="186" w:lineRule="exact" w:before="10"/>
              <w:ind w:left="-16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1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44" w:type="dxa"/>
            <w:vMerge/>
            <w:tcBorders>
              <w:left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nil" w:sz="6" w:space="0" w:color="auto"/>
              <w:right w:val="single" w:sz="6" w:space="0" w:color="000000"/>
            </w:tcBorders>
          </w:tcPr>
          <w:p>
            <w:pPr/>
          </w:p>
        </w:tc>
        <w:tc>
          <w:tcPr>
            <w:tcW w:w="3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税依据而要求转让方补缴个人所得税的，则由</w:t>
            </w:r>
          </w:p>
        </w:tc>
        <w:tc>
          <w:tcPr>
            <w:tcW w:w="994"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27" w:hRule="exact"/>
        </w:trPr>
        <w:tc>
          <w:tcPr>
            <w:tcW w:w="1844" w:type="dxa"/>
            <w:vMerge/>
            <w:tcBorders>
              <w:left w:val="single" w:sz="12" w:space="0" w:color="000000"/>
              <w:bottom w:val="single" w:sz="12"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12" w:space="0" w:color="000000"/>
              <w:right w:val="single" w:sz="6" w:space="0" w:color="000000"/>
            </w:tcBorders>
          </w:tcPr>
          <w:p>
            <w:pPr/>
          </w:p>
        </w:tc>
        <w:tc>
          <w:tcPr>
            <w:tcW w:w="368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其本人全额补缴。如果需要加计滞纳金或罚款</w:t>
            </w:r>
          </w:p>
        </w:tc>
        <w:tc>
          <w:tcPr>
            <w:tcW w:w="994" w:type="dxa"/>
            <w:tcBorders>
              <w:top w:val="nil" w:sz="6" w:space="0" w:color="auto"/>
              <w:left w:val="single" w:sz="6" w:space="0" w:color="000000"/>
              <w:bottom w:val="single" w:sz="12" w:space="0" w:color="000000"/>
              <w:right w:val="single" w:sz="6" w:space="0" w:color="000000"/>
            </w:tcBorders>
          </w:tcPr>
          <w:p>
            <w:pPr/>
          </w:p>
        </w:tc>
        <w:tc>
          <w:tcPr>
            <w:tcW w:w="850" w:type="dxa"/>
            <w:tcBorders>
              <w:top w:val="nil" w:sz="6" w:space="0" w:color="auto"/>
              <w:left w:val="single" w:sz="6" w:space="0" w:color="000000"/>
              <w:bottom w:val="single" w:sz="12" w:space="0" w:color="000000"/>
              <w:right w:val="single" w:sz="6" w:space="0" w:color="000000"/>
            </w:tcBorders>
          </w:tcPr>
          <w:p>
            <w:pPr/>
          </w:p>
        </w:tc>
        <w:tc>
          <w:tcPr>
            <w:tcW w:w="920"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844"/>
        <w:gridCol w:w="1276"/>
        <w:gridCol w:w="3686"/>
        <w:gridCol w:w="994"/>
        <w:gridCol w:w="850"/>
        <w:gridCol w:w="920"/>
      </w:tblGrid>
      <w:tr>
        <w:trPr>
          <w:trHeight w:val="374" w:hRule="exact"/>
        </w:trPr>
        <w:tc>
          <w:tcPr>
            <w:tcW w:w="1844"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3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的，均由其本人承担和缴纳。</w:t>
            </w:r>
          </w:p>
        </w:tc>
        <w:tc>
          <w:tcPr>
            <w:tcW w:w="994" w:type="dxa"/>
            <w:tcBorders>
              <w:top w:val="single" w:sz="12" w:space="0" w:color="000000"/>
              <w:left w:val="single" w:sz="6" w:space="0" w:color="000000"/>
              <w:bottom w:val="single" w:sz="6" w:space="0" w:color="000000"/>
              <w:right w:val="single" w:sz="6" w:space="0" w:color="000000"/>
            </w:tcBorders>
          </w:tcPr>
          <w:p>
            <w:pPr/>
          </w:p>
        </w:tc>
        <w:tc>
          <w:tcPr>
            <w:tcW w:w="850" w:type="dxa"/>
            <w:tcBorders>
              <w:top w:val="single" w:sz="12" w:space="0" w:color="000000"/>
              <w:left w:val="single" w:sz="6" w:space="0" w:color="000000"/>
              <w:bottom w:val="single" w:sz="6" w:space="0" w:color="000000"/>
              <w:right w:val="single" w:sz="6" w:space="0" w:color="000000"/>
            </w:tcBorders>
          </w:tcPr>
          <w:p>
            <w:pPr/>
          </w:p>
        </w:tc>
        <w:tc>
          <w:tcPr>
            <w:tcW w:w="920" w:type="dxa"/>
            <w:tcBorders>
              <w:top w:val="single" w:sz="12" w:space="0" w:color="000000"/>
              <w:left w:val="single" w:sz="6" w:space="0" w:color="000000"/>
              <w:bottom w:val="single" w:sz="6" w:space="0" w:color="000000"/>
              <w:right w:val="single" w:sz="12" w:space="0" w:color="000000"/>
            </w:tcBorders>
          </w:tcPr>
          <w:p>
            <w:pPr/>
          </w:p>
        </w:tc>
      </w:tr>
      <w:tr>
        <w:trPr>
          <w:trHeight w:val="719" w:hRule="exact"/>
        </w:trPr>
        <w:tc>
          <w:tcPr>
            <w:tcW w:w="18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13" w:right="18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276" w:type="dxa"/>
            <w:tcBorders>
              <w:top w:val="single" w:sz="6" w:space="0" w:color="000000"/>
              <w:left w:val="single" w:sz="6" w:space="0" w:color="000000"/>
              <w:bottom w:val="single" w:sz="6" w:space="0" w:color="000000"/>
              <w:right w:val="single" w:sz="6" w:space="0" w:color="000000"/>
            </w:tcBorders>
          </w:tcPr>
          <w:p>
            <w:pPr/>
          </w:p>
        </w:tc>
        <w:tc>
          <w:tcPr>
            <w:tcW w:w="3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184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725"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Heading4"/>
        <w:spacing w:line="408" w:lineRule="auto" w:before="63"/>
        <w:ind w:right="0"/>
        <w:jc w:val="left"/>
        <w:rPr>
          <w:b w:val="0"/>
          <w:bCs w:val="0"/>
        </w:rPr>
      </w:pPr>
      <w:bookmarkStart w:name="2、公司资产或项目存在盈利预测，且报告期仍处在盈利预测期间，公司就资产或项目达到" w:id="65"/>
      <w:bookmarkEnd w:id="65"/>
      <w:r>
        <w:rPr>
          <w:b w:val="0"/>
          <w:bCs w:val="0"/>
        </w:rPr>
      </w:r>
      <w:r>
        <w:rPr>
          <w:rFonts w:ascii="宋体" w:hAnsi="宋体" w:cs="宋体" w:eastAsia="宋体" w:hint="default"/>
        </w:rPr>
        <w:t>2</w:t>
      </w:r>
      <w:r>
        <w:rPr/>
        <w:t>、公司资产或项目存在盈利预测，且报告期仍处在盈利预测期间，公司就资产或项目达到原盈利预测及</w:t>
      </w:r>
      <w:r>
        <w:rPr>
          <w:spacing w:val="-73"/>
        </w:rPr>
        <w:t> </w:t>
      </w:r>
      <w:r>
        <w:rPr>
          <w:spacing w:val="-73"/>
        </w:rPr>
      </w:r>
      <w:r>
        <w:rPr/>
        <w:t>其原因做出说明</w:t>
      </w:r>
      <w:r>
        <w:rPr>
          <w:b w:val="0"/>
          <w:bCs w:val="0"/>
        </w:rPr>
      </w:r>
    </w:p>
    <w:p>
      <w:pPr>
        <w:pStyle w:val="BodyText"/>
        <w:spacing w:line="240" w:lineRule="auto"/>
        <w:ind w:left="154" w:right="0"/>
        <w:jc w:val="left"/>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217"/>
        <w:gridCol w:w="1212"/>
        <w:gridCol w:w="1213"/>
        <w:gridCol w:w="1214"/>
        <w:gridCol w:w="1213"/>
        <w:gridCol w:w="1214"/>
        <w:gridCol w:w="1214"/>
        <w:gridCol w:w="1075"/>
      </w:tblGrid>
      <w:tr>
        <w:trPr>
          <w:trHeight w:val="766" w:hRule="exact"/>
        </w:trPr>
        <w:tc>
          <w:tcPr>
            <w:tcW w:w="121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70"/>
              <w:ind w:left="142" w:right="59"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21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2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2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2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70"/>
              <w:ind w:left="58" w:right="58"/>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2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57" w:lineRule="auto" w:before="51"/>
              <w:ind w:left="419" w:right="149" w:hanging="270"/>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07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9" w:lineRule="auto" w:before="70"/>
              <w:ind w:left="350" w:right="71"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4783" w:hRule="exact"/>
        </w:trPr>
        <w:tc>
          <w:tcPr>
            <w:tcW w:w="121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收购索瑞项目</w:t>
            </w:r>
          </w:p>
        </w:tc>
        <w:tc>
          <w:tcPr>
            <w:tcW w:w="12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728" w:right="0"/>
              <w:jc w:val="left"/>
              <w:rPr>
                <w:rFonts w:ascii="宋体" w:hAnsi="宋体" w:cs="宋体" w:eastAsia="宋体" w:hint="default"/>
                <w:sz w:val="18"/>
                <w:szCs w:val="18"/>
              </w:rPr>
            </w:pPr>
            <w:r>
              <w:rPr>
                <w:rFonts w:ascii="宋体"/>
                <w:sz w:val="18"/>
              </w:rPr>
              <w:t>7,500</w:t>
            </w:r>
          </w:p>
        </w:tc>
        <w:tc>
          <w:tcPr>
            <w:tcW w:w="1213" w:type="dxa"/>
            <w:tcBorders>
              <w:top w:val="single" w:sz="14" w:space="0" w:color="D2D2D2"/>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57" w:right="0"/>
              <w:jc w:val="left"/>
              <w:rPr>
                <w:rFonts w:ascii="宋体" w:hAnsi="宋体" w:cs="宋体" w:eastAsia="宋体" w:hint="default"/>
                <w:sz w:val="18"/>
                <w:szCs w:val="18"/>
              </w:rPr>
            </w:pPr>
            <w:r>
              <w:rPr>
                <w:rFonts w:ascii="宋体"/>
                <w:sz w:val="18"/>
              </w:rPr>
              <w:t>7,558.37</w:t>
            </w:r>
          </w:p>
        </w:tc>
        <w:tc>
          <w:tcPr>
            <w:tcW w:w="1214" w:type="dxa"/>
            <w:tcBorders>
              <w:top w:val="single" w:sz="14" w:space="0" w:color="D2D2D2"/>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5" w:type="dxa"/>
            <w:tcBorders>
              <w:top w:val="single" w:sz="14" w:space="0" w:color="D2D2D2"/>
              <w:left w:val="single" w:sz="6" w:space="0" w:color="000000"/>
              <w:bottom w:val="single" w:sz="12" w:space="0" w:color="000000"/>
              <w:right w:val="single" w:sz="12"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319" w:lineRule="auto" w:before="75"/>
              <w:ind w:left="21" w:right="11"/>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日中国证 监会指定的 创业板信息 披露网站巨 潮资讯网 </w:t>
            </w:r>
            <w:hyperlink r:id="rId15">
              <w:r>
                <w:rPr>
                  <w:rFonts w:ascii="宋体" w:hAnsi="宋体" w:cs="宋体" w:eastAsia="宋体" w:hint="default"/>
                  <w:sz w:val="18"/>
                  <w:szCs w:val="18"/>
                </w:rPr>
                <w:t>http://www.</w:t>
              </w:r>
            </w:hyperlink>
            <w:r>
              <w:rPr>
                <w:rFonts w:ascii="宋体" w:hAnsi="宋体" w:cs="宋体" w:eastAsia="宋体" w:hint="default"/>
                <w:sz w:val="18"/>
                <w:szCs w:val="18"/>
              </w:rPr>
              <w:t> cninfo.com. </w:t>
            </w:r>
            <w:r>
              <w:rPr>
                <w:rFonts w:ascii="宋体" w:hAnsi="宋体" w:cs="宋体" w:eastAsia="宋体" w:hint="default"/>
                <w:spacing w:val="-9"/>
                <w:sz w:val="18"/>
                <w:szCs w:val="18"/>
              </w:rPr>
              <w:t>cn</w:t>
            </w:r>
            <w:r>
              <w:rPr>
                <w:rFonts w:ascii="宋体" w:hAnsi="宋体" w:cs="宋体" w:eastAsia="宋体" w:hint="default"/>
                <w:spacing w:val="-9"/>
                <w:sz w:val="18"/>
                <w:szCs w:val="18"/>
              </w:rPr>
              <w:t>《发行股份</w:t>
            </w:r>
            <w:r>
              <w:rPr>
                <w:rFonts w:ascii="宋体" w:hAnsi="宋体" w:cs="宋体" w:eastAsia="宋体" w:hint="default"/>
                <w:sz w:val="18"/>
                <w:szCs w:val="18"/>
              </w:rPr>
              <w:t> 及支付现金 购买资产并 募集配套资 金暨关联交 </w:t>
            </w:r>
            <w:r>
              <w:rPr>
                <w:rFonts w:ascii="宋体" w:hAnsi="宋体" w:cs="宋体" w:eastAsia="宋体" w:hint="default"/>
                <w:spacing w:val="-11"/>
                <w:sz w:val="18"/>
                <w:szCs w:val="18"/>
              </w:rPr>
              <w:t>易报告书（草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案）》及摘要</w:t>
            </w:r>
          </w:p>
        </w:tc>
      </w:tr>
    </w:tbl>
    <w:p>
      <w:pPr>
        <w:pStyle w:val="Heading2"/>
        <w:spacing w:line="240" w:lineRule="auto" w:before="40"/>
        <w:ind w:left="154" w:right="0"/>
        <w:jc w:val="left"/>
        <w:rPr>
          <w:b w:val="0"/>
          <w:bCs w:val="0"/>
        </w:rPr>
      </w:pPr>
      <w:bookmarkStart w:name="九、聘任、解聘会计师事务所情况" w:id="66"/>
      <w:bookmarkEnd w:id="66"/>
      <w:r>
        <w:rPr>
          <w:b w:val="0"/>
          <w:bCs w:val="0"/>
        </w:rPr>
      </w:r>
      <w:r>
        <w:rPr/>
        <w:t>九、聘任、解聘会计师事务所情况</w:t>
      </w:r>
      <w:r>
        <w:rPr>
          <w:b w:val="0"/>
          <w:bCs w:val="0"/>
        </w:rPr>
      </w:r>
    </w:p>
    <w:p>
      <w:pPr>
        <w:pStyle w:val="BodyText"/>
        <w:spacing w:line="240" w:lineRule="auto" w:before="177"/>
        <w:ind w:right="0"/>
        <w:jc w:val="left"/>
      </w:pPr>
      <w:r>
        <w:rPr/>
        <w:t>现聘任的会计事务所</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887"/>
        <w:gridCol w:w="5682"/>
      </w:tblGrid>
      <w:tr>
        <w:trPr>
          <w:trHeight w:val="414" w:hRule="exact"/>
        </w:trPr>
        <w:tc>
          <w:tcPr>
            <w:tcW w:w="388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8" w:hRule="exact"/>
        </w:trPr>
        <w:tc>
          <w:tcPr>
            <w:tcW w:w="38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55</w:t>
            </w:r>
          </w:p>
        </w:tc>
      </w:tr>
      <w:tr>
        <w:trPr>
          <w:trHeight w:val="407" w:hRule="exact"/>
        </w:trPr>
        <w:tc>
          <w:tcPr>
            <w:tcW w:w="388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sz w:val="18"/>
              </w:rPr>
              <w:t>3</w:t>
            </w:r>
          </w:p>
        </w:tc>
      </w:tr>
      <w:tr>
        <w:trPr>
          <w:trHeight w:val="414" w:hRule="exact"/>
        </w:trPr>
        <w:tc>
          <w:tcPr>
            <w:tcW w:w="388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梁烽、叶华</w:t>
            </w:r>
          </w:p>
        </w:tc>
      </w:tr>
    </w:tbl>
    <w:p>
      <w:pPr>
        <w:pStyle w:val="BodyText"/>
        <w:spacing w:line="240" w:lineRule="auto" w:before="63"/>
        <w:ind w:left="154" w:right="0"/>
        <w:jc w:val="left"/>
      </w:pPr>
      <w:r>
        <w:rPr/>
        <w:t>是否改聘会计师事务所</w:t>
      </w:r>
    </w:p>
    <w:p>
      <w:pPr>
        <w:spacing w:line="240" w:lineRule="auto" w:before="10"/>
        <w:rPr>
          <w:rFonts w:ascii="宋体" w:hAnsi="宋体" w:cs="宋体" w:eastAsia="宋体" w:hint="default"/>
          <w:sz w:val="14"/>
          <w:szCs w:val="14"/>
        </w:rPr>
      </w:pPr>
    </w:p>
    <w:p>
      <w:pPr>
        <w:pStyle w:val="Heading2"/>
        <w:spacing w:line="374" w:lineRule="auto" w:before="0"/>
        <w:ind w:right="220"/>
        <w:jc w:val="left"/>
        <w:rPr>
          <w:b w:val="0"/>
          <w:bCs w:val="0"/>
        </w:rPr>
      </w:pPr>
      <w:r>
        <w:rPr>
          <w:rFonts w:ascii="宋体" w:hAnsi="宋体" w:cs="宋体" w:eastAsia="宋体" w:hint="default"/>
          <w:b w:val="0"/>
          <w:bCs w:val="0"/>
          <w:sz w:val="21"/>
          <w:szCs w:val="21"/>
        </w:rPr>
        <w:t>□ 是 √ 否 </w:t>
      </w:r>
      <w:bookmarkStart w:name="十、上市公司及其董事、监事、高级管理人员、公司股东、实际控制人和收购人处罚及整改" w:id="67"/>
      <w:bookmarkEnd w:id="67"/>
      <w:r>
        <w:rPr>
          <w:rFonts w:ascii="宋体" w:hAnsi="宋体" w:cs="宋体" w:eastAsia="宋体" w:hint="default"/>
          <w:b w:val="0"/>
          <w:bCs w:val="0"/>
          <w:sz w:val="21"/>
          <w:szCs w:val="21"/>
        </w:rPr>
      </w:r>
      <w:r>
        <w:rPr>
          <w:w w:val="95"/>
        </w:rPr>
        <w:t>十、上市公司及其董事、监事、高级管理人员、公司股东、实际控制人和收购人处罚及整改  </w:t>
      </w:r>
      <w:r>
        <w:rPr>
          <w:spacing w:val="102"/>
          <w:w w:val="95"/>
        </w:rPr>
        <w:t> </w:t>
      </w:r>
      <w:r>
        <w:rPr>
          <w:spacing w:val="102"/>
          <w:w w:val="95"/>
        </w:rPr>
      </w:r>
      <w:r>
        <w:rPr/>
        <w:t>情况</w:t>
      </w:r>
      <w:r>
        <w:rPr>
          <w:b w:val="0"/>
          <w:bCs w:val="0"/>
        </w:rPr>
      </w:r>
    </w:p>
    <w:p>
      <w:pPr>
        <w:pStyle w:val="BodyText"/>
        <w:spacing w:line="444" w:lineRule="auto" w:before="42"/>
        <w:ind w:left="154" w:right="3682"/>
        <w:jc w:val="left"/>
      </w:pPr>
      <w:r>
        <w:rPr/>
        <w:t>□ 适用 √</w:t>
      </w:r>
      <w:r>
        <w:rPr>
          <w:spacing w:val="-1"/>
        </w:rPr>
        <w:t> </w:t>
      </w:r>
      <w:r>
        <w:rPr/>
        <w:t>不适用</w:t>
      </w:r>
      <w:r>
        <w:rPr/>
        <w:t> 上市公司及其子公司是否被列入环保部门公布的污染严重企业名单</w:t>
      </w:r>
    </w:p>
    <w:p>
      <w:pPr>
        <w:spacing w:after="0" w:line="444"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441" w:lineRule="auto" w:before="0"/>
        <w:ind w:left="154" w:right="4942"/>
        <w:jc w:val="left"/>
      </w:pPr>
      <w:r>
        <w:rPr/>
        <w:t>□ 是 √ 否 □</w:t>
      </w:r>
      <w:r>
        <w:rPr>
          <w:spacing w:val="-1"/>
        </w:rPr>
        <w:t> </w:t>
      </w:r>
      <w:r>
        <w:rPr/>
        <w:t>不适用</w:t>
      </w:r>
      <w:r>
        <w:rPr/>
        <w:t> 上市公司及其子公司是否存在其他重大社会安全问题</w:t>
      </w:r>
    </w:p>
    <w:p>
      <w:pPr>
        <w:pStyle w:val="BodyText"/>
        <w:spacing w:line="408" w:lineRule="auto" w:before="16"/>
        <w:ind w:left="154" w:right="7462"/>
        <w:jc w:val="left"/>
      </w:pPr>
      <w:r>
        <w:rPr/>
        <w:t>□ 是 √ 否 □</w:t>
      </w:r>
      <w:r>
        <w:rPr>
          <w:spacing w:val="-1"/>
        </w:rPr>
        <w:t> </w:t>
      </w:r>
      <w:r>
        <w:rPr/>
        <w:t>不适用</w:t>
      </w:r>
      <w:r>
        <w:rPr/>
        <w:t> 报告期内是否被行政处罚</w:t>
      </w:r>
    </w:p>
    <w:p>
      <w:pPr>
        <w:pStyle w:val="BodyText"/>
        <w:spacing w:line="240" w:lineRule="auto"/>
        <w:ind w:left="154" w:right="0"/>
        <w:jc w:val="both"/>
      </w:pPr>
      <w:r>
        <w:rPr/>
        <w:t>□ 是 √ 否 □</w:t>
      </w:r>
      <w:r>
        <w:rPr>
          <w:spacing w:val="-1"/>
        </w:rPr>
        <w:t> </w:t>
      </w:r>
      <w:r>
        <w:rPr/>
        <w:t>不适用</w:t>
      </w:r>
    </w:p>
    <w:p>
      <w:pPr>
        <w:pStyle w:val="Heading2"/>
        <w:spacing w:line="240" w:lineRule="auto" w:before="170"/>
        <w:ind w:left="154" w:right="0"/>
        <w:jc w:val="both"/>
        <w:rPr>
          <w:b w:val="0"/>
          <w:bCs w:val="0"/>
        </w:rPr>
      </w:pPr>
      <w:bookmarkStart w:name="十一、公司股东及其一致行动人在报告期提出或实施股份增持计划的情况" w:id="68"/>
      <w:bookmarkEnd w:id="68"/>
      <w:r>
        <w:rPr>
          <w:b w:val="0"/>
          <w:bCs w:val="0"/>
        </w:rPr>
      </w:r>
      <w:r>
        <w:rPr/>
        <w:t>十一、公司股东及其一致行动人在报告期提出或实施股份增持计划的情况</w:t>
      </w:r>
      <w:r>
        <w:rPr>
          <w:b w:val="0"/>
          <w:bCs w:val="0"/>
        </w:rPr>
      </w:r>
    </w:p>
    <w:p>
      <w:pPr>
        <w:pStyle w:val="BodyText"/>
        <w:spacing w:line="408" w:lineRule="auto" w:before="177"/>
        <w:ind w:left="154" w:right="3682"/>
        <w:jc w:val="left"/>
      </w:pPr>
      <w:r>
        <w:rPr/>
        <w:t>□ 适用 √</w:t>
      </w:r>
      <w:r>
        <w:rPr>
          <w:spacing w:val="-1"/>
        </w:rPr>
        <w:t> </w:t>
      </w:r>
      <w:r>
        <w:rPr/>
        <w:t>不适用</w:t>
      </w:r>
      <w:r>
        <w:rPr/>
        <w:t> 公司股东及其一致行动人在报告期内未提出或实施股份增持计划。</w:t>
      </w:r>
    </w:p>
    <w:p>
      <w:pPr>
        <w:pStyle w:val="Heading2"/>
        <w:spacing w:line="240" w:lineRule="auto" w:before="23"/>
        <w:ind w:right="0"/>
        <w:jc w:val="both"/>
        <w:rPr>
          <w:b w:val="0"/>
          <w:bCs w:val="0"/>
        </w:rPr>
      </w:pPr>
      <w:bookmarkStart w:name="十二、董事、监事、高级管理人员、持股5%以上的股东违规买卖公司股票情况" w:id="69"/>
      <w:bookmarkEnd w:id="69"/>
      <w:r>
        <w:rPr>
          <w:b w:val="0"/>
          <w:bCs w:val="0"/>
        </w:rPr>
      </w:r>
      <w:r>
        <w:rPr/>
        <w:t>十二、董事、监事、高级管理人员、持股</w:t>
      </w:r>
      <w:r>
        <w:rPr>
          <w:spacing w:val="-81"/>
        </w:rPr>
        <w:t> </w:t>
      </w:r>
      <w:r>
        <w:rPr>
          <w:rFonts w:ascii="宋体" w:hAnsi="宋体" w:cs="宋体" w:eastAsia="宋体" w:hint="default"/>
        </w:rPr>
        <w:t>5%</w:t>
      </w:r>
      <w:r>
        <w:rPr/>
        <w:t>以上的股东违规买卖公司股票情况</w:t>
      </w:r>
      <w:r>
        <w:rPr>
          <w:b w:val="0"/>
          <w:bCs w:val="0"/>
        </w:rPr>
      </w:r>
    </w:p>
    <w:p>
      <w:pPr>
        <w:pStyle w:val="BodyText"/>
        <w:spacing w:line="240" w:lineRule="auto" w:before="177"/>
        <w:ind w:right="0"/>
        <w:jc w:val="both"/>
      </w:pPr>
      <w:r>
        <w:rPr/>
        <w:t>□ 适用 √</w:t>
      </w:r>
      <w:r>
        <w:rPr>
          <w:spacing w:val="-1"/>
        </w:rPr>
        <w:t> </w:t>
      </w:r>
      <w:r>
        <w:rPr/>
        <w:t>不适用</w:t>
      </w:r>
    </w:p>
    <w:p>
      <w:pPr>
        <w:pStyle w:val="Heading2"/>
        <w:spacing w:line="240" w:lineRule="auto" w:before="170"/>
        <w:ind w:left="154" w:right="0"/>
        <w:jc w:val="both"/>
        <w:rPr>
          <w:b w:val="0"/>
          <w:bCs w:val="0"/>
        </w:rPr>
      </w:pPr>
      <w:bookmarkStart w:name="十三、年度报告披露后面临暂停上市和终止上市情况" w:id="70"/>
      <w:bookmarkEnd w:id="70"/>
      <w:r>
        <w:rPr>
          <w:b w:val="0"/>
          <w:bCs w:val="0"/>
        </w:rPr>
      </w:r>
      <w:r>
        <w:rPr/>
        <w:t>十三、年度报告披露后面临暂停上市和终止上市情况</w:t>
      </w:r>
      <w:r>
        <w:rPr>
          <w:b w:val="0"/>
          <w:bCs w:val="0"/>
        </w:rPr>
      </w:r>
    </w:p>
    <w:p>
      <w:pPr>
        <w:pStyle w:val="BodyText"/>
        <w:spacing w:line="240" w:lineRule="auto" w:before="177"/>
        <w:ind w:right="0"/>
        <w:jc w:val="both"/>
      </w:pPr>
      <w:r>
        <w:rPr/>
        <w:t>□ 适用 √</w:t>
      </w:r>
      <w:r>
        <w:rPr>
          <w:spacing w:val="-1"/>
        </w:rPr>
        <w:t> </w:t>
      </w:r>
      <w:r>
        <w:rPr/>
        <w:t>不适用</w:t>
      </w:r>
    </w:p>
    <w:p>
      <w:pPr>
        <w:pStyle w:val="Heading2"/>
        <w:spacing w:line="240" w:lineRule="auto" w:before="170"/>
        <w:ind w:left="154" w:right="0"/>
        <w:jc w:val="both"/>
        <w:rPr>
          <w:b w:val="0"/>
          <w:bCs w:val="0"/>
        </w:rPr>
      </w:pPr>
      <w:bookmarkStart w:name="十四、其他重大事项的说明" w:id="71"/>
      <w:bookmarkEnd w:id="71"/>
      <w:r>
        <w:rPr>
          <w:b w:val="0"/>
          <w:bCs w:val="0"/>
        </w:rPr>
      </w:r>
      <w:r>
        <w:rPr/>
        <w:t>十四、其他重大事项的说明</w:t>
      </w:r>
      <w:r>
        <w:rPr>
          <w:b w:val="0"/>
          <w:bCs w:val="0"/>
        </w:rPr>
      </w:r>
    </w:p>
    <w:p>
      <w:pPr>
        <w:pStyle w:val="BodyText"/>
        <w:spacing w:line="240" w:lineRule="auto" w:before="177"/>
        <w:ind w:right="0"/>
        <w:jc w:val="both"/>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rFonts w:ascii="宋体" w:hAnsi="宋体" w:cs="宋体" w:eastAsia="宋体" w:hint="default"/>
          <w:spacing w:val="-3"/>
        </w:rPr>
        <w:t>1</w:t>
      </w:r>
      <w:r>
        <w:rPr>
          <w:spacing w:val="-3"/>
        </w:rPr>
        <w:t>、公司于</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7</w:t>
      </w:r>
      <w:r>
        <w:rPr>
          <w:rFonts w:ascii="宋体" w:hAnsi="宋体" w:cs="宋体" w:eastAsia="宋体" w:hint="default"/>
          <w:spacing w:val="-56"/>
        </w:rPr>
        <w:t> </w:t>
      </w:r>
      <w:r>
        <w:rPr/>
        <w:t>日召开第二届董事会第十一次会议审议通过《关于拟出售资产暨关联交易的</w:t>
      </w:r>
    </w:p>
    <w:p>
      <w:pPr>
        <w:spacing w:line="240" w:lineRule="auto" w:before="10"/>
        <w:rPr>
          <w:rFonts w:ascii="宋体" w:hAnsi="宋体" w:cs="宋体" w:eastAsia="宋体" w:hint="default"/>
          <w:sz w:val="14"/>
          <w:szCs w:val="14"/>
        </w:rPr>
      </w:pPr>
    </w:p>
    <w:p>
      <w:pPr>
        <w:pStyle w:val="BodyText"/>
        <w:spacing w:line="408" w:lineRule="auto" w:before="0"/>
        <w:ind w:left="154" w:right="151"/>
        <w:jc w:val="both"/>
      </w:pPr>
      <w:r>
        <w:rPr>
          <w:spacing w:val="-18"/>
        </w:rPr>
        <w:t>议案》，并经</w:t>
      </w:r>
      <w:r>
        <w:rPr>
          <w:spacing w:val="-43"/>
        </w:rPr>
        <w:t> </w:t>
      </w:r>
      <w:r>
        <w:rPr>
          <w:rFonts w:ascii="宋体" w:hAnsi="宋体" w:cs="宋体" w:eastAsia="宋体" w:hint="default"/>
        </w:rPr>
        <w:t>2014</w:t>
      </w:r>
      <w:r>
        <w:rPr>
          <w:rFonts w:ascii="宋体" w:hAnsi="宋体" w:cs="宋体" w:eastAsia="宋体" w:hint="default"/>
          <w:spacing w:val="-42"/>
        </w:rPr>
        <w:t> </w:t>
      </w:r>
      <w:r>
        <w:rPr/>
        <w:t>年</w:t>
      </w:r>
      <w:r>
        <w:rPr>
          <w:spacing w:val="-43"/>
        </w:rPr>
        <w:t> </w:t>
      </w:r>
      <w:r>
        <w:rPr>
          <w:rFonts w:ascii="宋体" w:hAnsi="宋体" w:cs="宋体" w:eastAsia="宋体" w:hint="default"/>
        </w:rPr>
        <w:t>12</w:t>
      </w:r>
      <w:r>
        <w:rPr>
          <w:rFonts w:ascii="宋体" w:hAnsi="宋体" w:cs="宋体" w:eastAsia="宋体" w:hint="default"/>
          <w:spacing w:val="-44"/>
        </w:rPr>
        <w:t> </w:t>
      </w:r>
      <w:r>
        <w:rPr/>
        <w:t>月</w:t>
      </w:r>
      <w:r>
        <w:rPr>
          <w:spacing w:val="-43"/>
        </w:rPr>
        <w:t> </w:t>
      </w:r>
      <w:r>
        <w:rPr>
          <w:rFonts w:ascii="宋体" w:hAnsi="宋体" w:cs="宋体" w:eastAsia="宋体" w:hint="default"/>
        </w:rPr>
        <w:t>26</w:t>
      </w:r>
      <w:r>
        <w:rPr>
          <w:rFonts w:ascii="宋体" w:hAnsi="宋体" w:cs="宋体" w:eastAsia="宋体" w:hint="default"/>
          <w:spacing w:val="-42"/>
        </w:rPr>
        <w:t> </w:t>
      </w:r>
      <w:r>
        <w:rPr/>
        <w:t>日召开的公司</w:t>
      </w:r>
      <w:r>
        <w:rPr>
          <w:spacing w:val="-43"/>
        </w:rPr>
        <w:t> </w:t>
      </w:r>
      <w:r>
        <w:rPr>
          <w:rFonts w:ascii="宋体" w:hAnsi="宋体" w:cs="宋体" w:eastAsia="宋体" w:hint="default"/>
        </w:rPr>
        <w:t>2014</w:t>
      </w:r>
      <w:r>
        <w:rPr>
          <w:rFonts w:ascii="宋体" w:hAnsi="宋体" w:cs="宋体" w:eastAsia="宋体" w:hint="default"/>
          <w:spacing w:val="-44"/>
        </w:rPr>
        <w:t> </w:t>
      </w:r>
      <w:r>
        <w:rPr/>
        <w:t>年第二次临时股东大会审议批准，同意公司将持有的南 京宇能全部</w:t>
      </w:r>
      <w:r>
        <w:rPr>
          <w:spacing w:val="-24"/>
        </w:rPr>
        <w:t> </w:t>
      </w:r>
      <w:r>
        <w:rPr>
          <w:rFonts w:ascii="宋体" w:hAnsi="宋体" w:cs="宋体" w:eastAsia="宋体" w:hint="default"/>
        </w:rPr>
        <w:t>55%</w:t>
      </w:r>
      <w:r>
        <w:rPr/>
        <w:t>的股权、全部债权及相应权利转让给公司控股股东光一投资。截止报告期末，南京宇能已 不属于公司控股子公司。</w:t>
      </w:r>
    </w:p>
    <w:p>
      <w:pPr>
        <w:pStyle w:val="BodyText"/>
        <w:spacing w:line="408" w:lineRule="auto"/>
        <w:ind w:left="154" w:right="129" w:firstLine="423"/>
        <w:jc w:val="both"/>
      </w:pPr>
      <w:r>
        <w:rPr>
          <w:spacing w:val="-1"/>
        </w:rPr>
        <w:t>由于南京宇能原股东南京光露及南京光露的股东李桂华、胡国祥未履行各方所订立的南京宇能股权转</w:t>
      </w:r>
      <w:r>
        <w:rPr/>
        <w:t> 让及增资协议、补充协议及相关附件之约定，且经公司多次协商催告仍未拿出解决方案，</w:t>
      </w:r>
      <w:r>
        <w:rPr>
          <w:rFonts w:ascii="宋体" w:hAnsi="宋体" w:cs="宋体" w:eastAsia="宋体" w:hint="default"/>
        </w:rPr>
        <w:t>2014</w:t>
      </w:r>
      <w:r>
        <w:rPr>
          <w:rFonts w:ascii="宋体" w:hAnsi="宋体" w:cs="宋体" w:eastAsia="宋体" w:hint="default"/>
          <w:spacing w:val="-33"/>
        </w:rPr>
        <w:t> </w:t>
      </w:r>
      <w:r>
        <w:rPr/>
        <w:t>年</w:t>
      </w:r>
      <w:r>
        <w:rPr>
          <w:spacing w:val="-33"/>
        </w:rPr>
        <w:t> </w:t>
      </w:r>
      <w:r>
        <w:rPr>
          <w:rFonts w:ascii="宋体" w:hAnsi="宋体" w:cs="宋体" w:eastAsia="宋体" w:hint="default"/>
        </w:rPr>
        <w:t>8</w:t>
      </w:r>
      <w:r>
        <w:rPr>
          <w:rFonts w:ascii="宋体" w:hAnsi="宋体" w:cs="宋体" w:eastAsia="宋体" w:hint="default"/>
          <w:spacing w:val="-33"/>
        </w:rPr>
        <w:t> </w:t>
      </w:r>
      <w:r>
        <w:rPr/>
        <w:t>月</w:t>
      </w:r>
      <w:r>
        <w:rPr>
          <w:spacing w:val="-33"/>
        </w:rPr>
        <w:t> </w:t>
      </w:r>
      <w:r>
        <w:rPr>
          <w:rFonts w:ascii="宋体" w:hAnsi="宋体" w:cs="宋体" w:eastAsia="宋体" w:hint="default"/>
        </w:rPr>
        <w:t>11</w:t>
      </w:r>
      <w:r>
        <w:rPr>
          <w:rFonts w:ascii="宋体" w:hAnsi="宋体" w:cs="宋体" w:eastAsia="宋体" w:hint="default"/>
          <w:spacing w:val="-1"/>
        </w:rPr>
        <w:t> </w:t>
      </w:r>
      <w:r>
        <w:rPr>
          <w:spacing w:val="-1"/>
        </w:rPr>
        <w:t>日，公司以南京光露、李桂华、胡国祥为被告，以南京宇能为第三人向南京市中级人民法院起诉，公司的</w:t>
      </w:r>
      <w:r>
        <w:rPr>
          <w:spacing w:val="-83"/>
        </w:rPr>
        <w:t> </w:t>
      </w:r>
      <w:r>
        <w:rPr>
          <w:spacing w:val="-83"/>
        </w:rPr>
      </w:r>
      <w:r>
        <w:rPr>
          <w:spacing w:val="-1"/>
        </w:rPr>
        <w:t>诉讼请求为：①判决原告（即光一科技）无需向被告南京光露电子有限公司支付第二期股权转让价款人民</w:t>
      </w:r>
      <w:r>
        <w:rPr>
          <w:spacing w:val="-82"/>
        </w:rPr>
        <w:t> </w:t>
      </w:r>
      <w:r>
        <w:rPr>
          <w:spacing w:val="-82"/>
        </w:rPr>
      </w:r>
      <w:r>
        <w:rPr/>
        <w:t>币</w:t>
      </w:r>
      <w:r>
        <w:rPr>
          <w:spacing w:val="-54"/>
        </w:rPr>
        <w:t> </w:t>
      </w:r>
      <w:r>
        <w:rPr>
          <w:rFonts w:ascii="宋体" w:hAnsi="宋体" w:cs="宋体" w:eastAsia="宋体" w:hint="default"/>
        </w:rPr>
        <w:t>1,700</w:t>
      </w:r>
      <w:r>
        <w:rPr>
          <w:rFonts w:ascii="宋体" w:hAnsi="宋体" w:cs="宋体" w:eastAsia="宋体" w:hint="default"/>
          <w:spacing w:val="-53"/>
        </w:rPr>
        <w:t> </w:t>
      </w:r>
      <w:r>
        <w:rPr/>
        <w:t>万元；②判决原告无需向第三人南京宇能仪表有限公司增资认缴第二期增资款人民币</w:t>
      </w:r>
      <w:r>
        <w:rPr>
          <w:spacing w:val="-53"/>
        </w:rPr>
        <w:t> </w:t>
      </w:r>
      <w:r>
        <w:rPr>
          <w:rFonts w:ascii="宋体" w:hAnsi="宋体" w:cs="宋体" w:eastAsia="宋体" w:hint="default"/>
        </w:rPr>
        <w:t>267</w:t>
      </w:r>
      <w:r>
        <w:rPr>
          <w:rFonts w:ascii="宋体" w:hAnsi="宋体" w:cs="宋体" w:eastAsia="宋体" w:hint="default"/>
          <w:spacing w:val="-53"/>
        </w:rPr>
        <w:t> </w:t>
      </w:r>
      <w:r>
        <w:rPr/>
        <w:t>万元；</w:t>
      </w:r>
    </w:p>
    <w:p>
      <w:pPr>
        <w:pStyle w:val="BodyText"/>
        <w:spacing w:line="408" w:lineRule="auto"/>
        <w:ind w:right="136"/>
        <w:jc w:val="left"/>
      </w:pPr>
      <w:r>
        <w:rPr/>
        <w:t>③判决被告南京光露电子有限公司将其持有南京宇能仪表有限公司</w:t>
      </w:r>
      <w:r>
        <w:rPr>
          <w:spacing w:val="-64"/>
        </w:rPr>
        <w:t> </w:t>
      </w:r>
      <w:r>
        <w:rPr>
          <w:rFonts w:ascii="宋体" w:hAnsi="宋体" w:cs="宋体" w:eastAsia="宋体" w:hint="default"/>
        </w:rPr>
        <w:t>45%</w:t>
      </w:r>
      <w:r>
        <w:rPr/>
        <w:t>股权中的</w:t>
      </w:r>
      <w:r>
        <w:rPr>
          <w:spacing w:val="-64"/>
        </w:rPr>
        <w:t> </w:t>
      </w:r>
      <w:r>
        <w:rPr>
          <w:rFonts w:ascii="宋体" w:hAnsi="宋体" w:cs="宋体" w:eastAsia="宋体" w:hint="default"/>
        </w:rPr>
        <w:t>11.45%</w:t>
      </w:r>
      <w:r>
        <w:rPr/>
        <w:t>股权（对应出资额 人民币</w:t>
      </w:r>
      <w:r>
        <w:rPr>
          <w:spacing w:val="-55"/>
        </w:rPr>
        <w:t> </w:t>
      </w:r>
      <w:r>
        <w:rPr>
          <w:rFonts w:ascii="宋体" w:hAnsi="宋体" w:cs="宋体" w:eastAsia="宋体" w:hint="default"/>
        </w:rPr>
        <w:t>572.50</w:t>
      </w:r>
      <w:r>
        <w:rPr>
          <w:rFonts w:ascii="宋体" w:hAnsi="宋体" w:cs="宋体" w:eastAsia="宋体" w:hint="default"/>
          <w:spacing w:val="-56"/>
        </w:rPr>
        <w:t> </w:t>
      </w:r>
      <w:r>
        <w:rPr/>
        <w:t>万元）过户给原告；④判决三被告共同承担完成清理截至</w:t>
      </w:r>
      <w:r>
        <w:rPr>
          <w:spacing w:val="-55"/>
        </w:rPr>
        <w:t> </w:t>
      </w:r>
      <w:r>
        <w:rPr>
          <w:rFonts w:ascii="宋体" w:hAnsi="宋体" w:cs="宋体" w:eastAsia="宋体" w:hint="default"/>
        </w:rPr>
        <w:t>2013</w:t>
      </w:r>
      <w:r>
        <w:rPr>
          <w:rFonts w:ascii="宋体" w:hAnsi="宋体" w:cs="宋体" w:eastAsia="宋体" w:hint="default"/>
          <w:spacing w:val="-55"/>
        </w:rPr>
        <w:t> </w:t>
      </w:r>
      <w:r>
        <w:rPr/>
        <w:t>年</w:t>
      </w:r>
      <w:r>
        <w:rPr>
          <w:spacing w:val="-56"/>
        </w:rPr>
        <w:t> </w:t>
      </w:r>
      <w:r>
        <w:rPr>
          <w:rFonts w:ascii="宋体" w:hAnsi="宋体" w:cs="宋体" w:eastAsia="宋体" w:hint="default"/>
        </w:rPr>
        <w:t>5</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5"/>
        </w:rPr>
        <w:t> </w:t>
      </w:r>
      <w:r>
        <w:rPr/>
        <w:t>日及</w:t>
      </w:r>
      <w:r>
        <w:rPr>
          <w:spacing w:val="-56"/>
        </w:rPr>
        <w:t> </w:t>
      </w: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5"/>
        </w:rPr>
        <w:t> </w:t>
      </w:r>
      <w:r>
        <w:rPr/>
        <w:t>月</w:t>
      </w:r>
    </w:p>
    <w:p>
      <w:pPr>
        <w:pStyle w:val="BodyText"/>
        <w:spacing w:line="240" w:lineRule="auto"/>
        <w:ind w:right="0"/>
        <w:jc w:val="both"/>
      </w:pPr>
      <w:r>
        <w:rPr>
          <w:rFonts w:ascii="宋体" w:hAnsi="宋体" w:cs="宋体" w:eastAsia="宋体" w:hint="default"/>
        </w:rPr>
        <w:t>31</w:t>
      </w:r>
      <w:r>
        <w:rPr>
          <w:rFonts w:ascii="宋体" w:hAnsi="宋体" w:cs="宋体" w:eastAsia="宋体" w:hint="default"/>
          <w:spacing w:val="-49"/>
        </w:rPr>
        <w:t> </w:t>
      </w:r>
      <w:r>
        <w:rPr/>
        <w:t>日（审计和评估基准日）至</w:t>
      </w:r>
      <w:r>
        <w:rPr>
          <w:spacing w:val="-50"/>
        </w:rPr>
        <w:t> </w:t>
      </w:r>
      <w:r>
        <w:rPr>
          <w:rFonts w:ascii="宋体" w:hAnsi="宋体" w:cs="宋体" w:eastAsia="宋体" w:hint="default"/>
        </w:rPr>
        <w:t>2013</w:t>
      </w:r>
      <w:r>
        <w:rPr>
          <w:rFonts w:ascii="宋体" w:hAnsi="宋体" w:cs="宋体" w:eastAsia="宋体" w:hint="default"/>
          <w:spacing w:val="-51"/>
        </w:rPr>
        <w:t> </w:t>
      </w:r>
      <w:r>
        <w:rPr/>
        <w:t>年</w:t>
      </w:r>
      <w:r>
        <w:rPr>
          <w:spacing w:val="-50"/>
        </w:rPr>
        <w:t> </w:t>
      </w:r>
      <w:r>
        <w:rPr>
          <w:rFonts w:ascii="宋体" w:hAnsi="宋体" w:cs="宋体" w:eastAsia="宋体" w:hint="default"/>
        </w:rPr>
        <w:t>10</w:t>
      </w:r>
      <w:r>
        <w:rPr>
          <w:rFonts w:ascii="宋体" w:hAnsi="宋体" w:cs="宋体" w:eastAsia="宋体" w:hint="default"/>
          <w:spacing w:val="-49"/>
        </w:rPr>
        <w:t> </w:t>
      </w:r>
      <w:r>
        <w:rPr/>
        <w:t>月</w:t>
      </w:r>
      <w:r>
        <w:rPr>
          <w:spacing w:val="-50"/>
        </w:rPr>
        <w:t> </w:t>
      </w:r>
      <w:r>
        <w:rPr>
          <w:rFonts w:ascii="宋体" w:hAnsi="宋体" w:cs="宋体" w:eastAsia="宋体" w:hint="default"/>
        </w:rPr>
        <w:t>31</w:t>
      </w:r>
      <w:r>
        <w:rPr>
          <w:rFonts w:ascii="宋体" w:hAnsi="宋体" w:cs="宋体" w:eastAsia="宋体" w:hint="default"/>
          <w:spacing w:val="-51"/>
        </w:rPr>
        <w:t> </w:t>
      </w:r>
      <w:r>
        <w:rPr/>
        <w:t>日期间第三人南京宇能仪表有限公司与南京光露电子有限</w:t>
      </w:r>
    </w:p>
    <w:p>
      <w:pPr>
        <w:spacing w:line="240" w:lineRule="auto" w:before="10"/>
        <w:rPr>
          <w:rFonts w:ascii="宋体" w:hAnsi="宋体" w:cs="宋体" w:eastAsia="宋体" w:hint="default"/>
          <w:sz w:val="14"/>
          <w:szCs w:val="14"/>
        </w:rPr>
      </w:pPr>
    </w:p>
    <w:p>
      <w:pPr>
        <w:pStyle w:val="BodyText"/>
        <w:spacing w:line="408" w:lineRule="auto" w:before="0"/>
        <w:ind w:right="139"/>
        <w:jc w:val="left"/>
      </w:pPr>
      <w:r>
        <w:rPr/>
        <w:t>公司及关联方资金往来的义务，对截至</w:t>
      </w:r>
      <w:r>
        <w:rPr>
          <w:spacing w:val="-43"/>
        </w:rPr>
        <w:t> </w:t>
      </w:r>
      <w:r>
        <w:rPr>
          <w:rFonts w:ascii="宋体" w:hAnsi="宋体" w:cs="宋体" w:eastAsia="宋体" w:hint="default"/>
        </w:rPr>
        <w:t>2013</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2"/>
        </w:rPr>
        <w:t> </w:t>
      </w:r>
      <w:r>
        <w:rPr/>
        <w:t>月</w:t>
      </w:r>
      <w:r>
        <w:rPr>
          <w:spacing w:val="-43"/>
        </w:rPr>
        <w:t> </w:t>
      </w:r>
      <w:r>
        <w:rPr>
          <w:rFonts w:ascii="宋体" w:hAnsi="宋体" w:cs="宋体" w:eastAsia="宋体" w:hint="default"/>
        </w:rPr>
        <w:t>25</w:t>
      </w:r>
      <w:r>
        <w:rPr>
          <w:rFonts w:ascii="宋体" w:hAnsi="宋体" w:cs="宋体" w:eastAsia="宋体" w:hint="default"/>
          <w:spacing w:val="-42"/>
        </w:rPr>
        <w:t> </w:t>
      </w:r>
      <w:r>
        <w:rPr/>
        <w:t>日未能清理的差额人民币</w:t>
      </w:r>
      <w:r>
        <w:rPr>
          <w:spacing w:val="-43"/>
        </w:rPr>
        <w:t> </w:t>
      </w:r>
      <w:r>
        <w:rPr>
          <w:rFonts w:ascii="宋体" w:hAnsi="宋体" w:cs="宋体" w:eastAsia="宋体" w:hint="default"/>
        </w:rPr>
        <w:t>15,794,416.08</w:t>
      </w:r>
      <w:r>
        <w:rPr>
          <w:rFonts w:ascii="宋体" w:hAnsi="宋体" w:cs="宋体" w:eastAsia="宋体" w:hint="default"/>
          <w:spacing w:val="-42"/>
        </w:rPr>
        <w:t> </w:t>
      </w:r>
      <w:r>
        <w:rPr/>
        <w:t>元以现 金或南京光露有限公司持有南京宇能仪表有限公司权益补偿给原告；⑤判决被告承担本案诉讼费用。</w:t>
      </w:r>
    </w:p>
    <w:p>
      <w:pPr>
        <w:pStyle w:val="BodyText"/>
        <w:spacing w:line="240" w:lineRule="auto"/>
        <w:ind w:left="577" w:right="0"/>
        <w:jc w:val="left"/>
      </w:pPr>
      <w:r>
        <w:rPr>
          <w:rFonts w:ascii="宋体" w:hAnsi="宋体" w:cs="宋体" w:eastAsia="宋体" w:hint="default"/>
        </w:rPr>
        <w:t>2015</w:t>
      </w:r>
      <w:r>
        <w:rPr>
          <w:rFonts w:ascii="宋体" w:hAnsi="宋体" w:cs="宋体" w:eastAsia="宋体" w:hint="default"/>
          <w:spacing w:val="-55"/>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spacing w:val="-3"/>
        </w:rPr>
        <w:t>月，公司收到南京市中级人民法院（</w:t>
      </w:r>
      <w:r>
        <w:rPr>
          <w:rFonts w:ascii="宋体" w:hAnsi="宋体" w:cs="宋体" w:eastAsia="宋体" w:hint="default"/>
          <w:spacing w:val="-3"/>
        </w:rPr>
        <w:t>2015</w:t>
      </w:r>
      <w:r>
        <w:rPr>
          <w:spacing w:val="-3"/>
        </w:rPr>
        <w:t>）宁商初字</w:t>
      </w:r>
      <w:r>
        <w:rPr>
          <w:spacing w:val="-56"/>
        </w:rPr>
        <w:t> </w:t>
      </w:r>
      <w:r>
        <w:rPr>
          <w:rFonts w:ascii="宋体" w:hAnsi="宋体" w:cs="宋体" w:eastAsia="宋体" w:hint="default"/>
        </w:rPr>
        <w:t>2</w:t>
      </w:r>
      <w:r>
        <w:rPr>
          <w:rFonts w:ascii="宋体" w:hAnsi="宋体" w:cs="宋体" w:eastAsia="宋体" w:hint="default"/>
          <w:spacing w:val="-55"/>
        </w:rPr>
        <w:t> </w:t>
      </w:r>
      <w:r>
        <w:rPr/>
        <w:t>号传票，南京光露电子有限公司以光</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06"/>
        <w:jc w:val="both"/>
      </w:pPr>
      <w:r>
        <w:rPr/>
        <w:t>一科技股份有限公司为被告向南京市中级人民法院起诉，诉讼请求为：①确认原被告在</w:t>
      </w:r>
      <w:r>
        <w:rPr>
          <w:spacing w:val="-56"/>
        </w:rPr>
        <w:t> </w:t>
      </w:r>
      <w:r>
        <w:rPr>
          <w:rFonts w:ascii="宋体" w:hAnsi="宋体" w:cs="宋体" w:eastAsia="宋体" w:hint="default"/>
        </w:rPr>
        <w:t>2013</w:t>
      </w:r>
      <w:r>
        <w:rPr>
          <w:rFonts w:ascii="宋体" w:hAnsi="宋体" w:cs="宋体" w:eastAsia="宋体" w:hint="default"/>
          <w:spacing w:val="-58"/>
        </w:rPr>
        <w:t> </w:t>
      </w:r>
      <w:r>
        <w:rPr/>
        <w:t>年</w:t>
      </w:r>
      <w:r>
        <w:rPr>
          <w:spacing w:val="-57"/>
        </w:rPr>
        <w:t> </w:t>
      </w:r>
      <w:r>
        <w:rPr>
          <w:rFonts w:ascii="宋体" w:hAnsi="宋体" w:cs="宋体" w:eastAsia="宋体" w:hint="default"/>
        </w:rPr>
        <w:t>11</w:t>
      </w:r>
      <w:r>
        <w:rPr>
          <w:rFonts w:ascii="宋体" w:hAnsi="宋体" w:cs="宋体" w:eastAsia="宋体" w:hint="default"/>
          <w:spacing w:val="-56"/>
        </w:rPr>
        <w:t> </w:t>
      </w:r>
      <w:r>
        <w:rPr/>
        <w:t>月签订 的《关于南京宇能仪表有限公司股权转让及增资协议》以及《关于南京宇能仪表有限公司股权转让及增资 协议之补充协议》无效；并补足应向原告支付</w:t>
      </w:r>
      <w:r>
        <w:rPr>
          <w:spacing w:val="-59"/>
        </w:rPr>
        <w:t> </w:t>
      </w:r>
      <w:r>
        <w:rPr>
          <w:rFonts w:ascii="宋体" w:hAnsi="宋体" w:cs="宋体" w:eastAsia="宋体" w:hint="default"/>
        </w:rPr>
        <w:t>1700</w:t>
      </w:r>
      <w:r>
        <w:rPr>
          <w:rFonts w:ascii="宋体" w:hAnsi="宋体" w:cs="宋体" w:eastAsia="宋体" w:hint="default"/>
          <w:spacing w:val="-60"/>
        </w:rPr>
        <w:t> </w:t>
      </w:r>
      <w:r>
        <w:rPr/>
        <w:t>万元的股权转让款和向南京宇能认缴</w:t>
      </w:r>
      <w:r>
        <w:rPr>
          <w:spacing w:val="-59"/>
        </w:rPr>
        <w:t> </w:t>
      </w:r>
      <w:r>
        <w:rPr>
          <w:rFonts w:ascii="宋体" w:hAnsi="宋体" w:cs="宋体" w:eastAsia="宋体" w:hint="default"/>
        </w:rPr>
        <w:t>267</w:t>
      </w:r>
      <w:r>
        <w:rPr>
          <w:rFonts w:ascii="宋体" w:hAnsi="宋体" w:cs="宋体" w:eastAsia="宋体" w:hint="default"/>
          <w:spacing w:val="-59"/>
        </w:rPr>
        <w:t> </w:t>
      </w:r>
      <w:r>
        <w:rPr/>
        <w:t>万元增资款，</w:t>
      </w:r>
    </w:p>
    <w:p>
      <w:pPr>
        <w:pStyle w:val="BodyText"/>
        <w:spacing w:line="240" w:lineRule="auto"/>
        <w:ind w:right="0"/>
        <w:jc w:val="both"/>
      </w:pPr>
      <w:r>
        <w:rPr/>
        <w:t>②责令被告赔偿因其干扰公司经营行为给南京宇能造成的损失</w:t>
      </w:r>
      <w:r>
        <w:rPr>
          <w:spacing w:val="-53"/>
        </w:rPr>
        <w:t> </w:t>
      </w:r>
      <w:r>
        <w:rPr>
          <w:rFonts w:ascii="宋体" w:hAnsi="宋体" w:cs="宋体" w:eastAsia="宋体" w:hint="default"/>
        </w:rPr>
        <w:t>1040</w:t>
      </w:r>
      <w:r>
        <w:rPr>
          <w:rFonts w:ascii="宋体" w:hAnsi="宋体" w:cs="宋体" w:eastAsia="宋体" w:hint="default"/>
          <w:spacing w:val="-54"/>
        </w:rPr>
        <w:t> </w:t>
      </w:r>
      <w:r>
        <w:rPr/>
        <w:t>万元；③起诉费用由被告承担。</w:t>
      </w:r>
    </w:p>
    <w:p>
      <w:pPr>
        <w:spacing w:line="240" w:lineRule="auto" w:before="10"/>
        <w:rPr>
          <w:rFonts w:ascii="宋体" w:hAnsi="宋体" w:cs="宋体" w:eastAsia="宋体" w:hint="default"/>
          <w:sz w:val="14"/>
          <w:szCs w:val="14"/>
        </w:rPr>
      </w:pPr>
    </w:p>
    <w:p>
      <w:pPr>
        <w:pStyle w:val="BodyText"/>
        <w:spacing w:line="408" w:lineRule="auto" w:before="0"/>
        <w:ind w:left="577" w:right="102"/>
        <w:jc w:val="left"/>
      </w:pPr>
      <w:r>
        <w:rPr/>
        <w:t>以上两起案件截至</w:t>
      </w:r>
      <w:r>
        <w:rPr>
          <w:spacing w:val="-52"/>
        </w:rPr>
        <w:t> </w:t>
      </w:r>
      <w:r>
        <w:rPr>
          <w:rFonts w:ascii="宋体" w:hAnsi="宋体" w:cs="宋体" w:eastAsia="宋体" w:hint="default"/>
        </w:rPr>
        <w:t>2014</w:t>
      </w:r>
      <w:r>
        <w:rPr>
          <w:rFonts w:ascii="宋体" w:hAnsi="宋体" w:cs="宋体" w:eastAsia="宋体" w:hint="default"/>
          <w:spacing w:val="-54"/>
        </w:rPr>
        <w:t> </w:t>
      </w:r>
      <w:r>
        <w:rPr/>
        <w:t>年度报告披露日尚未审理结束。 </w:t>
      </w:r>
      <w:r>
        <w:rPr>
          <w:rFonts w:ascii="宋体" w:hAnsi="宋体" w:cs="宋体" w:eastAsia="宋体" w:hint="default"/>
        </w:rPr>
        <w:t>2</w:t>
      </w:r>
      <w:r>
        <w:rPr/>
        <w:t>、报告期内，公司以发行股份及支付现金购买资产的方式初步完成了对索瑞电气的重大资产重组，</w:t>
      </w:r>
    </w:p>
    <w:p>
      <w:pPr>
        <w:pStyle w:val="BodyText"/>
        <w:spacing w:line="408" w:lineRule="auto"/>
        <w:ind w:right="211"/>
        <w:jc w:val="both"/>
      </w:pPr>
      <w:r>
        <w:rPr/>
        <w:t>根据公司与任昌兆等</w:t>
      </w:r>
      <w:r>
        <w:rPr>
          <w:spacing w:val="-38"/>
        </w:rPr>
        <w:t> </w:t>
      </w:r>
      <w:r>
        <w:rPr>
          <w:rFonts w:ascii="宋体" w:hAnsi="宋体" w:cs="宋体" w:eastAsia="宋体" w:hint="default"/>
          <w:spacing w:val="-1"/>
        </w:rPr>
        <w:t>10</w:t>
      </w:r>
      <w:r>
        <w:rPr>
          <w:rFonts w:ascii="宋体" w:hAnsi="宋体" w:cs="宋体" w:eastAsia="宋体" w:hint="default"/>
          <w:spacing w:val="-40"/>
        </w:rPr>
        <w:t> </w:t>
      </w:r>
      <w:r>
        <w:rPr>
          <w:spacing w:val="-10"/>
        </w:rPr>
        <w:t>名交易对方签署的《盈利承诺及补偿协议》、《盈利承诺及补偿之补充协议》，本次</w:t>
      </w:r>
      <w:r>
        <w:rPr>
          <w:spacing w:val="-102"/>
        </w:rPr>
        <w:t> </w:t>
      </w:r>
      <w:r>
        <w:rPr>
          <w:spacing w:val="-102"/>
        </w:rPr>
      </w:r>
      <w:r>
        <w:rPr>
          <w:spacing w:val="-1"/>
        </w:rPr>
        <w:t>重组的业绩承诺方任昌兆、任晶晶、桂长钟、李善元、周军、田裕树、方旭东、李强、徐光涛及湖北乾瀚</w:t>
      </w:r>
      <w:r>
        <w:rPr>
          <w:spacing w:val="-85"/>
        </w:rPr>
        <w:t> </w:t>
      </w:r>
      <w:r>
        <w:rPr>
          <w:spacing w:val="-85"/>
        </w:rPr>
      </w:r>
      <w:r>
        <w:rPr/>
        <w:t>投资有限公司承诺索瑞电气</w:t>
      </w:r>
      <w:r>
        <w:rPr>
          <w:spacing w:val="-59"/>
        </w:rPr>
        <w:t> </w:t>
      </w:r>
      <w:r>
        <w:rPr>
          <w:rFonts w:ascii="宋体" w:hAnsi="宋体" w:cs="宋体" w:eastAsia="宋体" w:hint="default"/>
        </w:rPr>
        <w:t>2014</w:t>
      </w:r>
      <w:r>
        <w:rPr>
          <w:rFonts w:ascii="宋体" w:hAnsi="宋体" w:cs="宋体" w:eastAsia="宋体" w:hint="default"/>
          <w:spacing w:val="-60"/>
        </w:rPr>
        <w:t> </w:t>
      </w:r>
      <w:r>
        <w:rPr/>
        <w:t>年度、</w:t>
      </w:r>
      <w:r>
        <w:rPr>
          <w:rFonts w:ascii="宋体" w:hAnsi="宋体" w:cs="宋体" w:eastAsia="宋体" w:hint="default"/>
        </w:rPr>
        <w:t>2015</w:t>
      </w:r>
      <w:r>
        <w:rPr>
          <w:rFonts w:ascii="宋体" w:hAnsi="宋体" w:cs="宋体" w:eastAsia="宋体" w:hint="default"/>
          <w:spacing w:val="-58"/>
        </w:rPr>
        <w:t> </w:t>
      </w:r>
      <w:r>
        <w:rPr/>
        <w:t>年度、</w:t>
      </w:r>
      <w:r>
        <w:rPr>
          <w:rFonts w:ascii="宋体" w:hAnsi="宋体" w:cs="宋体" w:eastAsia="宋体" w:hint="default"/>
        </w:rPr>
        <w:t>2016</w:t>
      </w:r>
      <w:r>
        <w:rPr>
          <w:rFonts w:ascii="宋体" w:hAnsi="宋体" w:cs="宋体" w:eastAsia="宋体" w:hint="default"/>
          <w:spacing w:val="-58"/>
        </w:rPr>
        <w:t> </w:t>
      </w:r>
      <w:r>
        <w:rPr/>
        <w:t>年度实现的净利润比较扣非后的净利润按照孰低 原则确定的净利润分别不低于</w:t>
      </w:r>
      <w:r>
        <w:rPr>
          <w:spacing w:val="-53"/>
        </w:rPr>
        <w:t> </w:t>
      </w:r>
      <w:r>
        <w:rPr>
          <w:rFonts w:ascii="宋体" w:hAnsi="宋体" w:cs="宋体" w:eastAsia="宋体" w:hint="default"/>
        </w:rPr>
        <w:t>7,500</w:t>
      </w:r>
      <w:r>
        <w:rPr>
          <w:rFonts w:ascii="宋体" w:hAnsi="宋体" w:cs="宋体" w:eastAsia="宋体" w:hint="default"/>
          <w:spacing w:val="-53"/>
        </w:rPr>
        <w:t> </w:t>
      </w:r>
      <w:r>
        <w:rPr/>
        <w:t>万元、</w:t>
      </w:r>
      <w:r>
        <w:rPr>
          <w:rFonts w:ascii="宋体" w:hAnsi="宋体" w:cs="宋体" w:eastAsia="宋体" w:hint="default"/>
        </w:rPr>
        <w:t>8,100</w:t>
      </w:r>
      <w:r>
        <w:rPr>
          <w:rFonts w:ascii="宋体" w:hAnsi="宋体" w:cs="宋体" w:eastAsia="宋体" w:hint="default"/>
          <w:spacing w:val="-53"/>
        </w:rPr>
        <w:t> </w:t>
      </w:r>
      <w:r>
        <w:rPr/>
        <w:t>万元、</w:t>
      </w:r>
      <w:r>
        <w:rPr>
          <w:rFonts w:ascii="宋体" w:hAnsi="宋体" w:cs="宋体" w:eastAsia="宋体" w:hint="default"/>
        </w:rPr>
        <w:t>8,400</w:t>
      </w:r>
      <w:r>
        <w:rPr>
          <w:rFonts w:ascii="宋体" w:hAnsi="宋体" w:cs="宋体" w:eastAsia="宋体" w:hint="default"/>
          <w:spacing w:val="-53"/>
        </w:rPr>
        <w:t> </w:t>
      </w:r>
      <w:r>
        <w:rPr/>
        <w:t>万元。</w:t>
      </w:r>
    </w:p>
    <w:p>
      <w:pPr>
        <w:pStyle w:val="BodyText"/>
        <w:spacing w:line="408" w:lineRule="auto"/>
        <w:ind w:right="206" w:firstLine="423"/>
        <w:jc w:val="left"/>
      </w:pPr>
      <w:r>
        <w:rPr>
          <w:spacing w:val="-1"/>
        </w:rPr>
        <w:t>经众华会计师事务所（特殊普通合伙）审计并出具《光一科技股份有限公司关于重大资产重组购买资</w:t>
      </w:r>
      <w:r>
        <w:rPr/>
        <w:t> 产</w:t>
      </w:r>
      <w:r>
        <w:rPr>
          <w:spacing w:val="-37"/>
        </w:rPr>
        <w:t> </w:t>
      </w:r>
      <w:r>
        <w:rPr>
          <w:rFonts w:ascii="宋体" w:hAnsi="宋体" w:cs="宋体" w:eastAsia="宋体" w:hint="default"/>
        </w:rPr>
        <w:t>2014</w:t>
      </w:r>
      <w:r>
        <w:rPr>
          <w:rFonts w:ascii="宋体" w:hAnsi="宋体" w:cs="宋体" w:eastAsia="宋体" w:hint="default"/>
          <w:spacing w:val="-36"/>
        </w:rPr>
        <w:t> </w:t>
      </w:r>
      <w:r>
        <w:rPr>
          <w:spacing w:val="-4"/>
        </w:rPr>
        <w:t>年度业绩承诺实现情况的专项审核报告》（众会字（</w:t>
      </w:r>
      <w:r>
        <w:rPr>
          <w:rFonts w:ascii="宋体" w:hAnsi="宋体" w:cs="宋体" w:eastAsia="宋体" w:hint="default"/>
          <w:spacing w:val="-4"/>
        </w:rPr>
        <w:t>2015</w:t>
      </w:r>
      <w:r>
        <w:rPr>
          <w:spacing w:val="-4"/>
        </w:rPr>
        <w:t>）第</w:t>
      </w:r>
      <w:r>
        <w:rPr>
          <w:spacing w:val="-37"/>
        </w:rPr>
        <w:t> </w:t>
      </w:r>
      <w:r>
        <w:rPr>
          <w:rFonts w:ascii="宋体" w:hAnsi="宋体" w:cs="宋体" w:eastAsia="宋体" w:hint="default"/>
        </w:rPr>
        <w:t>3625</w:t>
      </w:r>
      <w:r>
        <w:rPr>
          <w:rFonts w:ascii="宋体" w:hAnsi="宋体" w:cs="宋体" w:eastAsia="宋体" w:hint="default"/>
          <w:spacing w:val="-37"/>
        </w:rPr>
        <w:t> </w:t>
      </w:r>
      <w:r>
        <w:rPr>
          <w:spacing w:val="-16"/>
        </w:rPr>
        <w:t>号），索瑞电气</w:t>
      </w:r>
      <w:r>
        <w:rPr>
          <w:spacing w:val="-37"/>
        </w:rPr>
        <w:t> </w:t>
      </w:r>
      <w:r>
        <w:rPr>
          <w:rFonts w:ascii="宋体" w:hAnsi="宋体" w:cs="宋体" w:eastAsia="宋体" w:hint="default"/>
        </w:rPr>
        <w:t>2014</w:t>
      </w:r>
      <w:r>
        <w:rPr>
          <w:rFonts w:ascii="宋体" w:hAnsi="宋体" w:cs="宋体" w:eastAsia="宋体" w:hint="default"/>
          <w:spacing w:val="-37"/>
        </w:rPr>
        <w:t> </w:t>
      </w:r>
      <w:r>
        <w:rPr>
          <w:spacing w:val="-1"/>
        </w:rPr>
        <w:t>年度归属</w:t>
      </w:r>
    </w:p>
    <w:p>
      <w:pPr>
        <w:pStyle w:val="BodyText"/>
        <w:spacing w:line="240" w:lineRule="auto"/>
        <w:ind w:left="154" w:right="0"/>
        <w:jc w:val="both"/>
      </w:pPr>
      <w:r>
        <w:rPr>
          <w:spacing w:val="3"/>
        </w:rPr>
        <w:t>于公司普通股股东的净利润为 </w:t>
      </w:r>
      <w:r>
        <w:rPr>
          <w:rFonts w:ascii="宋体" w:hAnsi="宋体" w:cs="宋体" w:eastAsia="宋体" w:hint="default"/>
        </w:rPr>
        <w:t>7,875.71</w:t>
      </w:r>
      <w:r>
        <w:rPr>
          <w:rFonts w:ascii="宋体" w:hAnsi="宋体" w:cs="宋体" w:eastAsia="宋体" w:hint="default"/>
          <w:spacing w:val="35"/>
        </w:rPr>
        <w:t> </w:t>
      </w:r>
      <w:r>
        <w:rPr>
          <w:spacing w:val="3"/>
        </w:rPr>
        <w:t>万元，扣除非经常性损益后归属于公司普通股股东的净利润为</w:t>
      </w:r>
    </w:p>
    <w:p>
      <w:pPr>
        <w:spacing w:line="240" w:lineRule="auto" w:before="10"/>
        <w:rPr>
          <w:rFonts w:ascii="宋体" w:hAnsi="宋体" w:cs="宋体" w:eastAsia="宋体" w:hint="default"/>
          <w:sz w:val="14"/>
          <w:szCs w:val="14"/>
        </w:rPr>
      </w:pPr>
    </w:p>
    <w:p>
      <w:pPr>
        <w:pStyle w:val="BodyText"/>
        <w:spacing w:line="240" w:lineRule="auto" w:before="0"/>
        <w:ind w:left="154" w:right="0"/>
        <w:jc w:val="both"/>
      </w:pPr>
      <w:r>
        <w:rPr>
          <w:rFonts w:ascii="宋体" w:hAnsi="宋体" w:cs="宋体" w:eastAsia="宋体" w:hint="default"/>
        </w:rPr>
        <w:t>7,558.37</w:t>
      </w:r>
      <w:r>
        <w:rPr>
          <w:rFonts w:ascii="宋体" w:hAnsi="宋体" w:cs="宋体" w:eastAsia="宋体" w:hint="default"/>
          <w:spacing w:val="-53"/>
        </w:rPr>
        <w:t> </w:t>
      </w:r>
      <w:r>
        <w:rPr/>
        <w:t>万元，超过盈利承诺水平，</w:t>
      </w:r>
      <w:r>
        <w:rPr>
          <w:rFonts w:ascii="宋体" w:hAnsi="宋体" w:cs="宋体" w:eastAsia="宋体" w:hint="default"/>
        </w:rPr>
        <w:t>2014</w:t>
      </w:r>
      <w:r>
        <w:rPr>
          <w:rFonts w:ascii="宋体" w:hAnsi="宋体" w:cs="宋体" w:eastAsia="宋体" w:hint="default"/>
          <w:spacing w:val="-53"/>
        </w:rPr>
        <w:t> </w:t>
      </w:r>
      <w:r>
        <w:rPr/>
        <w:t>年度业绩承诺已经实现。</w:t>
      </w:r>
    </w:p>
    <w:p>
      <w:pPr>
        <w:pStyle w:val="Heading2"/>
        <w:spacing w:line="240" w:lineRule="auto" w:before="170"/>
        <w:ind w:left="154" w:right="0"/>
        <w:jc w:val="both"/>
        <w:rPr>
          <w:b w:val="0"/>
          <w:bCs w:val="0"/>
        </w:rPr>
      </w:pPr>
      <w:bookmarkStart w:name="十五、控股子公司重要事项" w:id="72"/>
      <w:bookmarkEnd w:id="72"/>
      <w:r>
        <w:rPr>
          <w:b w:val="0"/>
          <w:bCs w:val="0"/>
        </w:rPr>
      </w:r>
      <w:r>
        <w:rPr/>
        <w:t>十五、控股子公司重要事项</w:t>
      </w:r>
      <w:r>
        <w:rPr>
          <w:b w:val="0"/>
          <w:bCs w:val="0"/>
        </w:rPr>
      </w:r>
    </w:p>
    <w:p>
      <w:pPr>
        <w:pStyle w:val="BodyText"/>
        <w:spacing w:line="240" w:lineRule="auto" w:before="177"/>
        <w:ind w:left="154" w:right="0"/>
        <w:jc w:val="both"/>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全资子公司苏源光一于</w:t>
      </w:r>
      <w:r>
        <w:rPr>
          <w:spacing w:val="-57"/>
        </w:rPr>
        <w:t> </w:t>
      </w:r>
      <w:r>
        <w:rPr>
          <w:rFonts w:ascii="宋体" w:hAnsi="宋体" w:cs="宋体" w:eastAsia="宋体" w:hint="default"/>
        </w:rPr>
        <w:t>2011</w:t>
      </w:r>
      <w:r>
        <w:rPr>
          <w:rFonts w:ascii="宋体" w:hAnsi="宋体" w:cs="宋体" w:eastAsia="宋体" w:hint="default"/>
          <w:spacing w:val="-58"/>
        </w:rPr>
        <w:t> </w:t>
      </w:r>
      <w:r>
        <w:rPr/>
        <w:t>年</w:t>
      </w:r>
      <w:r>
        <w:rPr>
          <w:spacing w:val="-59"/>
        </w:rPr>
        <w:t> </w:t>
      </w:r>
      <w:r>
        <w:rPr>
          <w:rFonts w:ascii="宋体" w:hAnsi="宋体" w:cs="宋体" w:eastAsia="宋体" w:hint="default"/>
        </w:rPr>
        <w:t>8</w:t>
      </w:r>
      <w:r>
        <w:rPr>
          <w:rFonts w:ascii="宋体" w:hAnsi="宋体" w:cs="宋体" w:eastAsia="宋体" w:hint="default"/>
          <w:spacing w:val="-57"/>
        </w:rPr>
        <w:t> </w:t>
      </w:r>
      <w:r>
        <w:rPr/>
        <w:t>月</w:t>
      </w:r>
      <w:r>
        <w:rPr>
          <w:spacing w:val="-59"/>
        </w:rPr>
        <w:t> </w:t>
      </w:r>
      <w:r>
        <w:rPr>
          <w:rFonts w:ascii="宋体" w:hAnsi="宋体" w:cs="宋体" w:eastAsia="宋体" w:hint="default"/>
        </w:rPr>
        <w:t>2</w:t>
      </w:r>
      <w:r>
        <w:rPr>
          <w:rFonts w:ascii="宋体" w:hAnsi="宋体" w:cs="宋体" w:eastAsia="宋体" w:hint="default"/>
          <w:spacing w:val="-58"/>
        </w:rPr>
        <w:t> </w:t>
      </w:r>
      <w:r>
        <w:rPr/>
        <w:t>日通过高新技术企业评审，享受高新技术企业所得税优惠政策，</w:t>
      </w:r>
    </w:p>
    <w:p>
      <w:pPr>
        <w:spacing w:line="240" w:lineRule="auto" w:before="10"/>
        <w:rPr>
          <w:rFonts w:ascii="宋体" w:hAnsi="宋体" w:cs="宋体" w:eastAsia="宋体" w:hint="default"/>
          <w:sz w:val="14"/>
          <w:szCs w:val="14"/>
        </w:rPr>
      </w:pPr>
    </w:p>
    <w:p>
      <w:pPr>
        <w:pStyle w:val="BodyText"/>
        <w:spacing w:line="408" w:lineRule="auto" w:before="0"/>
        <w:ind w:left="154" w:right="235"/>
        <w:jc w:val="left"/>
      </w:pPr>
      <w:r>
        <w:rPr>
          <w:rFonts w:ascii="宋体" w:hAnsi="宋体" w:cs="宋体" w:eastAsia="宋体" w:hint="default"/>
        </w:rPr>
        <w:t>2011</w:t>
      </w:r>
      <w:r>
        <w:rPr>
          <w:rFonts w:ascii="宋体" w:hAnsi="宋体" w:cs="宋体" w:eastAsia="宋体" w:hint="default"/>
          <w:spacing w:val="-54"/>
        </w:rPr>
        <w:t> </w:t>
      </w:r>
      <w:r>
        <w:rPr/>
        <w:t>年至</w:t>
      </w:r>
      <w:r>
        <w:rPr>
          <w:spacing w:val="-55"/>
        </w:rPr>
        <w:t> </w:t>
      </w:r>
      <w:r>
        <w:rPr>
          <w:rFonts w:ascii="宋体" w:hAnsi="宋体" w:cs="宋体" w:eastAsia="宋体" w:hint="default"/>
        </w:rPr>
        <w:t>2013</w:t>
      </w:r>
      <w:r>
        <w:rPr>
          <w:rFonts w:ascii="宋体" w:hAnsi="宋体" w:cs="宋体" w:eastAsia="宋体" w:hint="default"/>
          <w:spacing w:val="-54"/>
        </w:rPr>
        <w:t> </w:t>
      </w:r>
      <w:r>
        <w:rPr/>
        <w:t>年度按</w:t>
      </w:r>
      <w:r>
        <w:rPr>
          <w:spacing w:val="-56"/>
        </w:rPr>
        <w:t> </w:t>
      </w:r>
      <w:r>
        <w:rPr>
          <w:rFonts w:ascii="宋体" w:hAnsi="宋体" w:cs="宋体" w:eastAsia="宋体" w:hint="default"/>
        </w:rPr>
        <w:t>15%</w:t>
      </w:r>
      <w:r>
        <w:rPr/>
        <w:t>的税率缴纳企业所得税；</w:t>
      </w:r>
      <w:r>
        <w:rPr>
          <w:rFonts w:ascii="宋体" w:hAnsi="宋体" w:cs="宋体" w:eastAsia="宋体" w:hint="default"/>
        </w:rPr>
        <w:t>2014</w:t>
      </w:r>
      <w:r>
        <w:rPr>
          <w:rFonts w:ascii="宋体" w:hAnsi="宋体" w:cs="宋体" w:eastAsia="宋体" w:hint="default"/>
          <w:spacing w:val="-54"/>
        </w:rPr>
        <w:t> </w:t>
      </w:r>
      <w:r>
        <w:rPr/>
        <w:t>年在复审时因单项指标原因未能通过高新技术企 业复审，不能继续享有所得税优惠政策，对公司税后利润产生一定影响。</w:t>
      </w:r>
    </w:p>
    <w:p>
      <w:pPr>
        <w:spacing w:after="0" w:line="408" w:lineRule="auto"/>
        <w:jc w:val="left"/>
        <w:sectPr>
          <w:pgSz w:w="11910" w:h="16840"/>
          <w:pgMar w:header="747" w:footer="1000" w:top="104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1"/>
        <w:spacing w:line="240" w:lineRule="auto"/>
        <w:ind w:left="2965" w:right="0"/>
        <w:jc w:val="left"/>
        <w:rPr>
          <w:b w:val="0"/>
          <w:bCs w:val="0"/>
        </w:rPr>
      </w:pPr>
      <w:bookmarkStart w:name="第六节 股份变动及股东情况" w:id="73"/>
      <w:bookmarkEnd w:id="73"/>
      <w:r>
        <w:rPr>
          <w:b w:val="0"/>
          <w:bCs w:val="0"/>
        </w:rPr>
      </w:r>
      <w:bookmarkStart w:name="_bookmark5" w:id="74"/>
      <w:bookmarkEnd w:id="7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股份变动情况" w:id="75"/>
      <w:bookmarkEnd w:id="75"/>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股份变动情况" w:id="76"/>
      <w:bookmarkEnd w:id="76"/>
      <w:r>
        <w:rPr>
          <w:b w:val="0"/>
          <w:bCs w:val="0"/>
        </w:rPr>
      </w:r>
      <w:r>
        <w:rPr>
          <w:rFonts w:ascii="宋体" w:hAnsi="宋体" w:cs="宋体" w:eastAsia="宋体" w:hint="default"/>
        </w:rPr>
        <w:t>1</w:t>
      </w:r>
      <w:r>
        <w:rPr/>
        <w:t>、股份变动情况</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69"/>
        <w:gridCol w:w="1144"/>
        <w:gridCol w:w="851"/>
        <w:gridCol w:w="566"/>
        <w:gridCol w:w="568"/>
        <w:gridCol w:w="708"/>
        <w:gridCol w:w="992"/>
        <w:gridCol w:w="851"/>
        <w:gridCol w:w="1096"/>
        <w:gridCol w:w="813"/>
      </w:tblGrid>
      <w:tr>
        <w:trPr>
          <w:trHeight w:val="417" w:hRule="exact"/>
        </w:trPr>
        <w:tc>
          <w:tcPr>
            <w:tcW w:w="1969"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995"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54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86"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84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09"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4" w:hRule="exact"/>
        </w:trPr>
        <w:tc>
          <w:tcPr>
            <w:tcW w:w="1969" w:type="dxa"/>
            <w:vMerge w:val="restart"/>
            <w:tcBorders>
              <w:top w:val="nil" w:sz="6" w:space="0" w:color="auto"/>
              <w:left w:val="single" w:sz="12" w:space="0" w:color="000000"/>
              <w:right w:val="single" w:sz="6" w:space="0" w:color="000000"/>
            </w:tcBorders>
            <w:shd w:val="clear" w:color="auto" w:fill="D2D2D2"/>
          </w:tcPr>
          <w:p>
            <w:pPr/>
          </w:p>
        </w:tc>
        <w:tc>
          <w:tcPr>
            <w:tcW w:w="1144" w:type="dxa"/>
            <w:tcBorders>
              <w:top w:val="single" w:sz="6" w:space="0" w:color="000000"/>
              <w:left w:val="single" w:sz="6" w:space="0" w:color="000000"/>
              <w:bottom w:val="nil" w:sz="6" w:space="0" w:color="auto"/>
              <w:right w:val="single" w:sz="6" w:space="0" w:color="000000"/>
            </w:tcBorders>
            <w:shd w:val="clear" w:color="auto" w:fill="D2D2D2"/>
          </w:tcPr>
          <w:p>
            <w:pPr/>
          </w:p>
        </w:tc>
        <w:tc>
          <w:tcPr>
            <w:tcW w:w="851" w:type="dxa"/>
            <w:tcBorders>
              <w:top w:val="single" w:sz="6" w:space="0" w:color="000000"/>
              <w:left w:val="single" w:sz="6" w:space="0" w:color="000000"/>
              <w:bottom w:val="nil" w:sz="6" w:space="0" w:color="auto"/>
              <w:right w:val="single" w:sz="6" w:space="0" w:color="000000"/>
            </w:tcBorders>
            <w:shd w:val="clear" w:color="auto" w:fill="D2D2D2"/>
          </w:tcPr>
          <w:p>
            <w:pPr/>
          </w:p>
        </w:tc>
        <w:tc>
          <w:tcPr>
            <w:tcW w:w="566"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52"/>
              <w:ind w:left="95" w:right="95"/>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8" w:type="dxa"/>
            <w:tcBorders>
              <w:top w:val="single" w:sz="6" w:space="0" w:color="000000"/>
              <w:left w:val="single" w:sz="6" w:space="0" w:color="000000"/>
              <w:bottom w:val="nil" w:sz="6" w:space="0" w:color="auto"/>
              <w:right w:val="single" w:sz="6" w:space="0" w:color="000000"/>
            </w:tcBorders>
            <w:shd w:val="clear" w:color="auto" w:fill="D2D2D2"/>
          </w:tcPr>
          <w:p>
            <w:pPr/>
          </w:p>
        </w:tc>
        <w:tc>
          <w:tcPr>
            <w:tcW w:w="708"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52"/>
              <w:ind w:left="166" w:right="7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2" w:type="dxa"/>
            <w:tcBorders>
              <w:top w:val="single" w:sz="6" w:space="0" w:color="000000"/>
              <w:left w:val="single" w:sz="6" w:space="0" w:color="000000"/>
              <w:bottom w:val="nil" w:sz="6" w:space="0" w:color="auto"/>
              <w:right w:val="single" w:sz="6" w:space="0" w:color="000000"/>
            </w:tcBorders>
            <w:shd w:val="clear" w:color="auto" w:fill="D2D2D2"/>
          </w:tcPr>
          <w:p>
            <w:pPr/>
          </w:p>
        </w:tc>
        <w:tc>
          <w:tcPr>
            <w:tcW w:w="8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96" w:type="dxa"/>
            <w:tcBorders>
              <w:top w:val="single" w:sz="6" w:space="0" w:color="000000"/>
              <w:left w:val="single" w:sz="6" w:space="0" w:color="000000"/>
              <w:bottom w:val="nil" w:sz="6" w:space="0" w:color="auto"/>
              <w:right w:val="single" w:sz="6" w:space="0" w:color="000000"/>
            </w:tcBorders>
            <w:shd w:val="clear" w:color="auto" w:fill="D2D2D2"/>
          </w:tcPr>
          <w:p>
            <w:pPr/>
          </w:p>
        </w:tc>
        <w:tc>
          <w:tcPr>
            <w:tcW w:w="813"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86" w:hRule="exact"/>
        </w:trPr>
        <w:tc>
          <w:tcPr>
            <w:tcW w:w="1969" w:type="dxa"/>
            <w:vMerge/>
            <w:tcBorders>
              <w:left w:val="single" w:sz="12" w:space="0" w:color="000000"/>
              <w:bottom w:val="nil" w:sz="6" w:space="0" w:color="auto"/>
              <w:right w:val="single" w:sz="6" w:space="0" w:color="000000"/>
            </w:tcBorders>
            <w:shd w:val="clear" w:color="auto" w:fill="D2D2D2"/>
          </w:tcPr>
          <w:p>
            <w:pPr/>
          </w:p>
        </w:tc>
        <w:tc>
          <w:tcPr>
            <w:tcW w:w="114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vMerge/>
            <w:tcBorders>
              <w:left w:val="single" w:sz="6" w:space="0" w:color="000000"/>
              <w:right w:val="single" w:sz="6" w:space="0" w:color="000000"/>
            </w:tcBorders>
            <w:shd w:val="clear" w:color="auto" w:fill="D2D2D2"/>
          </w:tcPr>
          <w:p>
            <w:pPr/>
          </w:p>
        </w:tc>
        <w:tc>
          <w:tcPr>
            <w:tcW w:w="56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6" w:space="0" w:color="000000"/>
              <w:right w:val="single" w:sz="6" w:space="0" w:color="000000"/>
            </w:tcBorders>
            <w:shd w:val="clear" w:color="auto" w:fill="D2D2D2"/>
          </w:tcPr>
          <w:p>
            <w:pPr/>
          </w:p>
        </w:tc>
        <w:tc>
          <w:tcPr>
            <w:tcW w:w="99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3"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9" w:type="dxa"/>
            <w:vMerge w:val="restart"/>
            <w:tcBorders>
              <w:top w:val="nil" w:sz="6" w:space="0" w:color="auto"/>
              <w:left w:val="single" w:sz="12" w:space="0" w:color="000000"/>
              <w:right w:val="single" w:sz="6" w:space="0" w:color="000000"/>
            </w:tcBorders>
            <w:shd w:val="clear" w:color="auto" w:fill="D2D2D2"/>
          </w:tcPr>
          <w:p>
            <w:pPr/>
          </w:p>
        </w:tc>
        <w:tc>
          <w:tcPr>
            <w:tcW w:w="1144" w:type="dxa"/>
            <w:vMerge/>
            <w:tcBorders>
              <w:left w:val="single" w:sz="6" w:space="0" w:color="000000"/>
              <w:bottom w:val="nil" w:sz="6" w:space="0" w:color="auto"/>
              <w:right w:val="single" w:sz="6" w:space="0" w:color="000000"/>
            </w:tcBorders>
            <w:shd w:val="clear" w:color="auto" w:fill="D2D2D2"/>
          </w:tcPr>
          <w:p>
            <w:pPr/>
          </w:p>
        </w:tc>
        <w:tc>
          <w:tcPr>
            <w:tcW w:w="851" w:type="dxa"/>
            <w:vMerge/>
            <w:tcBorders>
              <w:left w:val="single" w:sz="6" w:space="0" w:color="000000"/>
              <w:bottom w:val="nil" w:sz="6" w:space="0" w:color="auto"/>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568" w:type="dxa"/>
            <w:vMerge/>
            <w:tcBorders>
              <w:left w:val="single" w:sz="6" w:space="0" w:color="000000"/>
              <w:bottom w:val="nil" w:sz="6" w:space="0" w:color="auto"/>
              <w:right w:val="single" w:sz="6" w:space="0" w:color="000000"/>
            </w:tcBorders>
            <w:shd w:val="clear" w:color="auto" w:fill="D2D2D2"/>
          </w:tcPr>
          <w:p>
            <w:pPr/>
          </w:p>
        </w:tc>
        <w:tc>
          <w:tcPr>
            <w:tcW w:w="708" w:type="dxa"/>
            <w:vMerge/>
            <w:tcBorders>
              <w:left w:val="single" w:sz="6" w:space="0" w:color="000000"/>
              <w:right w:val="single" w:sz="6" w:space="0" w:color="000000"/>
            </w:tcBorders>
            <w:shd w:val="clear" w:color="auto" w:fill="D2D2D2"/>
          </w:tcPr>
          <w:p>
            <w:pPr/>
          </w:p>
        </w:tc>
        <w:tc>
          <w:tcPr>
            <w:tcW w:w="992" w:type="dxa"/>
            <w:vMerge/>
            <w:tcBorders>
              <w:left w:val="single" w:sz="6" w:space="0" w:color="000000"/>
              <w:bottom w:val="nil" w:sz="6" w:space="0" w:color="auto"/>
              <w:right w:val="single" w:sz="6" w:space="0" w:color="000000"/>
            </w:tcBorders>
            <w:shd w:val="clear" w:color="auto" w:fill="D2D2D2"/>
          </w:tcPr>
          <w:p>
            <w:pPr/>
          </w:p>
        </w:tc>
        <w:tc>
          <w:tcPr>
            <w:tcW w:w="851" w:type="dxa"/>
            <w:vMerge/>
            <w:tcBorders>
              <w:left w:val="single" w:sz="6" w:space="0" w:color="000000"/>
              <w:bottom w:val="nil" w:sz="6" w:space="0" w:color="auto"/>
              <w:right w:val="single" w:sz="6" w:space="0" w:color="000000"/>
            </w:tcBorders>
            <w:shd w:val="clear" w:color="auto" w:fill="D2D2D2"/>
          </w:tcPr>
          <w:p>
            <w:pPr/>
          </w:p>
        </w:tc>
        <w:tc>
          <w:tcPr>
            <w:tcW w:w="1096" w:type="dxa"/>
            <w:vMerge/>
            <w:tcBorders>
              <w:left w:val="single" w:sz="6" w:space="0" w:color="000000"/>
              <w:bottom w:val="nil" w:sz="6" w:space="0" w:color="auto"/>
              <w:right w:val="single" w:sz="6" w:space="0" w:color="000000"/>
            </w:tcBorders>
            <w:shd w:val="clear" w:color="auto" w:fill="D2D2D2"/>
          </w:tcPr>
          <w:p>
            <w:pPr/>
          </w:p>
        </w:tc>
        <w:tc>
          <w:tcPr>
            <w:tcW w:w="813" w:type="dxa"/>
            <w:vMerge/>
            <w:tcBorders>
              <w:left w:val="single" w:sz="6" w:space="0" w:color="000000"/>
              <w:bottom w:val="nil" w:sz="6" w:space="0" w:color="auto"/>
              <w:right w:val="single" w:sz="12" w:space="0" w:color="000000"/>
            </w:tcBorders>
            <w:shd w:val="clear" w:color="auto" w:fill="D2D2D2"/>
          </w:tcPr>
          <w:p>
            <w:pPr/>
          </w:p>
        </w:tc>
      </w:tr>
      <w:tr>
        <w:trPr>
          <w:trHeight w:val="163" w:hRule="exact"/>
        </w:trPr>
        <w:tc>
          <w:tcPr>
            <w:tcW w:w="1969" w:type="dxa"/>
            <w:vMerge/>
            <w:tcBorders>
              <w:left w:val="single" w:sz="12" w:space="0" w:color="000000"/>
              <w:bottom w:val="single" w:sz="6" w:space="0" w:color="000000"/>
              <w:right w:val="single" w:sz="6" w:space="0" w:color="000000"/>
            </w:tcBorders>
            <w:shd w:val="clear" w:color="auto" w:fill="D2D2D2"/>
          </w:tcPr>
          <w:p>
            <w:pPr/>
          </w:p>
        </w:tc>
        <w:tc>
          <w:tcPr>
            <w:tcW w:w="1144" w:type="dxa"/>
            <w:tcBorders>
              <w:top w:val="nil" w:sz="6" w:space="0" w:color="auto"/>
              <w:left w:val="single" w:sz="6" w:space="0" w:color="000000"/>
              <w:bottom w:val="single" w:sz="6" w:space="0" w:color="000000"/>
              <w:right w:val="single" w:sz="6" w:space="0" w:color="000000"/>
            </w:tcBorders>
            <w:shd w:val="clear" w:color="auto" w:fill="D2D2D2"/>
          </w:tcPr>
          <w:p>
            <w:pPr/>
          </w:p>
        </w:tc>
        <w:tc>
          <w:tcPr>
            <w:tcW w:w="851" w:type="dxa"/>
            <w:tcBorders>
              <w:top w:val="nil" w:sz="6" w:space="0" w:color="auto"/>
              <w:left w:val="single" w:sz="6" w:space="0" w:color="000000"/>
              <w:bottom w:val="single" w:sz="6" w:space="0" w:color="000000"/>
              <w:right w:val="single" w:sz="6" w:space="0" w:color="000000"/>
            </w:tcBorders>
            <w:shd w:val="clear" w:color="auto" w:fill="D2D2D2"/>
          </w:tcPr>
          <w:p>
            <w:pPr/>
          </w:p>
        </w:tc>
        <w:tc>
          <w:tcPr>
            <w:tcW w:w="566" w:type="dxa"/>
            <w:vMerge/>
            <w:tcBorders>
              <w:left w:val="single" w:sz="6" w:space="0" w:color="000000"/>
              <w:bottom w:val="single" w:sz="6" w:space="0" w:color="000000"/>
              <w:right w:val="single" w:sz="6" w:space="0" w:color="000000"/>
            </w:tcBorders>
            <w:shd w:val="clear" w:color="auto" w:fill="D2D2D2"/>
          </w:tcPr>
          <w:p>
            <w:pPr/>
          </w:p>
        </w:tc>
        <w:tc>
          <w:tcPr>
            <w:tcW w:w="568" w:type="dxa"/>
            <w:tcBorders>
              <w:top w:val="nil" w:sz="6" w:space="0" w:color="auto"/>
              <w:left w:val="single" w:sz="6" w:space="0" w:color="000000"/>
              <w:bottom w:val="single" w:sz="6" w:space="0" w:color="000000"/>
              <w:right w:val="single" w:sz="6" w:space="0" w:color="000000"/>
            </w:tcBorders>
            <w:shd w:val="clear" w:color="auto" w:fill="D2D2D2"/>
          </w:tcPr>
          <w:p>
            <w:pPr/>
          </w:p>
        </w:tc>
        <w:tc>
          <w:tcPr>
            <w:tcW w:w="708" w:type="dxa"/>
            <w:vMerge/>
            <w:tcBorders>
              <w:left w:val="single" w:sz="6" w:space="0" w:color="000000"/>
              <w:bottom w:val="single" w:sz="6" w:space="0" w:color="000000"/>
              <w:right w:val="single" w:sz="6" w:space="0" w:color="000000"/>
            </w:tcBorders>
            <w:shd w:val="clear" w:color="auto" w:fill="D2D2D2"/>
          </w:tcPr>
          <w:p>
            <w:pPr/>
          </w:p>
        </w:tc>
        <w:tc>
          <w:tcPr>
            <w:tcW w:w="992" w:type="dxa"/>
            <w:tcBorders>
              <w:top w:val="nil" w:sz="6" w:space="0" w:color="auto"/>
              <w:left w:val="single" w:sz="6" w:space="0" w:color="000000"/>
              <w:bottom w:val="single" w:sz="6" w:space="0" w:color="000000"/>
              <w:right w:val="single" w:sz="6" w:space="0" w:color="000000"/>
            </w:tcBorders>
            <w:shd w:val="clear" w:color="auto" w:fill="D2D2D2"/>
          </w:tcPr>
          <w:p>
            <w:pPr/>
          </w:p>
        </w:tc>
        <w:tc>
          <w:tcPr>
            <w:tcW w:w="8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96" w:type="dxa"/>
            <w:tcBorders>
              <w:top w:val="nil" w:sz="6" w:space="0" w:color="auto"/>
              <w:left w:val="single" w:sz="6" w:space="0" w:color="000000"/>
              <w:bottom w:val="single" w:sz="6" w:space="0" w:color="000000"/>
              <w:right w:val="single" w:sz="6" w:space="0" w:color="000000"/>
            </w:tcBorders>
            <w:shd w:val="clear" w:color="auto" w:fill="D2D2D2"/>
          </w:tcPr>
          <w:p>
            <w:pPr/>
          </w:p>
        </w:tc>
        <w:tc>
          <w:tcPr>
            <w:tcW w:w="813"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2" w:hRule="exact"/>
        </w:trPr>
        <w:tc>
          <w:tcPr>
            <w:tcW w:w="1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left="6"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64,051,500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49.27%</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-992,157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-992,157</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40" w:right="0"/>
              <w:jc w:val="center"/>
              <w:rPr>
                <w:rFonts w:ascii="宋体" w:hAnsi="宋体" w:cs="宋体" w:eastAsia="宋体" w:hint="default"/>
                <w:sz w:val="18"/>
                <w:szCs w:val="18"/>
              </w:rPr>
            </w:pPr>
            <w:r>
              <w:rPr>
                <w:rFonts w:ascii="宋体"/>
                <w:sz w:val="18"/>
              </w:rPr>
              <w:t>63,059,343</w:t>
            </w:r>
          </w:p>
        </w:tc>
        <w:tc>
          <w:tcPr>
            <w:tcW w:w="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48.51%</w:t>
            </w:r>
          </w:p>
        </w:tc>
      </w:tr>
      <w:tr>
        <w:trPr>
          <w:trHeight w:val="413" w:hRule="exact"/>
        </w:trPr>
        <w:tc>
          <w:tcPr>
            <w:tcW w:w="1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14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64,051,500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49.27%</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-992,157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-992,157</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40" w:right="0"/>
              <w:jc w:val="center"/>
              <w:rPr>
                <w:rFonts w:ascii="宋体" w:hAnsi="宋体" w:cs="宋体" w:eastAsia="宋体" w:hint="default"/>
                <w:sz w:val="18"/>
                <w:szCs w:val="18"/>
              </w:rPr>
            </w:pPr>
            <w:r>
              <w:rPr>
                <w:rFonts w:ascii="宋体"/>
                <w:sz w:val="18"/>
              </w:rPr>
              <w:t>63,059,343</w:t>
            </w:r>
          </w:p>
        </w:tc>
        <w:tc>
          <w:tcPr>
            <w:tcW w:w="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48.51%</w:t>
            </w:r>
          </w:p>
        </w:tc>
      </w:tr>
      <w:tr>
        <w:trPr>
          <w:trHeight w:val="412" w:hRule="exact"/>
        </w:trPr>
        <w:tc>
          <w:tcPr>
            <w:tcW w:w="1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42,600,000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32.77%</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40" w:right="0"/>
              <w:jc w:val="center"/>
              <w:rPr>
                <w:rFonts w:ascii="宋体" w:hAnsi="宋体" w:cs="宋体" w:eastAsia="宋体" w:hint="default"/>
                <w:sz w:val="18"/>
                <w:szCs w:val="18"/>
              </w:rPr>
            </w:pPr>
            <w:r>
              <w:rPr>
                <w:rFonts w:ascii="宋体"/>
                <w:sz w:val="18"/>
              </w:rPr>
              <w:t>42,600,000</w:t>
            </w:r>
          </w:p>
        </w:tc>
        <w:tc>
          <w:tcPr>
            <w:tcW w:w="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32.77%</w:t>
            </w:r>
          </w:p>
        </w:tc>
      </w:tr>
      <w:tr>
        <w:trPr>
          <w:trHeight w:val="412" w:hRule="exact"/>
        </w:trPr>
        <w:tc>
          <w:tcPr>
            <w:tcW w:w="1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left="546"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21,451,500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16.50%</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-992,157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-992,157</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40" w:right="0"/>
              <w:jc w:val="center"/>
              <w:rPr>
                <w:rFonts w:ascii="宋体" w:hAnsi="宋体" w:cs="宋体" w:eastAsia="宋体" w:hint="default"/>
                <w:sz w:val="18"/>
                <w:szCs w:val="18"/>
              </w:rPr>
            </w:pPr>
            <w:r>
              <w:rPr>
                <w:rFonts w:ascii="宋体"/>
                <w:sz w:val="18"/>
              </w:rPr>
              <w:t>20,459,343</w:t>
            </w:r>
          </w:p>
        </w:tc>
        <w:tc>
          <w:tcPr>
            <w:tcW w:w="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15.74%</w:t>
            </w:r>
          </w:p>
        </w:tc>
      </w:tr>
      <w:tr>
        <w:trPr>
          <w:trHeight w:val="413" w:hRule="exact"/>
        </w:trPr>
        <w:tc>
          <w:tcPr>
            <w:tcW w:w="1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5"/>
              <w:ind w:left="6"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65,953,500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50.73%</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992,157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992,157</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40" w:right="0"/>
              <w:jc w:val="center"/>
              <w:rPr>
                <w:rFonts w:ascii="宋体" w:hAnsi="宋体" w:cs="宋体" w:eastAsia="宋体" w:hint="default"/>
                <w:sz w:val="18"/>
                <w:szCs w:val="18"/>
              </w:rPr>
            </w:pPr>
            <w:r>
              <w:rPr>
                <w:rFonts w:ascii="宋体"/>
                <w:sz w:val="18"/>
              </w:rPr>
              <w:t>66,945,657</w:t>
            </w:r>
          </w:p>
        </w:tc>
        <w:tc>
          <w:tcPr>
            <w:tcW w:w="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51.49%</w:t>
            </w:r>
          </w:p>
        </w:tc>
      </w:tr>
      <w:tr>
        <w:trPr>
          <w:trHeight w:val="412" w:hRule="exact"/>
        </w:trPr>
        <w:tc>
          <w:tcPr>
            <w:tcW w:w="1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144"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65,953,500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50.73%</w:t>
            </w:r>
          </w:p>
        </w:tc>
        <w:tc>
          <w:tcPr>
            <w:tcW w:w="56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992,157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992,157</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40" w:right="0"/>
              <w:jc w:val="center"/>
              <w:rPr>
                <w:rFonts w:ascii="宋体" w:hAnsi="宋体" w:cs="宋体" w:eastAsia="宋体" w:hint="default"/>
                <w:sz w:val="18"/>
                <w:szCs w:val="18"/>
              </w:rPr>
            </w:pPr>
            <w:r>
              <w:rPr>
                <w:rFonts w:ascii="宋体"/>
                <w:sz w:val="18"/>
              </w:rPr>
              <w:t>66,945,657</w:t>
            </w:r>
          </w:p>
        </w:tc>
        <w:tc>
          <w:tcPr>
            <w:tcW w:w="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51.49%</w:t>
            </w:r>
          </w:p>
        </w:tc>
      </w:tr>
      <w:tr>
        <w:trPr>
          <w:trHeight w:val="420" w:hRule="exact"/>
        </w:trPr>
        <w:tc>
          <w:tcPr>
            <w:tcW w:w="1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5"/>
              <w:ind w:left="6"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4"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130,005,000</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100.00%</w:t>
            </w:r>
          </w:p>
        </w:tc>
        <w:tc>
          <w:tcPr>
            <w:tcW w:w="566"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0</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0</w:t>
            </w:r>
          </w:p>
        </w:tc>
        <w:tc>
          <w:tcPr>
            <w:tcW w:w="10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50" w:right="0"/>
              <w:jc w:val="center"/>
              <w:rPr>
                <w:rFonts w:ascii="宋体" w:hAnsi="宋体" w:cs="宋体" w:eastAsia="宋体" w:hint="default"/>
                <w:sz w:val="18"/>
                <w:szCs w:val="18"/>
              </w:rPr>
            </w:pPr>
            <w:r>
              <w:rPr>
                <w:rFonts w:ascii="宋体"/>
                <w:sz w:val="18"/>
              </w:rPr>
              <w:t>130,005,000</w:t>
            </w:r>
          </w:p>
        </w:tc>
        <w:tc>
          <w:tcPr>
            <w:tcW w:w="8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right="11"/>
              <w:jc w:val="right"/>
              <w:rPr>
                <w:rFonts w:ascii="宋体" w:hAnsi="宋体" w:cs="宋体" w:eastAsia="宋体" w:hint="default"/>
                <w:sz w:val="18"/>
                <w:szCs w:val="18"/>
              </w:rPr>
            </w:pPr>
            <w:r>
              <w:rPr>
                <w:rFonts w:ascii="宋体"/>
                <w:sz w:val="18"/>
              </w:rPr>
              <w:t>100.00%</w:t>
            </w:r>
          </w:p>
        </w:tc>
      </w:tr>
    </w:tbl>
    <w:p>
      <w:pPr>
        <w:pStyle w:val="BodyText"/>
        <w:spacing w:line="240" w:lineRule="auto" w:before="63"/>
        <w:ind w:left="154" w:right="0"/>
        <w:jc w:val="left"/>
      </w:pPr>
      <w:r>
        <w:rPr/>
        <w:t>股份变动的原因</w:t>
      </w:r>
    </w:p>
    <w:p>
      <w:pPr>
        <w:spacing w:line="240" w:lineRule="auto" w:before="10"/>
        <w:rPr>
          <w:rFonts w:ascii="宋体" w:hAnsi="宋体" w:cs="宋体" w:eastAsia="宋体" w:hint="default"/>
          <w:sz w:val="14"/>
          <w:szCs w:val="14"/>
        </w:rPr>
      </w:pPr>
    </w:p>
    <w:p>
      <w:pPr>
        <w:pStyle w:val="BodyText"/>
        <w:spacing w:line="408" w:lineRule="auto" w:before="0"/>
        <w:ind w:right="4313"/>
        <w:jc w:val="left"/>
      </w:pPr>
      <w:r>
        <w:rPr/>
        <w:t>√ 适用 □</w:t>
      </w:r>
      <w:r>
        <w:rPr>
          <w:spacing w:val="-1"/>
        </w:rPr>
        <w:t> </w:t>
      </w:r>
      <w:r>
        <w:rPr/>
        <w:t>不适用</w:t>
      </w:r>
      <w:r>
        <w:rPr/>
        <w:t> 公司董事、监事、高管持有股份在报告期内自动解锁部份。 股份变动的批准情况</w:t>
      </w:r>
    </w:p>
    <w:p>
      <w:pPr>
        <w:pStyle w:val="BodyText"/>
        <w:spacing w:line="408" w:lineRule="auto"/>
        <w:ind w:left="154" w:right="7882"/>
        <w:jc w:val="left"/>
      </w:pPr>
      <w:r>
        <w:rPr/>
        <w:t>□ 适用 √</w:t>
      </w:r>
      <w:r>
        <w:rPr>
          <w:spacing w:val="-1"/>
        </w:rPr>
        <w:t> </w:t>
      </w:r>
      <w:r>
        <w:rPr/>
        <w:t>不适用</w:t>
      </w:r>
      <w:r>
        <w:rPr/>
        <w:t> 股份变动的过户情况</w:t>
      </w:r>
    </w:p>
    <w:p>
      <w:pPr>
        <w:pStyle w:val="BodyText"/>
        <w:spacing w:line="408" w:lineRule="auto"/>
        <w:ind w:left="154" w:right="0"/>
        <w:jc w:val="left"/>
      </w:pPr>
      <w:r>
        <w:rPr/>
        <w:t>□ 适用 √</w:t>
      </w:r>
      <w:r>
        <w:rPr>
          <w:spacing w:val="-1"/>
        </w:rPr>
        <w:t> </w:t>
      </w:r>
      <w:r>
        <w:rPr/>
        <w:t>不适用</w:t>
      </w:r>
      <w:r>
        <w:rPr/>
        <w:t> </w:t>
      </w:r>
      <w:r>
        <w:rPr>
          <w:spacing w:val="-1"/>
        </w:rPr>
        <w:t>股份变动对最近一年和最近一期基本每股收益和稀释每股收益、归属于公司普通股股东的每股净资产等财</w:t>
      </w:r>
      <w:r>
        <w:rPr>
          <w:spacing w:val="-81"/>
        </w:rPr>
        <w:t> </w:t>
      </w:r>
      <w:r>
        <w:rPr>
          <w:spacing w:val="-81"/>
        </w:rPr>
      </w:r>
      <w:r>
        <w:rPr/>
        <w:t>务指标的影响</w:t>
      </w:r>
    </w:p>
    <w:p>
      <w:pPr>
        <w:pStyle w:val="BodyText"/>
        <w:spacing w:line="408" w:lineRule="auto"/>
        <w:ind w:left="154" w:right="5152"/>
        <w:jc w:val="left"/>
      </w:pPr>
      <w:r>
        <w:rPr/>
        <w:t>□ 适用 √</w:t>
      </w:r>
      <w:r>
        <w:rPr>
          <w:spacing w:val="-1"/>
        </w:rPr>
        <w:t> </w:t>
      </w:r>
      <w:r>
        <w:rPr/>
        <w:t>不适用</w:t>
      </w:r>
      <w:r>
        <w:rPr/>
        <w:t> 公司认为必要或证券监管机构要求披露的其他内容</w:t>
      </w:r>
    </w:p>
    <w:p>
      <w:pPr>
        <w:spacing w:line="408" w:lineRule="auto" w:before="46"/>
        <w:ind w:left="154" w:right="776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限售股份变动情况" w:id="77"/>
      <w:bookmarkEnd w:id="77"/>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pStyle w:val="BodyText"/>
        <w:spacing w:line="240" w:lineRule="auto"/>
        <w:ind w:left="154" w:right="0"/>
        <w:jc w:val="left"/>
      </w:pPr>
      <w:r>
        <w:rPr/>
        <w:t>√ 适用 □</w:t>
      </w:r>
      <w:r>
        <w:rPr>
          <w:spacing w:val="-1"/>
        </w:rPr>
        <w:t> </w:t>
      </w:r>
      <w:r>
        <w:rPr/>
        <w:t>不适用</w:t>
      </w:r>
    </w:p>
    <w:p>
      <w:pPr>
        <w:spacing w:line="240" w:lineRule="auto" w:before="11"/>
        <w:rPr>
          <w:rFonts w:ascii="宋体" w:hAnsi="宋体" w:cs="宋体" w:eastAsia="宋体" w:hint="default"/>
          <w:sz w:val="13"/>
          <w:szCs w:val="13"/>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370"/>
        <w:gridCol w:w="1367"/>
        <w:gridCol w:w="1517"/>
        <w:gridCol w:w="992"/>
        <w:gridCol w:w="1418"/>
        <w:gridCol w:w="1275"/>
        <w:gridCol w:w="1633"/>
      </w:tblGrid>
      <w:tr>
        <w:trPr>
          <w:trHeight w:val="727" w:hRule="exact"/>
        </w:trPr>
        <w:tc>
          <w:tcPr>
            <w:tcW w:w="137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219" w:right="36"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7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3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9"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39" w:right="46"/>
              <w:jc w:val="left"/>
              <w:rPr>
                <w:rFonts w:ascii="宋体" w:hAnsi="宋体" w:cs="宋体" w:eastAsia="宋体" w:hint="default"/>
                <w:sz w:val="18"/>
                <w:szCs w:val="18"/>
              </w:rPr>
            </w:pPr>
            <w:r>
              <w:rPr>
                <w:rFonts w:ascii="宋体" w:hAnsi="宋体" w:cs="宋体" w:eastAsia="宋体" w:hint="default"/>
                <w:sz w:val="18"/>
                <w:szCs w:val="18"/>
              </w:rPr>
              <w:t>江苏光一投资管 理有限责任公司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42,600,000</w:t>
            </w:r>
          </w:p>
        </w:tc>
        <w:tc>
          <w:tcPr>
            <w:tcW w:w="151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42,600,000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14,953,500</w:t>
            </w:r>
          </w:p>
        </w:tc>
        <w:tc>
          <w:tcPr>
            <w:tcW w:w="151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14,953,500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熊  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1,687,500</w:t>
            </w:r>
          </w:p>
        </w:tc>
        <w:tc>
          <w:tcPr>
            <w:tcW w:w="151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1,687,500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徐一宁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2,441,250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300,000</w:t>
            </w: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2,141,250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王海俊</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976,500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244,125</w:t>
            </w: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732,375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戴晓东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488,250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99,563</w:t>
            </w: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388,687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邱卫东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488,250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122,063</w:t>
            </w: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366,187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朱云飞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163,125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40,781</w:t>
            </w: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122,344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沈  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90,000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22,500</w:t>
            </w: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67,500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每年首个交易日</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赵俊平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163,125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163,125</w:t>
            </w:r>
          </w:p>
        </w:tc>
        <w:tc>
          <w:tcPr>
            <w:tcW w:w="99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15" w:hRule="exact"/>
        </w:trPr>
        <w:tc>
          <w:tcPr>
            <w:tcW w:w="137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64,051,500</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992,157</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w:t>
            </w:r>
          </w:p>
        </w:tc>
        <w:tc>
          <w:tcPr>
            <w:tcW w:w="1418" w:type="dxa"/>
            <w:tcBorders>
              <w:top w:val="single" w:sz="6" w:space="0" w:color="000000"/>
              <w:left w:val="single" w:sz="6" w:space="0" w:color="000000"/>
              <w:bottom w:val="single" w:sz="12" w:space="0" w:color="000000"/>
              <w:right w:val="single" w:sz="9" w:space="0" w:color="D2D2D2"/>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63,059,343</w:t>
            </w:r>
          </w:p>
        </w:tc>
        <w:tc>
          <w:tcPr>
            <w:tcW w:w="127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633"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13"/>
          <w:szCs w:val="13"/>
        </w:rPr>
      </w:pPr>
    </w:p>
    <w:p>
      <w:pPr>
        <w:pStyle w:val="Heading2"/>
        <w:spacing w:line="240" w:lineRule="auto"/>
        <w:ind w:left="154" w:right="0"/>
        <w:jc w:val="left"/>
        <w:rPr>
          <w:b w:val="0"/>
          <w:bCs w:val="0"/>
        </w:rPr>
      </w:pPr>
      <w:bookmarkStart w:name="二、证券发行与上市情况" w:id="78"/>
      <w:bookmarkEnd w:id="78"/>
      <w:r>
        <w:rPr>
          <w:b w:val="0"/>
          <w:bCs w:val="0"/>
        </w:rPr>
      </w:r>
      <w:r>
        <w:rPr/>
        <w:t>二、证券发行与上市情况</w:t>
      </w:r>
      <w:r>
        <w:rPr>
          <w:b w:val="0"/>
          <w:bCs w:val="0"/>
        </w:rPr>
      </w:r>
    </w:p>
    <w:p>
      <w:pPr>
        <w:pStyle w:val="Heading4"/>
        <w:spacing w:line="240" w:lineRule="auto" w:before="177"/>
        <w:ind w:left="153" w:right="0"/>
        <w:jc w:val="left"/>
        <w:rPr>
          <w:b w:val="0"/>
          <w:bCs w:val="0"/>
        </w:rPr>
      </w:pPr>
      <w:bookmarkStart w:name="1、报告期内证券发行情况" w:id="79"/>
      <w:bookmarkEnd w:id="79"/>
      <w:r>
        <w:rPr>
          <w:b w:val="0"/>
          <w:bCs w:val="0"/>
        </w:rPr>
      </w:r>
      <w:r>
        <w:rPr>
          <w:rFonts w:ascii="宋体" w:hAnsi="宋体" w:cs="宋体" w:eastAsia="宋体" w:hint="default"/>
        </w:rPr>
        <w:t>1</w:t>
      </w:r>
      <w:r>
        <w:rPr/>
        <w:t>、报告期内证券发行情况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167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公司股份总数及股东结构的变动、公司资产和负债结构的变动情况说明" w:id="80"/>
      <w:bookmarkEnd w:id="80"/>
      <w:r>
        <w:rPr>
          <w:rFonts w:ascii="宋体" w:hAnsi="宋体" w:cs="宋体" w:eastAsia="宋体" w:hint="default"/>
          <w:sz w:val="21"/>
          <w:szCs w:val="21"/>
        </w:rPr>
      </w:r>
      <w:r>
        <w:rPr>
          <w:rFonts w:ascii="宋体" w:hAnsi="宋体" w:cs="宋体" w:eastAsia="宋体" w:hint="default"/>
          <w:b/>
          <w:bCs/>
          <w:w w:val="95"/>
          <w:sz w:val="21"/>
          <w:szCs w:val="21"/>
        </w:rPr>
        <w:t>2</w:t>
      </w:r>
      <w:r>
        <w:rPr>
          <w:rFonts w:ascii="宋体" w:hAnsi="宋体" w:cs="宋体" w:eastAsia="宋体" w:hint="default"/>
          <w:b/>
          <w:bCs/>
          <w:w w:val="95"/>
          <w:sz w:val="21"/>
          <w:szCs w:val="21"/>
        </w:rPr>
        <w:t>、公司股份总数及股东结构的变动、公司资产和负债结构的变动情况说明</w:t>
      </w:r>
      <w:r>
        <w:rPr>
          <w:rFonts w:ascii="宋体" w:hAnsi="宋体" w:cs="宋体" w:eastAsia="宋体" w:hint="default"/>
          <w:sz w:val="21"/>
          <w:szCs w:val="21"/>
        </w:rPr>
      </w:r>
    </w:p>
    <w:p>
      <w:pPr>
        <w:spacing w:line="381" w:lineRule="auto" w:before="46"/>
        <w:ind w:left="153" w:right="693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三、股东和实际控制人情况" w:id="81"/>
      <w:bookmarkEnd w:id="81"/>
      <w:r>
        <w:rPr>
          <w:rFonts w:ascii="宋体" w:hAnsi="宋体" w:cs="宋体" w:eastAsia="宋体" w:hint="default"/>
          <w:sz w:val="21"/>
          <w:szCs w:val="21"/>
        </w:rPr>
      </w:r>
      <w:r>
        <w:rPr>
          <w:rFonts w:ascii="宋体" w:hAnsi="宋体" w:cs="宋体" w:eastAsia="宋体" w:hint="default"/>
          <w:b/>
          <w:bCs/>
          <w:w w:val="95"/>
          <w:sz w:val="24"/>
          <w:szCs w:val="24"/>
        </w:rPr>
        <w:t>三、股东和实际控制人情况</w:t>
      </w:r>
      <w:r>
        <w:rPr>
          <w:rFonts w:ascii="宋体" w:hAnsi="宋体" w:cs="宋体" w:eastAsia="宋体" w:hint="default"/>
          <w:b/>
          <w:bCs/>
          <w:spacing w:val="18"/>
          <w:w w:val="95"/>
          <w:sz w:val="24"/>
          <w:szCs w:val="24"/>
        </w:rPr>
        <w:t> </w:t>
      </w:r>
      <w:bookmarkStart w:name="1、公司股东数量及持股情况" w:id="82"/>
      <w:bookmarkEnd w:id="82"/>
      <w:r>
        <w:rPr>
          <w:rFonts w:ascii="宋体" w:hAnsi="宋体" w:cs="宋体" w:eastAsia="宋体" w:hint="default"/>
          <w:b/>
          <w:bCs/>
          <w:spacing w:val="18"/>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5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419"/>
        <w:gridCol w:w="1265"/>
        <w:gridCol w:w="152"/>
        <w:gridCol w:w="851"/>
        <w:gridCol w:w="860"/>
        <w:gridCol w:w="131"/>
        <w:gridCol w:w="1134"/>
        <w:gridCol w:w="992"/>
        <w:gridCol w:w="1134"/>
        <w:gridCol w:w="131"/>
        <w:gridCol w:w="436"/>
        <w:gridCol w:w="1061"/>
      </w:tblGrid>
      <w:tr>
        <w:trPr>
          <w:trHeight w:val="427" w:hRule="exact"/>
        </w:trPr>
        <w:tc>
          <w:tcPr>
            <w:tcW w:w="2685" w:type="dxa"/>
            <w:gridSpan w:val="2"/>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863" w:type="dxa"/>
            <w:gridSpan w:val="3"/>
            <w:tcBorders>
              <w:top w:val="single" w:sz="12" w:space="0" w:color="000000"/>
              <w:left w:val="single" w:sz="14" w:space="0" w:color="D2D2D2"/>
              <w:bottom w:val="single" w:sz="7" w:space="0" w:color="000000"/>
              <w:right w:val="single" w:sz="8" w:space="0" w:color="D2D2D2"/>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5,806</w:t>
            </w:r>
          </w:p>
        </w:tc>
        <w:tc>
          <w:tcPr>
            <w:tcW w:w="3524"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个交易日末股东总数</w:t>
            </w:r>
          </w:p>
        </w:tc>
        <w:tc>
          <w:tcPr>
            <w:tcW w:w="1498" w:type="dxa"/>
            <w:gridSpan w:val="2"/>
            <w:tcBorders>
              <w:top w:val="single" w:sz="12" w:space="0" w:color="000000"/>
              <w:left w:val="single" w:sz="9" w:space="0" w:color="D2D2D2"/>
              <w:bottom w:val="single" w:sz="7"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4,974</w:t>
            </w:r>
          </w:p>
        </w:tc>
      </w:tr>
      <w:tr>
        <w:trPr>
          <w:trHeight w:val="401" w:hRule="exact"/>
        </w:trPr>
        <w:tc>
          <w:tcPr>
            <w:tcW w:w="9569"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以上的股东持股情况</w:t>
            </w:r>
          </w:p>
        </w:tc>
      </w:tr>
      <w:tr>
        <w:trPr>
          <w:trHeight w:val="215" w:hRule="exact"/>
        </w:trPr>
        <w:tc>
          <w:tcPr>
            <w:tcW w:w="1419" w:type="dxa"/>
            <w:vMerge w:val="restart"/>
            <w:tcBorders>
              <w:top w:val="single" w:sz="6" w:space="0" w:color="000000"/>
              <w:left w:val="single" w:sz="12" w:space="0" w:color="000000"/>
              <w:right w:val="single" w:sz="6" w:space="0" w:color="000000"/>
            </w:tcBorders>
            <w:shd w:val="clear" w:color="auto" w:fill="D2D2D2"/>
          </w:tcPr>
          <w:p>
            <w:pPr/>
          </w:p>
        </w:tc>
        <w:tc>
          <w:tcPr>
            <w:tcW w:w="1417" w:type="dxa"/>
            <w:gridSpan w:val="2"/>
            <w:vMerge w:val="restart"/>
            <w:tcBorders>
              <w:top w:val="single" w:sz="6" w:space="0" w:color="000000"/>
              <w:left w:val="single" w:sz="6" w:space="0" w:color="000000"/>
              <w:right w:val="single" w:sz="6" w:space="0" w:color="000000"/>
            </w:tcBorders>
            <w:shd w:val="clear" w:color="auto" w:fill="D2D2D2"/>
          </w:tcPr>
          <w:p>
            <w:pPr/>
          </w:p>
        </w:tc>
        <w:tc>
          <w:tcPr>
            <w:tcW w:w="851" w:type="dxa"/>
            <w:vMerge w:val="restart"/>
            <w:tcBorders>
              <w:top w:val="single" w:sz="6" w:space="0" w:color="000000"/>
              <w:left w:val="single" w:sz="6" w:space="0" w:color="000000"/>
              <w:right w:val="single" w:sz="6" w:space="0" w:color="000000"/>
            </w:tcBorders>
            <w:shd w:val="clear" w:color="auto" w:fill="D2D2D2"/>
          </w:tcPr>
          <w:p>
            <w:pPr/>
          </w:p>
        </w:tc>
        <w:tc>
          <w:tcPr>
            <w:tcW w:w="992"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tcBorders>
              <w:top w:val="single" w:sz="6" w:space="0" w:color="000000"/>
              <w:left w:val="single" w:sz="6" w:space="0" w:color="000000"/>
              <w:bottom w:val="nil" w:sz="6" w:space="0" w:color="auto"/>
              <w:right w:val="single" w:sz="6" w:space="0" w:color="000000"/>
            </w:tcBorders>
            <w:shd w:val="clear" w:color="auto" w:fill="D2D2D2"/>
          </w:tcPr>
          <w:p>
            <w:pPr/>
          </w:p>
        </w:tc>
        <w:tc>
          <w:tcPr>
            <w:tcW w:w="992"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103"/>
              <w:ind w:left="39" w:right="36"/>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103"/>
              <w:ind w:left="109" w:right="10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29" w:type="dxa"/>
            <w:gridSpan w:val="3"/>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6"/>
              <w:ind w:left="17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7" w:hRule="exact"/>
        </w:trPr>
        <w:tc>
          <w:tcPr>
            <w:tcW w:w="1419" w:type="dxa"/>
            <w:vMerge/>
            <w:tcBorders>
              <w:left w:val="single" w:sz="12" w:space="0" w:color="000000"/>
              <w:bottom w:val="nil" w:sz="6" w:space="0" w:color="auto"/>
              <w:right w:val="single" w:sz="6" w:space="0" w:color="000000"/>
            </w:tcBorders>
            <w:shd w:val="clear" w:color="auto" w:fill="D2D2D2"/>
          </w:tcPr>
          <w:p>
            <w:pPr/>
          </w:p>
        </w:tc>
        <w:tc>
          <w:tcPr>
            <w:tcW w:w="1417" w:type="dxa"/>
            <w:gridSpan w:val="2"/>
            <w:vMerge/>
            <w:tcBorders>
              <w:left w:val="single" w:sz="6" w:space="0" w:color="000000"/>
              <w:bottom w:val="nil" w:sz="6" w:space="0" w:color="auto"/>
              <w:right w:val="single" w:sz="6" w:space="0" w:color="000000"/>
            </w:tcBorders>
            <w:shd w:val="clear" w:color="auto" w:fill="D2D2D2"/>
          </w:tcPr>
          <w:p>
            <w:pPr/>
          </w:p>
        </w:tc>
        <w:tc>
          <w:tcPr>
            <w:tcW w:w="851" w:type="dxa"/>
            <w:vMerge/>
            <w:tcBorders>
              <w:left w:val="single" w:sz="6" w:space="0" w:color="000000"/>
              <w:bottom w:val="nil" w:sz="6" w:space="0" w:color="auto"/>
              <w:right w:val="single" w:sz="6" w:space="0" w:color="000000"/>
            </w:tcBorders>
            <w:shd w:val="clear" w:color="auto" w:fill="D2D2D2"/>
          </w:tcPr>
          <w:p>
            <w:pPr/>
          </w:p>
        </w:tc>
        <w:tc>
          <w:tcPr>
            <w:tcW w:w="992"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51"/>
              <w:ind w:left="218" w:right="36"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51"/>
              <w:ind w:left="110" w:right="107"/>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2"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1629" w:type="dxa"/>
            <w:gridSpan w:val="3"/>
            <w:vMerge/>
            <w:tcBorders>
              <w:left w:val="single" w:sz="6" w:space="0" w:color="000000"/>
              <w:bottom w:val="single" w:sz="6" w:space="0" w:color="000000"/>
              <w:right w:val="single" w:sz="12" w:space="0" w:color="000000"/>
            </w:tcBorders>
            <w:shd w:val="clear" w:color="auto" w:fill="D2D2D2"/>
          </w:tcPr>
          <w:p>
            <w:pPr/>
          </w:p>
        </w:tc>
      </w:tr>
      <w:tr>
        <w:trPr>
          <w:trHeight w:val="185" w:hRule="exact"/>
        </w:trPr>
        <w:tc>
          <w:tcPr>
            <w:tcW w:w="1419"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30"/>
              <w:ind w:left="33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0"/>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0"/>
              <w:ind w:left="5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2" w:type="dxa"/>
            <w:gridSpan w:val="2"/>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992"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568"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73"/>
              <w:ind w:left="95" w:right="95"/>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61" w:type="dxa"/>
            <w:tcBorders>
              <w:top w:val="single" w:sz="6" w:space="0" w:color="000000"/>
              <w:left w:val="single" w:sz="6" w:space="0" w:color="000000"/>
              <w:bottom w:val="nil" w:sz="6" w:space="0" w:color="auto"/>
              <w:right w:val="single" w:sz="12" w:space="0" w:color="000000"/>
            </w:tcBorders>
            <w:shd w:val="clear" w:color="auto" w:fill="D2D2D2"/>
          </w:tcPr>
          <w:p>
            <w:pPr/>
          </w:p>
        </w:tc>
      </w:tr>
      <w:tr>
        <w:trPr>
          <w:trHeight w:val="186" w:hRule="exact"/>
        </w:trPr>
        <w:tc>
          <w:tcPr>
            <w:tcW w:w="1419" w:type="dxa"/>
            <w:vMerge/>
            <w:tcBorders>
              <w:left w:val="single" w:sz="12" w:space="0" w:color="000000"/>
              <w:bottom w:val="nil" w:sz="6" w:space="0" w:color="auto"/>
              <w:right w:val="single" w:sz="6" w:space="0" w:color="000000"/>
            </w:tcBorders>
            <w:shd w:val="clear" w:color="auto" w:fill="D2D2D2"/>
          </w:tcPr>
          <w:p>
            <w:pPr/>
          </w:p>
        </w:tc>
        <w:tc>
          <w:tcPr>
            <w:tcW w:w="1417" w:type="dxa"/>
            <w:gridSpan w:val="2"/>
            <w:vMerge/>
            <w:tcBorders>
              <w:left w:val="single" w:sz="6" w:space="0" w:color="000000"/>
              <w:bottom w:val="nil" w:sz="6" w:space="0" w:color="auto"/>
              <w:right w:val="single" w:sz="6" w:space="0" w:color="000000"/>
            </w:tcBorders>
            <w:shd w:val="clear" w:color="auto" w:fill="D2D2D2"/>
          </w:tcPr>
          <w:p>
            <w:pPr/>
          </w:p>
        </w:tc>
        <w:tc>
          <w:tcPr>
            <w:tcW w:w="851" w:type="dxa"/>
            <w:vMerge/>
            <w:tcBorders>
              <w:left w:val="single" w:sz="6" w:space="0" w:color="000000"/>
              <w:bottom w:val="nil" w:sz="6" w:space="0" w:color="auto"/>
              <w:right w:val="single" w:sz="6" w:space="0" w:color="000000"/>
            </w:tcBorders>
            <w:shd w:val="clear" w:color="auto" w:fill="D2D2D2"/>
          </w:tcPr>
          <w:p>
            <w:pPr/>
          </w:p>
        </w:tc>
        <w:tc>
          <w:tcPr>
            <w:tcW w:w="992" w:type="dxa"/>
            <w:gridSpan w:val="2"/>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992"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568" w:type="dxa"/>
            <w:gridSpan w:val="2"/>
            <w:vMerge/>
            <w:tcBorders>
              <w:left w:val="single" w:sz="6" w:space="0" w:color="000000"/>
              <w:right w:val="single" w:sz="6" w:space="0" w:color="000000"/>
            </w:tcBorders>
            <w:shd w:val="clear" w:color="auto" w:fill="D2D2D2"/>
          </w:tcPr>
          <w:p>
            <w:pPr/>
          </w:p>
        </w:tc>
        <w:tc>
          <w:tcPr>
            <w:tcW w:w="1061"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1" w:hRule="exact"/>
        </w:trPr>
        <w:tc>
          <w:tcPr>
            <w:tcW w:w="1419" w:type="dxa"/>
            <w:vMerge w:val="restart"/>
            <w:tcBorders>
              <w:top w:val="nil" w:sz="6" w:space="0" w:color="auto"/>
              <w:left w:val="single" w:sz="12" w:space="0" w:color="000000"/>
              <w:right w:val="single" w:sz="6" w:space="0" w:color="000000"/>
            </w:tcBorders>
            <w:shd w:val="clear" w:color="auto" w:fill="D2D2D2"/>
          </w:tcPr>
          <w:p>
            <w:pPr/>
          </w:p>
        </w:tc>
        <w:tc>
          <w:tcPr>
            <w:tcW w:w="1417" w:type="dxa"/>
            <w:gridSpan w:val="2"/>
            <w:vMerge w:val="restart"/>
            <w:tcBorders>
              <w:top w:val="nil" w:sz="6" w:space="0" w:color="auto"/>
              <w:left w:val="single" w:sz="6" w:space="0" w:color="000000"/>
              <w:right w:val="single" w:sz="6" w:space="0" w:color="000000"/>
            </w:tcBorders>
            <w:shd w:val="clear" w:color="auto" w:fill="D2D2D2"/>
          </w:tcPr>
          <w:p>
            <w:pPr/>
          </w:p>
        </w:tc>
        <w:tc>
          <w:tcPr>
            <w:tcW w:w="851" w:type="dxa"/>
            <w:vMerge w:val="restart"/>
            <w:tcBorders>
              <w:top w:val="nil" w:sz="6" w:space="0" w:color="auto"/>
              <w:left w:val="single" w:sz="6" w:space="0" w:color="000000"/>
              <w:right w:val="single" w:sz="6" w:space="0" w:color="000000"/>
            </w:tcBorders>
            <w:shd w:val="clear" w:color="auto" w:fill="D2D2D2"/>
          </w:tcPr>
          <w:p>
            <w:pPr/>
          </w:p>
        </w:tc>
        <w:tc>
          <w:tcPr>
            <w:tcW w:w="992" w:type="dxa"/>
            <w:gridSpan w:val="2"/>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992"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568" w:type="dxa"/>
            <w:gridSpan w:val="2"/>
            <w:vMerge/>
            <w:tcBorders>
              <w:left w:val="single" w:sz="6" w:space="0" w:color="000000"/>
              <w:right w:val="single" w:sz="6" w:space="0" w:color="000000"/>
            </w:tcBorders>
            <w:shd w:val="clear" w:color="auto" w:fill="D2D2D2"/>
          </w:tcPr>
          <w:p>
            <w:pPr/>
          </w:p>
        </w:tc>
        <w:tc>
          <w:tcPr>
            <w:tcW w:w="1061" w:type="dxa"/>
            <w:vMerge/>
            <w:tcBorders>
              <w:left w:val="single" w:sz="6" w:space="0" w:color="000000"/>
              <w:bottom w:val="nil" w:sz="6" w:space="0" w:color="auto"/>
              <w:right w:val="single" w:sz="12" w:space="0" w:color="000000"/>
            </w:tcBorders>
            <w:shd w:val="clear" w:color="auto" w:fill="D2D2D2"/>
          </w:tcPr>
          <w:p>
            <w:pPr/>
          </w:p>
        </w:tc>
      </w:tr>
      <w:tr>
        <w:trPr>
          <w:trHeight w:val="188" w:hRule="exact"/>
        </w:trPr>
        <w:tc>
          <w:tcPr>
            <w:tcW w:w="1419" w:type="dxa"/>
            <w:vMerge/>
            <w:tcBorders>
              <w:left w:val="single" w:sz="12" w:space="0" w:color="000000"/>
              <w:bottom w:val="single" w:sz="6" w:space="0" w:color="000000"/>
              <w:right w:val="single" w:sz="6" w:space="0" w:color="000000"/>
            </w:tcBorders>
            <w:shd w:val="clear" w:color="auto" w:fill="D2D2D2"/>
          </w:tcPr>
          <w:p>
            <w:pPr/>
          </w:p>
        </w:tc>
        <w:tc>
          <w:tcPr>
            <w:tcW w:w="1417" w:type="dxa"/>
            <w:gridSpan w:val="2"/>
            <w:vMerge/>
            <w:tcBorders>
              <w:left w:val="single" w:sz="6" w:space="0" w:color="000000"/>
              <w:bottom w:val="single" w:sz="6" w:space="0" w:color="000000"/>
              <w:right w:val="single" w:sz="6" w:space="0" w:color="000000"/>
            </w:tcBorders>
            <w:shd w:val="clear" w:color="auto" w:fill="D2D2D2"/>
          </w:tcPr>
          <w:p>
            <w:pPr/>
          </w:p>
        </w:tc>
        <w:tc>
          <w:tcPr>
            <w:tcW w:w="851" w:type="dxa"/>
            <w:vMerge/>
            <w:tcBorders>
              <w:left w:val="single" w:sz="6" w:space="0" w:color="000000"/>
              <w:bottom w:val="single" w:sz="6" w:space="0" w:color="000000"/>
              <w:right w:val="single" w:sz="6" w:space="0" w:color="000000"/>
            </w:tcBorders>
            <w:shd w:val="clear" w:color="auto" w:fill="D2D2D2"/>
          </w:tcPr>
          <w:p>
            <w:pPr/>
          </w:p>
        </w:tc>
        <w:tc>
          <w:tcPr>
            <w:tcW w:w="992"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134" w:type="dxa"/>
            <w:tcBorders>
              <w:top w:val="nil" w:sz="6" w:space="0" w:color="auto"/>
              <w:left w:val="single" w:sz="6" w:space="0" w:color="000000"/>
              <w:bottom w:val="single" w:sz="6" w:space="0" w:color="000000"/>
              <w:right w:val="single" w:sz="6" w:space="0" w:color="000000"/>
            </w:tcBorders>
            <w:shd w:val="clear" w:color="auto" w:fill="D2D2D2"/>
          </w:tcPr>
          <w:p>
            <w:pPr/>
          </w:p>
        </w:tc>
        <w:tc>
          <w:tcPr>
            <w:tcW w:w="992"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568" w:type="dxa"/>
            <w:gridSpan w:val="2"/>
            <w:vMerge/>
            <w:tcBorders>
              <w:left w:val="single" w:sz="6" w:space="0" w:color="000000"/>
              <w:bottom w:val="single" w:sz="6" w:space="0" w:color="000000"/>
              <w:right w:val="single" w:sz="6" w:space="0" w:color="000000"/>
            </w:tcBorders>
            <w:shd w:val="clear" w:color="auto" w:fill="D2D2D2"/>
          </w:tcPr>
          <w:p>
            <w:pPr/>
          </w:p>
        </w:tc>
        <w:tc>
          <w:tcPr>
            <w:tcW w:w="1061"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719"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63" w:right="71"/>
              <w:jc w:val="left"/>
              <w:rPr>
                <w:rFonts w:ascii="宋体" w:hAnsi="宋体" w:cs="宋体" w:eastAsia="宋体" w:hint="default"/>
                <w:sz w:val="18"/>
                <w:szCs w:val="18"/>
              </w:rPr>
            </w:pPr>
            <w:r>
              <w:rPr>
                <w:rFonts w:ascii="宋体" w:hAnsi="宋体" w:cs="宋体" w:eastAsia="宋体" w:hint="default"/>
                <w:sz w:val="18"/>
                <w:szCs w:val="18"/>
              </w:rPr>
              <w:t>江苏光一投资管 理有限责任公司</w:t>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32.77%</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sz w:val="18"/>
              </w:rPr>
              <w:t>42,600,000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26" w:space="0" w:color="D2D2D2"/>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8"/>
                <w:szCs w:val="18"/>
              </w:rPr>
            </w:pPr>
            <w:r>
              <w:rPr>
                <w:rFonts w:ascii="宋体"/>
                <w:sz w:val="18"/>
              </w:rPr>
              <w:t>42,600,000</w:t>
            </w:r>
          </w:p>
        </w:tc>
        <w:tc>
          <w:tcPr>
            <w:tcW w:w="1134" w:type="dxa"/>
            <w:tcBorders>
              <w:top w:val="single" w:sz="26" w:space="0" w:color="D2D2D2"/>
              <w:left w:val="single" w:sz="6" w:space="0" w:color="000000"/>
              <w:bottom w:val="single" w:sz="6" w:space="0" w:color="000000"/>
              <w:right w:val="single" w:sz="6" w:space="0" w:color="000000"/>
            </w:tcBorders>
          </w:tcPr>
          <w:p>
            <w:pPr/>
          </w:p>
        </w:tc>
        <w:tc>
          <w:tcPr>
            <w:tcW w:w="5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sz w:val="18"/>
              </w:rPr>
              <w:t>25,010,000</w:t>
            </w:r>
          </w:p>
        </w:tc>
      </w:tr>
      <w:tr>
        <w:trPr>
          <w:trHeight w:val="412"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right="9"/>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11.50%</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56" w:right="0"/>
              <w:jc w:val="left"/>
              <w:rPr>
                <w:rFonts w:ascii="宋体" w:hAnsi="宋体" w:cs="宋体" w:eastAsia="宋体" w:hint="default"/>
                <w:sz w:val="18"/>
                <w:szCs w:val="18"/>
              </w:rPr>
            </w:pPr>
            <w:r>
              <w:rPr>
                <w:rFonts w:ascii="宋体"/>
                <w:sz w:val="18"/>
              </w:rPr>
              <w:t>14,953,500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14,953,500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gridSpan w:val="2"/>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3"/>
              <w:ind w:left="243" w:right="71" w:hanging="180"/>
              <w:jc w:val="left"/>
              <w:rPr>
                <w:rFonts w:ascii="宋体" w:hAnsi="宋体" w:cs="宋体" w:eastAsia="宋体" w:hint="default"/>
                <w:sz w:val="18"/>
                <w:szCs w:val="18"/>
              </w:rPr>
            </w:pPr>
            <w:r>
              <w:rPr>
                <w:rFonts w:ascii="宋体" w:hAnsi="宋体" w:cs="宋体" w:eastAsia="宋体" w:hint="default"/>
                <w:sz w:val="18"/>
                <w:szCs w:val="18"/>
              </w:rPr>
              <w:t>北京华康瑞宏投 资有限公司</w:t>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2.85%</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sz w:val="18"/>
              </w:rPr>
              <w:t>3,700,000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sz w:val="18"/>
              </w:rPr>
              <w:t>-6,400,000</w:t>
            </w:r>
          </w:p>
        </w:tc>
        <w:tc>
          <w:tcPr>
            <w:tcW w:w="99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3,700,000</w:t>
            </w:r>
          </w:p>
        </w:tc>
        <w:tc>
          <w:tcPr>
            <w:tcW w:w="568" w:type="dxa"/>
            <w:gridSpan w:val="2"/>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421" w:hRule="exact"/>
        </w:trPr>
        <w:tc>
          <w:tcPr>
            <w:tcW w:w="141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5"/>
              <w:ind w:right="9"/>
              <w:jc w:val="center"/>
              <w:rPr>
                <w:rFonts w:ascii="宋体" w:hAnsi="宋体" w:cs="宋体" w:eastAsia="宋体" w:hint="default"/>
                <w:sz w:val="18"/>
                <w:szCs w:val="18"/>
              </w:rPr>
            </w:pPr>
            <w:r>
              <w:rPr>
                <w:rFonts w:ascii="宋体" w:hAnsi="宋体" w:cs="宋体" w:eastAsia="宋体" w:hint="default"/>
                <w:sz w:val="18"/>
                <w:szCs w:val="18"/>
              </w:rPr>
              <w:t>徐一宁</w:t>
            </w:r>
          </w:p>
        </w:tc>
        <w:tc>
          <w:tcPr>
            <w:tcW w:w="141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2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2.16%</w:t>
            </w:r>
          </w:p>
        </w:tc>
        <w:tc>
          <w:tcPr>
            <w:tcW w:w="99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146" w:right="0"/>
              <w:jc w:val="left"/>
              <w:rPr>
                <w:rFonts w:ascii="宋体" w:hAnsi="宋体" w:cs="宋体" w:eastAsia="宋体" w:hint="default"/>
                <w:sz w:val="18"/>
                <w:szCs w:val="18"/>
              </w:rPr>
            </w:pPr>
            <w:r>
              <w:rPr>
                <w:rFonts w:ascii="宋体"/>
                <w:sz w:val="18"/>
              </w:rPr>
              <w:t>2,806,500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21" w:right="0"/>
              <w:jc w:val="left"/>
              <w:rPr>
                <w:rFonts w:ascii="宋体" w:hAnsi="宋体" w:cs="宋体" w:eastAsia="宋体" w:hint="default"/>
                <w:sz w:val="18"/>
                <w:szCs w:val="18"/>
              </w:rPr>
            </w:pPr>
            <w:r>
              <w:rPr>
                <w:rFonts w:ascii="宋体"/>
                <w:sz w:val="18"/>
              </w:rPr>
              <w:t>-48,500</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2,141,250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19"/>
              <w:jc w:val="right"/>
              <w:rPr>
                <w:rFonts w:ascii="宋体" w:hAnsi="宋体" w:cs="宋体" w:eastAsia="宋体" w:hint="default"/>
                <w:sz w:val="18"/>
                <w:szCs w:val="18"/>
              </w:rPr>
            </w:pPr>
            <w:r>
              <w:rPr>
                <w:rFonts w:ascii="宋体"/>
                <w:sz w:val="18"/>
              </w:rPr>
              <w:t>665,250</w:t>
            </w:r>
          </w:p>
        </w:tc>
        <w:tc>
          <w:tcPr>
            <w:tcW w:w="568" w:type="dxa"/>
            <w:gridSpan w:val="2"/>
            <w:tcBorders>
              <w:top w:val="single" w:sz="6" w:space="0" w:color="000000"/>
              <w:left w:val="single" w:sz="6" w:space="0" w:color="000000"/>
              <w:bottom w:val="single" w:sz="12" w:space="0" w:color="000000"/>
              <w:right w:val="single" w:sz="6" w:space="0" w:color="000000"/>
            </w:tcBorders>
          </w:tcPr>
          <w:p>
            <w:pPr/>
          </w:p>
        </w:tc>
        <w:tc>
          <w:tcPr>
            <w:tcW w:w="106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419"/>
        <w:gridCol w:w="1417"/>
        <w:gridCol w:w="851"/>
        <w:gridCol w:w="992"/>
        <w:gridCol w:w="1134"/>
        <w:gridCol w:w="988"/>
        <w:gridCol w:w="1139"/>
        <w:gridCol w:w="245"/>
        <w:gridCol w:w="323"/>
        <w:gridCol w:w="1061"/>
      </w:tblGrid>
      <w:tr>
        <w:trPr>
          <w:trHeight w:val="1663" w:hRule="exact"/>
        </w:trPr>
        <w:tc>
          <w:tcPr>
            <w:tcW w:w="1419" w:type="dxa"/>
            <w:tcBorders>
              <w:top w:val="single" w:sz="12" w:space="0" w:color="000000"/>
              <w:left w:val="single" w:sz="12" w:space="0" w:color="000000"/>
              <w:bottom w:val="single" w:sz="6" w:space="0" w:color="000000"/>
              <w:right w:val="single" w:sz="6" w:space="0" w:color="000000"/>
            </w:tcBorders>
          </w:tcPr>
          <w:p>
            <w:pPr>
              <w:pStyle w:val="TableParagraph"/>
              <w:spacing w:line="319" w:lineRule="auto" w:before="51"/>
              <w:ind w:left="63" w:right="71"/>
              <w:jc w:val="center"/>
              <w:rPr>
                <w:rFonts w:ascii="宋体" w:hAnsi="宋体" w:cs="宋体" w:eastAsia="宋体" w:hint="default"/>
                <w:sz w:val="18"/>
                <w:szCs w:val="18"/>
              </w:rPr>
            </w:pPr>
            <w:r>
              <w:rPr>
                <w:rFonts w:ascii="宋体" w:hAnsi="宋体" w:cs="宋体" w:eastAsia="宋体" w:hint="default"/>
                <w:sz w:val="18"/>
                <w:szCs w:val="18"/>
              </w:rPr>
              <w:t>中国工商银行股 份有限公司－富 国天惠精选成长 混合型证券投资 基金（</w:t>
            </w:r>
            <w:r>
              <w:rPr>
                <w:rFonts w:ascii="宋体" w:hAnsi="宋体" w:cs="宋体" w:eastAsia="宋体" w:hint="default"/>
                <w:sz w:val="18"/>
                <w:szCs w:val="18"/>
              </w:rPr>
              <w:t>LOF</w:t>
            </w:r>
            <w:r>
              <w:rPr>
                <w:rFonts w:ascii="宋体" w:hAnsi="宋体" w:cs="宋体" w:eastAsia="宋体" w:hint="default"/>
                <w:sz w:val="18"/>
                <w:szCs w:val="18"/>
              </w:rPr>
              <w:t>）</w:t>
            </w: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2.08%</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2,702,500</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sz w:val="18"/>
              </w:rPr>
              <w:t>2,702,500</w:t>
            </w:r>
          </w:p>
        </w:tc>
        <w:tc>
          <w:tcPr>
            <w:tcW w:w="988" w:type="dxa"/>
            <w:tcBorders>
              <w:top w:val="single" w:sz="12" w:space="0" w:color="000000"/>
              <w:left w:val="single" w:sz="6" w:space="0" w:color="000000"/>
              <w:bottom w:val="single" w:sz="6" w:space="0" w:color="000000"/>
              <w:right w:val="single" w:sz="6" w:space="0" w:color="000000"/>
            </w:tcBorders>
          </w:tcPr>
          <w:p>
            <w:pPr/>
          </w:p>
        </w:tc>
        <w:tc>
          <w:tcPr>
            <w:tcW w:w="11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z w:val="18"/>
              </w:rPr>
              <w:t>2,702,500</w:t>
            </w:r>
          </w:p>
        </w:tc>
        <w:tc>
          <w:tcPr>
            <w:tcW w:w="568" w:type="dxa"/>
            <w:gridSpan w:val="2"/>
            <w:tcBorders>
              <w:top w:val="single" w:sz="12" w:space="0" w:color="000000"/>
              <w:left w:val="single" w:sz="6" w:space="0" w:color="000000"/>
              <w:bottom w:val="single" w:sz="6" w:space="0" w:color="000000"/>
              <w:right w:val="single" w:sz="6" w:space="0" w:color="000000"/>
            </w:tcBorders>
          </w:tcPr>
          <w:p>
            <w:pPr/>
          </w:p>
        </w:tc>
        <w:tc>
          <w:tcPr>
            <w:tcW w:w="1061" w:type="dxa"/>
            <w:tcBorders>
              <w:top w:val="single" w:sz="12" w:space="0" w:color="000000"/>
              <w:left w:val="single" w:sz="6" w:space="0" w:color="000000"/>
              <w:bottom w:val="single" w:sz="6" w:space="0" w:color="000000"/>
              <w:right w:val="single" w:sz="12" w:space="0" w:color="000000"/>
            </w:tcBorders>
          </w:tcPr>
          <w:p>
            <w:pPr/>
          </w:p>
        </w:tc>
      </w:tr>
      <w:tr>
        <w:trPr>
          <w:trHeight w:val="1655"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63" w:right="71"/>
              <w:jc w:val="center"/>
              <w:rPr>
                <w:rFonts w:ascii="宋体" w:hAnsi="宋体" w:cs="宋体" w:eastAsia="宋体" w:hint="default"/>
                <w:sz w:val="18"/>
                <w:szCs w:val="18"/>
              </w:rPr>
            </w:pPr>
            <w:r>
              <w:rPr>
                <w:rFonts w:ascii="宋体" w:hAnsi="宋体" w:cs="宋体" w:eastAsia="宋体" w:hint="default"/>
                <w:sz w:val="18"/>
                <w:szCs w:val="18"/>
              </w:rPr>
              <w:t>中国工商银行股 份有限公司－富 国研究精选灵活 配置混合型证券 投资基金</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1.88%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2,449,919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sz w:val="18"/>
              </w:rPr>
              <w:t>2,449,919</w:t>
            </w:r>
          </w:p>
        </w:tc>
        <w:tc>
          <w:tcPr>
            <w:tcW w:w="988"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z w:val="18"/>
              </w:rPr>
              <w:t>2,449,919</w:t>
            </w:r>
          </w:p>
        </w:tc>
        <w:tc>
          <w:tcPr>
            <w:tcW w:w="568" w:type="dxa"/>
            <w:gridSpan w:val="2"/>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333" w:right="71" w:hanging="270"/>
              <w:jc w:val="left"/>
              <w:rPr>
                <w:rFonts w:ascii="宋体" w:hAnsi="宋体" w:cs="宋体" w:eastAsia="宋体" w:hint="default"/>
                <w:sz w:val="18"/>
                <w:szCs w:val="18"/>
              </w:rPr>
            </w:pPr>
            <w:r>
              <w:rPr>
                <w:rFonts w:ascii="宋体" w:hAnsi="宋体" w:cs="宋体" w:eastAsia="宋体" w:hint="default"/>
                <w:sz w:val="18"/>
                <w:szCs w:val="18"/>
              </w:rPr>
              <w:t>全国社保基金一 一四组合</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1.30%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1,695,434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sz w:val="18"/>
              </w:rPr>
              <w:t>1,695,434</w:t>
            </w:r>
          </w:p>
        </w:tc>
        <w:tc>
          <w:tcPr>
            <w:tcW w:w="988"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1,695,434</w:t>
            </w:r>
          </w:p>
        </w:tc>
        <w:tc>
          <w:tcPr>
            <w:tcW w:w="568" w:type="dxa"/>
            <w:gridSpan w:val="2"/>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熊珂</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1.30%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1,687,500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47" w:right="0"/>
              <w:jc w:val="left"/>
              <w:rPr>
                <w:rFonts w:ascii="宋体" w:hAnsi="宋体" w:cs="宋体" w:eastAsia="宋体" w:hint="default"/>
                <w:sz w:val="18"/>
                <w:szCs w:val="18"/>
              </w:rPr>
            </w:pPr>
            <w:r>
              <w:rPr>
                <w:rFonts w:ascii="宋体"/>
                <w:sz w:val="18"/>
              </w:rPr>
              <w:t>1,687,500</w:t>
            </w:r>
          </w:p>
        </w:tc>
        <w:tc>
          <w:tcPr>
            <w:tcW w:w="1139" w:type="dxa"/>
            <w:tcBorders>
              <w:top w:val="single" w:sz="6" w:space="0" w:color="000000"/>
              <w:left w:val="single" w:sz="6" w:space="0" w:color="000000"/>
              <w:bottom w:val="single" w:sz="6" w:space="0" w:color="000000"/>
              <w:right w:val="single" w:sz="6" w:space="0" w:color="000000"/>
            </w:tcBorders>
          </w:tcPr>
          <w:p>
            <w:pPr/>
          </w:p>
        </w:tc>
        <w:tc>
          <w:tcPr>
            <w:tcW w:w="568" w:type="dxa"/>
            <w:gridSpan w:val="2"/>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陈薇</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8"/>
              <w:jc w:val="right"/>
              <w:rPr>
                <w:rFonts w:ascii="宋体" w:hAnsi="宋体" w:cs="宋体" w:eastAsia="宋体" w:hint="default"/>
                <w:sz w:val="18"/>
                <w:szCs w:val="18"/>
              </w:rPr>
            </w:pPr>
            <w:r>
              <w:rPr>
                <w:rFonts w:ascii="宋体"/>
                <w:sz w:val="18"/>
              </w:rPr>
              <w:t>1,520,000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1" w:right="0"/>
              <w:jc w:val="left"/>
              <w:rPr>
                <w:rFonts w:ascii="宋体" w:hAnsi="宋体" w:cs="宋体" w:eastAsia="宋体" w:hint="default"/>
                <w:sz w:val="18"/>
                <w:szCs w:val="18"/>
              </w:rPr>
            </w:pPr>
            <w:r>
              <w:rPr>
                <w:rFonts w:ascii="宋体"/>
                <w:sz w:val="18"/>
              </w:rPr>
              <w:t>1,520,000</w:t>
            </w:r>
          </w:p>
        </w:tc>
        <w:tc>
          <w:tcPr>
            <w:tcW w:w="988"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9"/>
              <w:jc w:val="right"/>
              <w:rPr>
                <w:rFonts w:ascii="宋体" w:hAnsi="宋体" w:cs="宋体" w:eastAsia="宋体" w:hint="default"/>
                <w:sz w:val="18"/>
                <w:szCs w:val="18"/>
              </w:rPr>
            </w:pPr>
            <w:r>
              <w:rPr>
                <w:rFonts w:ascii="宋体"/>
                <w:sz w:val="18"/>
              </w:rPr>
              <w:t>1,520,000</w:t>
            </w:r>
          </w:p>
        </w:tc>
        <w:tc>
          <w:tcPr>
            <w:tcW w:w="568" w:type="dxa"/>
            <w:gridSpan w:val="2"/>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1343"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63" w:right="71"/>
              <w:jc w:val="both"/>
              <w:rPr>
                <w:rFonts w:ascii="宋体" w:hAnsi="宋体" w:cs="宋体" w:eastAsia="宋体" w:hint="default"/>
                <w:sz w:val="18"/>
                <w:szCs w:val="18"/>
              </w:rPr>
            </w:pPr>
            <w:r>
              <w:rPr>
                <w:rFonts w:ascii="宋体" w:hAnsi="宋体" w:cs="宋体" w:eastAsia="宋体" w:hint="default"/>
                <w:sz w:val="18"/>
                <w:szCs w:val="18"/>
              </w:rPr>
              <w:t>中国建设银行股 份有限公司－富 国城镇发展股票 型证券投资基金</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1.04%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8"/>
              <w:jc w:val="right"/>
              <w:rPr>
                <w:rFonts w:ascii="宋体" w:hAnsi="宋体" w:cs="宋体" w:eastAsia="宋体" w:hint="default"/>
                <w:sz w:val="18"/>
                <w:szCs w:val="18"/>
              </w:rPr>
            </w:pPr>
            <w:r>
              <w:rPr>
                <w:rFonts w:ascii="宋体"/>
                <w:sz w:val="18"/>
              </w:rPr>
              <w:t>1,350,028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sz w:val="18"/>
              </w:rPr>
              <w:t>1,350,028</w:t>
            </w:r>
          </w:p>
        </w:tc>
        <w:tc>
          <w:tcPr>
            <w:tcW w:w="988"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宋体" w:hAnsi="宋体" w:cs="宋体" w:eastAsia="宋体" w:hint="default"/>
                <w:sz w:val="18"/>
                <w:szCs w:val="18"/>
              </w:rPr>
            </w:pPr>
            <w:r>
              <w:rPr>
                <w:rFonts w:ascii="宋体"/>
                <w:sz w:val="18"/>
              </w:rPr>
              <w:t>1,350,028</w:t>
            </w:r>
          </w:p>
        </w:tc>
        <w:tc>
          <w:tcPr>
            <w:tcW w:w="568" w:type="dxa"/>
            <w:gridSpan w:val="2"/>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2837"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13" w:right="1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pacing w:val="-16"/>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6732" w:type="dxa"/>
            <w:gridSpan w:val="8"/>
            <w:tcBorders>
              <w:top w:val="single" w:sz="6" w:space="0" w:color="000000"/>
              <w:left w:val="single" w:sz="9" w:space="0" w:color="D2D2D2"/>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21" w:hRule="exact"/>
        </w:trPr>
        <w:tc>
          <w:tcPr>
            <w:tcW w:w="2837" w:type="dxa"/>
            <w:gridSpan w:val="2"/>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13" w:right="9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732" w:type="dxa"/>
            <w:gridSpan w:val="8"/>
            <w:tcBorders>
              <w:top w:val="single" w:sz="6" w:space="0" w:color="000000"/>
              <w:left w:val="single" w:sz="9" w:space="0" w:color="D2D2D2"/>
              <w:bottom w:val="single" w:sz="6" w:space="0" w:color="000000"/>
              <w:right w:val="single" w:sz="12" w:space="0" w:color="000000"/>
            </w:tcBorders>
          </w:tcPr>
          <w:p>
            <w:pPr>
              <w:pStyle w:val="TableParagraph"/>
              <w:spacing w:line="319" w:lineRule="auto" w:before="51"/>
              <w:ind w:left="16" w:right="27" w:firstLine="360"/>
              <w:jc w:val="left"/>
              <w:rPr>
                <w:rFonts w:ascii="宋体" w:hAnsi="宋体" w:cs="宋体" w:eastAsia="宋体" w:hint="default"/>
                <w:sz w:val="18"/>
                <w:szCs w:val="18"/>
              </w:rPr>
            </w:pPr>
            <w:r>
              <w:rPr>
                <w:rFonts w:ascii="宋体" w:hAnsi="宋体" w:cs="宋体" w:eastAsia="宋体" w:hint="default"/>
                <w:sz w:val="18"/>
                <w:szCs w:val="18"/>
              </w:rPr>
              <w:t>公司控股股东光一投资为实际控制人龙昌明先生控制的企业，股东熊珂女士为龙 昌明先生的配偶，其他股东未知是否存在关联关系或一致行动。</w:t>
            </w:r>
          </w:p>
        </w:tc>
      </w:tr>
      <w:tr>
        <w:trPr>
          <w:trHeight w:val="409" w:hRule="exact"/>
        </w:trPr>
        <w:tc>
          <w:tcPr>
            <w:tcW w:w="9569" w:type="dxa"/>
            <w:gridSpan w:val="10"/>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18" w:hRule="exact"/>
        </w:trPr>
        <w:tc>
          <w:tcPr>
            <w:tcW w:w="2837" w:type="dxa"/>
            <w:gridSpan w:val="2"/>
            <w:tcBorders>
              <w:top w:val="single" w:sz="6" w:space="0" w:color="000000"/>
              <w:left w:val="single" w:sz="12" w:space="0" w:color="000000"/>
              <w:bottom w:val="nil" w:sz="6" w:space="0" w:color="auto"/>
              <w:right w:val="single" w:sz="6" w:space="0" w:color="000000"/>
            </w:tcBorders>
            <w:shd w:val="clear" w:color="auto" w:fill="D2D2D2"/>
          </w:tcPr>
          <w:p>
            <w:pPr/>
          </w:p>
        </w:tc>
        <w:tc>
          <w:tcPr>
            <w:tcW w:w="3965" w:type="dxa"/>
            <w:gridSpan w:val="4"/>
            <w:tcBorders>
              <w:top w:val="single" w:sz="6" w:space="0" w:color="000000"/>
              <w:left w:val="single" w:sz="6" w:space="0" w:color="000000"/>
              <w:bottom w:val="nil" w:sz="6" w:space="0" w:color="auto"/>
              <w:right w:val="single" w:sz="6" w:space="0" w:color="000000"/>
            </w:tcBorders>
            <w:shd w:val="clear" w:color="auto" w:fill="D2D2D2"/>
          </w:tcPr>
          <w:p>
            <w:pPr/>
          </w:p>
        </w:tc>
        <w:tc>
          <w:tcPr>
            <w:tcW w:w="2768" w:type="dxa"/>
            <w:gridSpan w:val="4"/>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5"/>
              <w:ind w:left="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837" w:type="dxa"/>
            <w:gridSpan w:val="2"/>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65" w:type="dxa"/>
            <w:gridSpan w:val="4"/>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62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68" w:type="dxa"/>
            <w:gridSpan w:val="4"/>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2837" w:type="dxa"/>
            <w:gridSpan w:val="2"/>
            <w:vMerge/>
            <w:tcBorders>
              <w:left w:val="single" w:sz="12" w:space="0" w:color="000000"/>
              <w:bottom w:val="nil" w:sz="6" w:space="0" w:color="auto"/>
              <w:right w:val="single" w:sz="6" w:space="0" w:color="000000"/>
            </w:tcBorders>
            <w:shd w:val="clear" w:color="auto" w:fill="D2D2D2"/>
          </w:tcPr>
          <w:p>
            <w:pPr/>
          </w:p>
        </w:tc>
        <w:tc>
          <w:tcPr>
            <w:tcW w:w="3965" w:type="dxa"/>
            <w:gridSpan w:val="4"/>
            <w:vMerge/>
            <w:tcBorders>
              <w:left w:val="single" w:sz="6" w:space="0" w:color="000000"/>
              <w:bottom w:val="nil" w:sz="6" w:space="0" w:color="auto"/>
              <w:right w:val="single" w:sz="6" w:space="0" w:color="000000"/>
            </w:tcBorders>
            <w:shd w:val="clear" w:color="auto" w:fill="D2D2D2"/>
          </w:tcPr>
          <w:p>
            <w:pPr/>
          </w:p>
        </w:tc>
        <w:tc>
          <w:tcPr>
            <w:tcW w:w="138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4" w:type="dxa"/>
            <w:gridSpan w:val="2"/>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6" w:hRule="exact"/>
        </w:trPr>
        <w:tc>
          <w:tcPr>
            <w:tcW w:w="2837" w:type="dxa"/>
            <w:gridSpan w:val="2"/>
            <w:tcBorders>
              <w:top w:val="nil" w:sz="6" w:space="0" w:color="auto"/>
              <w:left w:val="single" w:sz="12" w:space="0" w:color="000000"/>
              <w:bottom w:val="single" w:sz="6" w:space="0" w:color="000000"/>
              <w:right w:val="single" w:sz="6" w:space="0" w:color="000000"/>
            </w:tcBorders>
            <w:shd w:val="clear" w:color="auto" w:fill="D2D2D2"/>
          </w:tcPr>
          <w:p>
            <w:pPr/>
          </w:p>
        </w:tc>
        <w:tc>
          <w:tcPr>
            <w:tcW w:w="3965" w:type="dxa"/>
            <w:gridSpan w:val="4"/>
            <w:tcBorders>
              <w:top w:val="nil" w:sz="6" w:space="0" w:color="auto"/>
              <w:left w:val="single" w:sz="6" w:space="0" w:color="000000"/>
              <w:bottom w:val="single" w:sz="6" w:space="0" w:color="000000"/>
              <w:right w:val="single" w:sz="6" w:space="0" w:color="000000"/>
            </w:tcBorders>
            <w:shd w:val="clear" w:color="auto" w:fill="D2D2D2"/>
          </w:tcPr>
          <w:p>
            <w:pPr/>
          </w:p>
        </w:tc>
        <w:tc>
          <w:tcPr>
            <w:tcW w:w="1383" w:type="dxa"/>
            <w:gridSpan w:val="2"/>
            <w:vMerge/>
            <w:tcBorders>
              <w:left w:val="single" w:sz="6" w:space="0" w:color="000000"/>
              <w:bottom w:val="single" w:sz="6" w:space="0" w:color="000000"/>
              <w:right w:val="single" w:sz="6" w:space="0" w:color="000000"/>
            </w:tcBorders>
            <w:shd w:val="clear" w:color="auto" w:fill="D2D2D2"/>
          </w:tcPr>
          <w:p>
            <w:pPr/>
          </w:p>
        </w:tc>
        <w:tc>
          <w:tcPr>
            <w:tcW w:w="1384" w:type="dxa"/>
            <w:gridSpan w:val="2"/>
            <w:vMerge/>
            <w:tcBorders>
              <w:left w:val="single" w:sz="6" w:space="0" w:color="000000"/>
              <w:bottom w:val="single" w:sz="6" w:space="0" w:color="000000"/>
              <w:right w:val="single" w:sz="12" w:space="0" w:color="000000"/>
            </w:tcBorders>
            <w:shd w:val="clear" w:color="auto" w:fill="D2D2D2"/>
          </w:tcPr>
          <w:p>
            <w:pPr/>
          </w:p>
        </w:tc>
      </w:tr>
      <w:tr>
        <w:trPr>
          <w:trHeight w:val="412" w:hRule="exact"/>
        </w:trPr>
        <w:tc>
          <w:tcPr>
            <w:tcW w:w="283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left="322" w:right="0"/>
              <w:jc w:val="left"/>
              <w:rPr>
                <w:rFonts w:ascii="宋体" w:hAnsi="宋体" w:cs="宋体" w:eastAsia="宋体" w:hint="default"/>
                <w:sz w:val="18"/>
                <w:szCs w:val="18"/>
              </w:rPr>
            </w:pPr>
            <w:r>
              <w:rPr>
                <w:rFonts w:ascii="宋体" w:hAnsi="宋体" w:cs="宋体" w:eastAsia="宋体" w:hint="default"/>
                <w:sz w:val="18"/>
                <w:szCs w:val="18"/>
              </w:rPr>
              <w:t>北京华康瑞宏投资有限公司</w:t>
            </w:r>
          </w:p>
        </w:tc>
        <w:tc>
          <w:tcPr>
            <w:tcW w:w="396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宋体" w:hAnsi="宋体" w:cs="宋体" w:eastAsia="宋体" w:hint="default"/>
                <w:sz w:val="18"/>
                <w:szCs w:val="18"/>
              </w:rPr>
            </w:pPr>
            <w:r>
              <w:rPr>
                <w:rFonts w:ascii="宋体"/>
                <w:sz w:val="18"/>
              </w:rPr>
              <w:t>3,700,000</w:t>
            </w:r>
          </w:p>
        </w:tc>
        <w:tc>
          <w:tcPr>
            <w:tcW w:w="1383" w:type="dxa"/>
            <w:gridSpan w:val="2"/>
            <w:tcBorders>
              <w:top w:val="single" w:sz="7" w:space="0" w:color="000000"/>
              <w:left w:val="single" w:sz="6" w:space="0" w:color="000000"/>
              <w:bottom w:val="single" w:sz="6" w:space="0" w:color="000000"/>
              <w:right w:val="single" w:sz="6" w:space="0" w:color="000000"/>
            </w:tcBorders>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gridSpan w:val="2"/>
            <w:tcBorders>
              <w:top w:val="single" w:sz="7" w:space="0" w:color="000000"/>
              <w:left w:val="single" w:sz="6" w:space="0" w:color="000000"/>
              <w:bottom w:val="single" w:sz="6" w:space="0" w:color="000000"/>
              <w:right w:val="single" w:sz="12" w:space="0" w:color="000000"/>
            </w:tcBorders>
          </w:tcPr>
          <w:p>
            <w:pPr>
              <w:pStyle w:val="TableParagraph"/>
              <w:spacing w:line="240" w:lineRule="auto" w:before="53"/>
              <w:ind w:left="539" w:right="0"/>
              <w:jc w:val="left"/>
              <w:rPr>
                <w:rFonts w:ascii="宋体" w:hAnsi="宋体" w:cs="宋体" w:eastAsia="宋体" w:hint="default"/>
                <w:sz w:val="18"/>
                <w:szCs w:val="18"/>
              </w:rPr>
            </w:pPr>
            <w:r>
              <w:rPr>
                <w:rFonts w:ascii="宋体"/>
                <w:sz w:val="18"/>
              </w:rPr>
              <w:t>3,700,000</w:t>
            </w:r>
          </w:p>
        </w:tc>
      </w:tr>
      <w:tr>
        <w:trPr>
          <w:trHeight w:val="1032" w:hRule="exact"/>
        </w:trPr>
        <w:tc>
          <w:tcPr>
            <w:tcW w:w="2837"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52" w:right="59"/>
              <w:jc w:val="center"/>
              <w:rPr>
                <w:rFonts w:ascii="宋体" w:hAnsi="宋体" w:cs="宋体" w:eastAsia="宋体" w:hint="default"/>
                <w:sz w:val="18"/>
                <w:szCs w:val="18"/>
              </w:rPr>
            </w:pPr>
            <w:r>
              <w:rPr>
                <w:rFonts w:ascii="宋体" w:hAnsi="宋体" w:cs="宋体" w:eastAsia="宋体" w:hint="default"/>
                <w:sz w:val="18"/>
                <w:szCs w:val="18"/>
              </w:rPr>
              <w:t>中国工商银行股份有限公司－富国 天惠精选成长混合型证券投资基金</w:t>
            </w:r>
          </w:p>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LOF</w:t>
            </w:r>
            <w:r>
              <w:rPr>
                <w:rFonts w:ascii="宋体" w:hAnsi="宋体" w:cs="宋体" w:eastAsia="宋体" w:hint="default"/>
                <w:sz w:val="18"/>
                <w:szCs w:val="18"/>
              </w:rPr>
              <w:t>）</w:t>
            </w:r>
          </w:p>
        </w:tc>
        <w:tc>
          <w:tcPr>
            <w:tcW w:w="396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宋体" w:hAnsi="宋体" w:cs="宋体" w:eastAsia="宋体" w:hint="default"/>
                <w:sz w:val="18"/>
                <w:szCs w:val="18"/>
              </w:rPr>
            </w:pPr>
            <w:r>
              <w:rPr>
                <w:rFonts w:ascii="宋体"/>
                <w:sz w:val="18"/>
              </w:rPr>
              <w:t>2,702,500</w:t>
            </w:r>
          </w:p>
        </w:tc>
        <w:tc>
          <w:tcPr>
            <w:tcW w:w="1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539" w:right="0"/>
              <w:jc w:val="left"/>
              <w:rPr>
                <w:rFonts w:ascii="宋体" w:hAnsi="宋体" w:cs="宋体" w:eastAsia="宋体" w:hint="default"/>
                <w:sz w:val="18"/>
                <w:szCs w:val="18"/>
              </w:rPr>
            </w:pPr>
            <w:r>
              <w:rPr>
                <w:rFonts w:ascii="宋体"/>
                <w:sz w:val="18"/>
              </w:rPr>
              <w:t>2,702,500</w:t>
            </w:r>
          </w:p>
        </w:tc>
      </w:tr>
      <w:tr>
        <w:trPr>
          <w:trHeight w:val="1031" w:hRule="exact"/>
        </w:trPr>
        <w:tc>
          <w:tcPr>
            <w:tcW w:w="2837"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52" w:right="59"/>
              <w:jc w:val="center"/>
              <w:rPr>
                <w:rFonts w:ascii="宋体" w:hAnsi="宋体" w:cs="宋体" w:eastAsia="宋体" w:hint="default"/>
                <w:sz w:val="18"/>
                <w:szCs w:val="18"/>
              </w:rPr>
            </w:pPr>
            <w:r>
              <w:rPr>
                <w:rFonts w:ascii="宋体" w:hAnsi="宋体" w:cs="宋体" w:eastAsia="宋体" w:hint="default"/>
                <w:sz w:val="18"/>
                <w:szCs w:val="18"/>
              </w:rPr>
              <w:t>中国工商银行股份有限公司－富国 研究精选灵活配置混合型证券投资 基金</w:t>
            </w:r>
          </w:p>
        </w:tc>
        <w:tc>
          <w:tcPr>
            <w:tcW w:w="396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2,449,919</w:t>
            </w:r>
          </w:p>
        </w:tc>
        <w:tc>
          <w:tcPr>
            <w:tcW w:w="1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39" w:right="0"/>
              <w:jc w:val="left"/>
              <w:rPr>
                <w:rFonts w:ascii="宋体" w:hAnsi="宋体" w:cs="宋体" w:eastAsia="宋体" w:hint="default"/>
                <w:sz w:val="18"/>
                <w:szCs w:val="18"/>
              </w:rPr>
            </w:pPr>
            <w:r>
              <w:rPr>
                <w:rFonts w:ascii="宋体"/>
                <w:sz w:val="18"/>
              </w:rPr>
              <w:t>2,449,919</w:t>
            </w:r>
          </w:p>
        </w:tc>
      </w:tr>
      <w:tr>
        <w:trPr>
          <w:trHeight w:val="412" w:hRule="exact"/>
        </w:trPr>
        <w:tc>
          <w:tcPr>
            <w:tcW w:w="283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396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1,695,434</w:t>
            </w:r>
          </w:p>
        </w:tc>
        <w:tc>
          <w:tcPr>
            <w:tcW w:w="1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539" w:right="0"/>
              <w:jc w:val="left"/>
              <w:rPr>
                <w:rFonts w:ascii="宋体" w:hAnsi="宋体" w:cs="宋体" w:eastAsia="宋体" w:hint="default"/>
                <w:sz w:val="18"/>
                <w:szCs w:val="18"/>
              </w:rPr>
            </w:pPr>
            <w:r>
              <w:rPr>
                <w:rFonts w:ascii="宋体"/>
                <w:sz w:val="18"/>
              </w:rPr>
              <w:t>1,695,434</w:t>
            </w:r>
          </w:p>
        </w:tc>
      </w:tr>
      <w:tr>
        <w:trPr>
          <w:trHeight w:val="412" w:hRule="exact"/>
        </w:trPr>
        <w:tc>
          <w:tcPr>
            <w:tcW w:w="283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right="7"/>
              <w:jc w:val="center"/>
              <w:rPr>
                <w:rFonts w:ascii="宋体" w:hAnsi="宋体" w:cs="宋体" w:eastAsia="宋体" w:hint="default"/>
                <w:sz w:val="18"/>
                <w:szCs w:val="18"/>
              </w:rPr>
            </w:pPr>
            <w:r>
              <w:rPr>
                <w:rFonts w:ascii="宋体" w:hAnsi="宋体" w:cs="宋体" w:eastAsia="宋体" w:hint="default"/>
                <w:sz w:val="18"/>
                <w:szCs w:val="18"/>
              </w:rPr>
              <w:t>陈薇</w:t>
            </w:r>
          </w:p>
        </w:tc>
        <w:tc>
          <w:tcPr>
            <w:tcW w:w="396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宋体" w:hAnsi="宋体" w:cs="宋体" w:eastAsia="宋体" w:hint="default"/>
                <w:sz w:val="18"/>
                <w:szCs w:val="18"/>
              </w:rPr>
            </w:pPr>
            <w:r>
              <w:rPr>
                <w:rFonts w:ascii="宋体"/>
                <w:sz w:val="18"/>
              </w:rPr>
              <w:t>1,520,000</w:t>
            </w:r>
          </w:p>
        </w:tc>
        <w:tc>
          <w:tcPr>
            <w:tcW w:w="1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539" w:right="0"/>
              <w:jc w:val="left"/>
              <w:rPr>
                <w:rFonts w:ascii="宋体" w:hAnsi="宋体" w:cs="宋体" w:eastAsia="宋体" w:hint="default"/>
                <w:sz w:val="18"/>
                <w:szCs w:val="18"/>
              </w:rPr>
            </w:pPr>
            <w:r>
              <w:rPr>
                <w:rFonts w:ascii="宋体"/>
                <w:sz w:val="18"/>
              </w:rPr>
              <w:t>1,520,000</w:t>
            </w:r>
          </w:p>
        </w:tc>
      </w:tr>
      <w:tr>
        <w:trPr>
          <w:trHeight w:val="720" w:hRule="exact"/>
        </w:trPr>
        <w:tc>
          <w:tcPr>
            <w:tcW w:w="2837" w:type="dxa"/>
            <w:gridSpan w:val="2"/>
            <w:tcBorders>
              <w:top w:val="single" w:sz="6" w:space="0" w:color="000000"/>
              <w:left w:val="single" w:sz="12" w:space="0" w:color="000000"/>
              <w:bottom w:val="single" w:sz="6" w:space="0" w:color="000000"/>
              <w:right w:val="single" w:sz="6" w:space="0" w:color="000000"/>
            </w:tcBorders>
          </w:tcPr>
          <w:p>
            <w:pPr>
              <w:pStyle w:val="TableParagraph"/>
              <w:spacing w:line="316" w:lineRule="auto" w:before="53"/>
              <w:ind w:left="232" w:right="59" w:hanging="180"/>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 城镇发展股票型证券投资基金</w:t>
            </w:r>
          </w:p>
        </w:tc>
        <w:tc>
          <w:tcPr>
            <w:tcW w:w="396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1,350,028</w:t>
            </w:r>
          </w:p>
        </w:tc>
        <w:tc>
          <w:tcPr>
            <w:tcW w:w="1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39" w:right="0"/>
              <w:jc w:val="left"/>
              <w:rPr>
                <w:rFonts w:ascii="宋体" w:hAnsi="宋体" w:cs="宋体" w:eastAsia="宋体" w:hint="default"/>
                <w:sz w:val="18"/>
                <w:szCs w:val="18"/>
              </w:rPr>
            </w:pPr>
            <w:r>
              <w:rPr>
                <w:rFonts w:ascii="宋体"/>
                <w:sz w:val="18"/>
              </w:rPr>
              <w:t>1,350,028</w:t>
            </w:r>
          </w:p>
        </w:tc>
      </w:tr>
      <w:tr>
        <w:trPr>
          <w:trHeight w:val="419" w:hRule="exact"/>
        </w:trPr>
        <w:tc>
          <w:tcPr>
            <w:tcW w:w="2837"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4"/>
              <w:ind w:left="5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中国建设银行股份有限公司－银河</w:t>
            </w:r>
          </w:p>
        </w:tc>
        <w:tc>
          <w:tcPr>
            <w:tcW w:w="3965" w:type="dxa"/>
            <w:gridSpan w:val="4"/>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1,300,000</w:t>
            </w:r>
          </w:p>
        </w:tc>
        <w:tc>
          <w:tcPr>
            <w:tcW w:w="1383"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left="539" w:right="0"/>
              <w:jc w:val="left"/>
              <w:rPr>
                <w:rFonts w:ascii="宋体" w:hAnsi="宋体" w:cs="宋体" w:eastAsia="宋体" w:hint="default"/>
                <w:sz w:val="18"/>
                <w:szCs w:val="18"/>
              </w:rPr>
            </w:pPr>
            <w:r>
              <w:rPr>
                <w:rFonts w:ascii="宋体"/>
                <w:sz w:val="18"/>
              </w:rPr>
              <w:t>1,300,000</w:t>
            </w:r>
          </w:p>
        </w:tc>
      </w:tr>
    </w:tbl>
    <w:p>
      <w:pPr>
        <w:spacing w:after="0" w:line="240" w:lineRule="auto"/>
        <w:jc w:val="lef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2837"/>
        <w:gridCol w:w="3960"/>
        <w:gridCol w:w="1388"/>
        <w:gridCol w:w="1384"/>
      </w:tblGrid>
      <w:tr>
        <w:trPr>
          <w:trHeight w:val="419" w:hRule="exact"/>
        </w:trPr>
        <w:tc>
          <w:tcPr>
            <w:tcW w:w="283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left="232" w:right="0"/>
              <w:jc w:val="left"/>
              <w:rPr>
                <w:rFonts w:ascii="宋体" w:hAnsi="宋体" w:cs="宋体" w:eastAsia="宋体" w:hint="default"/>
                <w:sz w:val="18"/>
                <w:szCs w:val="18"/>
              </w:rPr>
            </w:pPr>
            <w:r>
              <w:rPr>
                <w:rFonts w:ascii="宋体" w:hAnsi="宋体" w:cs="宋体" w:eastAsia="宋体" w:hint="default"/>
                <w:sz w:val="18"/>
                <w:szCs w:val="18"/>
              </w:rPr>
              <w:t>行业优选股票型证券投资基金</w:t>
            </w:r>
          </w:p>
        </w:tc>
        <w:tc>
          <w:tcPr>
            <w:tcW w:w="3960" w:type="dxa"/>
            <w:tcBorders>
              <w:top w:val="single" w:sz="12" w:space="0" w:color="000000"/>
              <w:left w:val="single" w:sz="6" w:space="0" w:color="000000"/>
              <w:bottom w:val="single" w:sz="6" w:space="0" w:color="000000"/>
              <w:right w:val="single" w:sz="6" w:space="0" w:color="000000"/>
            </w:tcBorders>
          </w:tcPr>
          <w:p>
            <w:pPr/>
          </w:p>
        </w:tc>
        <w:tc>
          <w:tcPr>
            <w:tcW w:w="1388" w:type="dxa"/>
            <w:tcBorders>
              <w:top w:val="single" w:sz="12" w:space="0" w:color="000000"/>
              <w:left w:val="single" w:sz="6" w:space="0" w:color="000000"/>
              <w:bottom w:val="single" w:sz="6" w:space="0" w:color="000000"/>
              <w:right w:val="single" w:sz="6" w:space="0" w:color="000000"/>
            </w:tcBorders>
          </w:tcPr>
          <w:p>
            <w:pPr/>
          </w:p>
        </w:tc>
        <w:tc>
          <w:tcPr>
            <w:tcW w:w="1384" w:type="dxa"/>
            <w:tcBorders>
              <w:top w:val="single" w:sz="12" w:space="0" w:color="000000"/>
              <w:left w:val="single" w:sz="6" w:space="0" w:color="000000"/>
              <w:bottom w:val="single" w:sz="6" w:space="0" w:color="000000"/>
              <w:right w:val="single" w:sz="12" w:space="0" w:color="000000"/>
            </w:tcBorders>
          </w:tcPr>
          <w:p>
            <w:pPr/>
          </w:p>
        </w:tc>
      </w:tr>
      <w:tr>
        <w:trPr>
          <w:trHeight w:val="719"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223" w:right="59" w:hanging="1171"/>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 基金</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1,163,638</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1,163,638</w:t>
            </w:r>
          </w:p>
        </w:tc>
      </w:tr>
      <w:tr>
        <w:trPr>
          <w:trHeight w:val="719"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412" w:right="59" w:hanging="360"/>
              <w:jc w:val="left"/>
              <w:rPr>
                <w:rFonts w:ascii="宋体" w:hAnsi="宋体" w:cs="宋体" w:eastAsia="宋体" w:hint="default"/>
                <w:sz w:val="18"/>
                <w:szCs w:val="18"/>
              </w:rPr>
            </w:pPr>
            <w:r>
              <w:rPr>
                <w:rFonts w:ascii="宋体" w:hAnsi="宋体" w:cs="宋体" w:eastAsia="宋体" w:hint="default"/>
                <w:sz w:val="18"/>
                <w:szCs w:val="18"/>
              </w:rPr>
              <w:t>中信银行股份有限公司－银河主题 策略股票型证券投资基金</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1,000,000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1,000,000</w:t>
            </w:r>
          </w:p>
        </w:tc>
      </w:tr>
      <w:tr>
        <w:trPr>
          <w:trHeight w:val="719"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503" w:right="59" w:hanging="451"/>
              <w:jc w:val="left"/>
              <w:rPr>
                <w:rFonts w:ascii="宋体" w:hAnsi="宋体" w:cs="宋体" w:eastAsia="宋体" w:hint="default"/>
                <w:sz w:val="18"/>
                <w:szCs w:val="18"/>
              </w:rPr>
            </w:pPr>
            <w:r>
              <w:rPr>
                <w:rFonts w:ascii="宋体" w:hAnsi="宋体" w:cs="宋体" w:eastAsia="宋体" w:hint="default"/>
                <w:sz w:val="18"/>
                <w:szCs w:val="18"/>
              </w:rPr>
              <w:t>北京千石创富－浦发银行－千石资 本－清澔资产管理计划</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780,084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780,084</w:t>
            </w:r>
          </w:p>
        </w:tc>
      </w:tr>
      <w:tr>
        <w:trPr>
          <w:trHeight w:val="1351" w:hRule="exact"/>
        </w:trPr>
        <w:tc>
          <w:tcPr>
            <w:tcW w:w="28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名无限售流通股股东之间，以</w:t>
            </w:r>
          </w:p>
          <w:p>
            <w:pPr>
              <w:pStyle w:val="TableParagraph"/>
              <w:spacing w:line="319" w:lineRule="auto" w:before="75"/>
              <w:ind w:left="13" w:right="19"/>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64"/>
                <w:sz w:val="18"/>
                <w:szCs w:val="18"/>
              </w:rPr>
              <w:t> </w:t>
            </w:r>
            <w:r>
              <w:rPr>
                <w:rFonts w:ascii="宋体" w:hAnsi="宋体" w:cs="宋体" w:eastAsia="宋体" w:hint="default"/>
                <w:sz w:val="18"/>
                <w:szCs w:val="18"/>
              </w:rPr>
              <w:t>10</w:t>
            </w:r>
            <w:r>
              <w:rPr>
                <w:rFonts w:ascii="宋体" w:hAnsi="宋体" w:cs="宋体" w:eastAsia="宋体" w:hint="default"/>
                <w:spacing w:val="-6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4"/>
                <w:sz w:val="18"/>
                <w:szCs w:val="18"/>
              </w:rPr>
              <w:t> </w:t>
            </w:r>
            <w:r>
              <w:rPr>
                <w:rFonts w:ascii="宋体" w:hAnsi="宋体" w:cs="宋体" w:eastAsia="宋体" w:hint="default"/>
                <w:sz w:val="18"/>
                <w:szCs w:val="18"/>
              </w:rPr>
              <w:t>10 </w:t>
            </w:r>
            <w:r>
              <w:rPr>
                <w:rFonts w:ascii="宋体" w:hAnsi="宋体" w:cs="宋体" w:eastAsia="宋体" w:hint="default"/>
                <w:sz w:val="18"/>
                <w:szCs w:val="18"/>
              </w:rPr>
              <w:t>名股东之间关联关系或一致行动的 说明</w:t>
            </w:r>
          </w:p>
        </w:tc>
        <w:tc>
          <w:tcPr>
            <w:tcW w:w="6732"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80"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名无限售流通股股东之间，公司未知是否存在关联关系或一致行动；前</w:t>
            </w:r>
            <w:r>
              <w:rPr>
                <w:rFonts w:ascii="宋体" w:hAnsi="宋体" w:cs="宋体" w:eastAsia="宋体" w:hint="default"/>
                <w:spacing w:val="-45"/>
                <w:sz w:val="18"/>
                <w:szCs w:val="18"/>
              </w:rPr>
              <w:t> </w:t>
            </w:r>
            <w:r>
              <w:rPr>
                <w:rFonts w:ascii="宋体" w:hAnsi="宋体" w:cs="宋体" w:eastAsia="宋体" w:hint="default"/>
                <w:sz w:val="18"/>
                <w:szCs w:val="18"/>
              </w:rPr>
              <w:t>10</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名股东之间，公司未知是否存在关联关系或一致行动。</w:t>
            </w:r>
          </w:p>
        </w:tc>
      </w:tr>
    </w:tbl>
    <w:p>
      <w:pPr>
        <w:pStyle w:val="BodyText"/>
        <w:spacing w:line="240" w:lineRule="auto" w:before="63"/>
        <w:ind w:left="154" w:right="0"/>
        <w:jc w:val="left"/>
      </w:pPr>
      <w:r>
        <w:rPr/>
        <w:t>公司股东在报告期内是否进行约定购回交易</w:t>
      </w:r>
    </w:p>
    <w:p>
      <w:pPr>
        <w:spacing w:line="240" w:lineRule="auto" w:before="10"/>
        <w:rPr>
          <w:rFonts w:ascii="宋体" w:hAnsi="宋体" w:cs="宋体" w:eastAsia="宋体" w:hint="default"/>
          <w:sz w:val="14"/>
          <w:szCs w:val="14"/>
        </w:rPr>
      </w:pPr>
    </w:p>
    <w:p>
      <w:pPr>
        <w:spacing w:line="408" w:lineRule="auto" w:before="0"/>
        <w:ind w:left="154" w:right="5782" w:firstLine="0"/>
        <w:jc w:val="left"/>
        <w:rPr>
          <w:rFonts w:ascii="宋体" w:hAnsi="宋体" w:cs="宋体" w:eastAsia="宋体" w:hint="default"/>
          <w:sz w:val="21"/>
          <w:szCs w:val="21"/>
        </w:rPr>
      </w:pPr>
      <w:r>
        <w:rPr>
          <w:rFonts w:ascii="宋体" w:hAnsi="宋体" w:cs="宋体" w:eastAsia="宋体" w:hint="default"/>
          <w:sz w:val="21"/>
          <w:szCs w:val="21"/>
        </w:rPr>
        <w:t>□ 是 √ 否 公司股东在报告期内未进行约定购回交易。 </w:t>
      </w:r>
      <w:bookmarkStart w:name="2、公司控股股东情况" w:id="83"/>
      <w:bookmarkEnd w:id="83"/>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pStyle w:val="BodyText"/>
        <w:spacing w:line="240" w:lineRule="auto"/>
        <w:ind w:left="154" w:right="0"/>
        <w:jc w:val="left"/>
      </w:pPr>
      <w:r>
        <w:rPr/>
        <w:t>法人</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837"/>
        <w:gridCol w:w="1134"/>
        <w:gridCol w:w="1560"/>
        <w:gridCol w:w="1274"/>
        <w:gridCol w:w="1276"/>
        <w:gridCol w:w="1487"/>
      </w:tblGrid>
      <w:tr>
        <w:trPr>
          <w:trHeight w:val="727"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109" w:right="65"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5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8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7"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89"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68251774-3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41" w:right="0"/>
              <w:jc w:val="left"/>
              <w:rPr>
                <w:rFonts w:ascii="宋体" w:hAnsi="宋体" w:cs="宋体" w:eastAsia="宋体" w:hint="default"/>
                <w:sz w:val="18"/>
                <w:szCs w:val="18"/>
              </w:rPr>
            </w:pPr>
            <w:r>
              <w:rPr>
                <w:rFonts w:ascii="宋体"/>
                <w:sz w:val="18"/>
              </w:rPr>
              <w:t>10,000,000</w:t>
            </w:r>
          </w:p>
        </w:tc>
        <w:tc>
          <w:tcPr>
            <w:tcW w:w="1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投资管理</w:t>
            </w:r>
          </w:p>
        </w:tc>
      </w:tr>
      <w:tr>
        <w:trPr>
          <w:trHeight w:val="727" w:hRule="exact"/>
        </w:trPr>
        <w:tc>
          <w:tcPr>
            <w:tcW w:w="283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2"/>
              <w:ind w:left="13" w:right="99"/>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控股股东报告期内控股和参股的其 他境内外上市公司的股权情况</w:t>
            </w:r>
          </w:p>
        </w:tc>
        <w:tc>
          <w:tcPr>
            <w:tcW w:w="6732"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3"/>
        <w:ind w:left="154" w:right="0"/>
        <w:jc w:val="left"/>
      </w:pPr>
      <w:r>
        <w:rPr/>
        <w:t>控股股东报告期内变更</w:t>
      </w:r>
    </w:p>
    <w:p>
      <w:pPr>
        <w:spacing w:line="240" w:lineRule="auto" w:before="10"/>
        <w:rPr>
          <w:rFonts w:ascii="宋体" w:hAnsi="宋体" w:cs="宋体" w:eastAsia="宋体" w:hint="default"/>
          <w:sz w:val="14"/>
          <w:szCs w:val="14"/>
        </w:rPr>
      </w:pPr>
    </w:p>
    <w:p>
      <w:pPr>
        <w:spacing w:line="408" w:lineRule="auto" w:before="0"/>
        <w:ind w:left="154" w:right="662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公司报告期控股股东未发生变更。 </w:t>
      </w:r>
      <w:bookmarkStart w:name="3、公司实际控制人情况" w:id="84"/>
      <w:bookmarkEnd w:id="84"/>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pStyle w:val="BodyText"/>
        <w:spacing w:line="240" w:lineRule="auto"/>
        <w:ind w:left="154" w:right="0"/>
        <w:jc w:val="left"/>
      </w:pPr>
      <w:r>
        <w:rPr/>
        <w:t>自然人</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419"/>
        <w:gridCol w:w="2030"/>
        <w:gridCol w:w="4121"/>
      </w:tblGrid>
      <w:tr>
        <w:trPr>
          <w:trHeight w:val="415" w:hRule="exact"/>
        </w:trPr>
        <w:tc>
          <w:tcPr>
            <w:tcW w:w="341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06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7" w:hRule="exact"/>
        </w:trPr>
        <w:tc>
          <w:tcPr>
            <w:tcW w:w="34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55" w:hRule="exact"/>
        </w:trPr>
        <w:tc>
          <w:tcPr>
            <w:tcW w:w="341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年内的职业及职务</w:t>
            </w:r>
          </w:p>
        </w:tc>
        <w:tc>
          <w:tcPr>
            <w:tcW w:w="6150" w:type="dxa"/>
            <w:gridSpan w:val="2"/>
            <w:tcBorders>
              <w:top w:val="single" w:sz="6" w:space="0" w:color="000000"/>
              <w:left w:val="single" w:sz="6" w:space="0" w:color="000000"/>
              <w:bottom w:val="single" w:sz="6" w:space="0" w:color="000000"/>
              <w:right w:val="single" w:sz="12" w:space="0" w:color="000000"/>
            </w:tcBorders>
          </w:tcPr>
          <w:p>
            <w:pPr>
              <w:pStyle w:val="TableParagraph"/>
              <w:spacing w:line="319" w:lineRule="auto" w:before="52"/>
              <w:ind w:left="20" w:right="-13" w:firstLine="360"/>
              <w:jc w:val="both"/>
              <w:rPr>
                <w:rFonts w:ascii="宋体" w:hAnsi="宋体" w:cs="宋体" w:eastAsia="宋体" w:hint="default"/>
                <w:sz w:val="18"/>
                <w:szCs w:val="18"/>
              </w:rPr>
            </w:pPr>
            <w:r>
              <w:rPr>
                <w:rFonts w:ascii="宋体" w:hAnsi="宋体" w:cs="宋体" w:eastAsia="宋体" w:hint="default"/>
                <w:sz w:val="18"/>
                <w:szCs w:val="18"/>
              </w:rPr>
              <w:t>龙昌明先生于 </w:t>
            </w:r>
            <w:r>
              <w:rPr>
                <w:rFonts w:ascii="宋体" w:hAnsi="宋体" w:cs="宋体" w:eastAsia="宋体" w:hint="default"/>
                <w:sz w:val="18"/>
                <w:szCs w:val="18"/>
              </w:rPr>
              <w:t>2009</w:t>
            </w:r>
            <w:r>
              <w:rPr>
                <w:rFonts w:ascii="宋体" w:hAnsi="宋体" w:cs="宋体" w:eastAsia="宋体" w:hint="default"/>
                <w:spacing w:val="-28"/>
                <w:sz w:val="18"/>
                <w:szCs w:val="18"/>
              </w:rPr>
              <w:t> </w:t>
            </w:r>
            <w:r>
              <w:rPr>
                <w:rFonts w:ascii="宋体" w:hAnsi="宋体" w:cs="宋体" w:eastAsia="宋体" w:hint="default"/>
                <w:sz w:val="18"/>
                <w:szCs w:val="18"/>
              </w:rPr>
              <w:t>年至今任光一投资执行董事；公司董事长；全资子公 司苏源光一董事长；全资子公司智友尚云、光一贵仁执行董事；控股子公司云 商天下董事长、索瑞电气董事；参股子公司贵银投资董事、中云文化大数据董 事；天擎华媒（北京）科技有限公司董事长；南京巿人大代表，江苏省贵州商 会会长，江苏省（贵州省）工商联执委，江苏省致公党省经济委员会副主任。</w:t>
            </w:r>
          </w:p>
        </w:tc>
      </w:tr>
      <w:tr>
        <w:trPr>
          <w:trHeight w:val="416" w:hRule="exact"/>
        </w:trPr>
        <w:tc>
          <w:tcPr>
            <w:tcW w:w="341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5"/>
          <w:szCs w:val="5"/>
        </w:rPr>
      </w:pPr>
    </w:p>
    <w:p>
      <w:pPr>
        <w:pStyle w:val="BodyText"/>
        <w:spacing w:line="240" w:lineRule="auto" w:before="35"/>
        <w:ind w:left="154" w:right="0"/>
        <w:jc w:val="left"/>
      </w:pPr>
      <w:r>
        <w:rPr/>
        <w:t>实际控制人报告期内变更</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5153"/>
        <w:jc w:val="left"/>
      </w:pPr>
      <w:r>
        <w:rPr/>
        <w:t>□ 适用 √</w:t>
      </w:r>
      <w:r>
        <w:rPr>
          <w:spacing w:val="-1"/>
        </w:rPr>
        <w:t> </w:t>
      </w:r>
      <w:r>
        <w:rPr/>
        <w:t>不适用</w:t>
      </w:r>
      <w:r>
        <w:rPr/>
        <w:t> 公司报告期实际控制人未发生变更。 公司与实际控制人之间的产权及控制关系的方框图</w:t>
      </w:r>
    </w:p>
    <w:p>
      <w:pPr>
        <w:spacing w:line="240" w:lineRule="auto" w:before="11"/>
        <w:rPr>
          <w:rFonts w:ascii="宋体" w:hAnsi="宋体" w:cs="宋体" w:eastAsia="宋体" w:hint="default"/>
          <w:sz w:val="17"/>
          <w:szCs w:val="17"/>
        </w:rPr>
      </w:pPr>
    </w:p>
    <w:p>
      <w:pPr>
        <w:spacing w:line="4890" w:lineRule="exact"/>
        <w:ind w:left="1755"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4084554" cy="31051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4084554" cy="3105150"/>
                    </a:xfrm>
                    <a:prstGeom prst="rect">
                      <a:avLst/>
                    </a:prstGeom>
                  </pic:spPr>
                </pic:pic>
              </a:graphicData>
            </a:graphic>
          </wp:inline>
        </w:drawing>
      </w:r>
      <w:r>
        <w:rPr>
          <w:rFonts w:ascii="宋体" w:hAnsi="宋体" w:cs="宋体" w:eastAsia="宋体" w:hint="default"/>
          <w:position w:val="-97"/>
          <w:sz w:val="20"/>
          <w:szCs w:val="20"/>
        </w:rPr>
      </w:r>
    </w:p>
    <w:p>
      <w:pPr>
        <w:spacing w:line="240" w:lineRule="auto" w:before="1"/>
        <w:rPr>
          <w:rFonts w:ascii="宋体" w:hAnsi="宋体" w:cs="宋体" w:eastAsia="宋体" w:hint="default"/>
          <w:sz w:val="24"/>
          <w:szCs w:val="24"/>
        </w:rPr>
      </w:pPr>
    </w:p>
    <w:p>
      <w:pPr>
        <w:pStyle w:val="BodyText"/>
        <w:spacing w:line="240" w:lineRule="auto" w:before="0"/>
        <w:ind w:right="0"/>
        <w:jc w:val="left"/>
      </w:pPr>
      <w:r>
        <w:rPr/>
        <w:t>实际控制人通过信托或其他资产管理方式控制公司</w:t>
      </w:r>
    </w:p>
    <w:p>
      <w:pPr>
        <w:spacing w:line="240" w:lineRule="auto" w:before="10"/>
        <w:rPr>
          <w:rFonts w:ascii="宋体" w:hAnsi="宋体" w:cs="宋体" w:eastAsia="宋体" w:hint="default"/>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4、其他持股在10%以上的法人股东" w:id="85"/>
      <w:bookmarkEnd w:id="85"/>
      <w:r>
        <w:rPr>
          <w:b w:val="0"/>
          <w:bCs w:val="0"/>
        </w:rPr>
      </w:r>
      <w:r>
        <w:rPr>
          <w:rFonts w:ascii="宋体" w:hAnsi="宋体" w:cs="宋体" w:eastAsia="宋体" w:hint="default"/>
        </w:rPr>
        <w:t>4</w:t>
      </w:r>
      <w:r>
        <w:rPr/>
        <w:t>、其他持股在</w:t>
      </w:r>
      <w:r>
        <w:rPr>
          <w:spacing w:val="-57"/>
        </w:rPr>
        <w:t> </w:t>
      </w:r>
      <w:r>
        <w:rPr>
          <w:rFonts w:ascii="宋体" w:hAnsi="宋体" w:cs="宋体" w:eastAsia="宋体" w:hint="default"/>
        </w:rPr>
        <w:t>10%</w:t>
      </w:r>
      <w:r>
        <w:rPr/>
        <w:t>以上的法人股东</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5、前10吊限售条件股东持股数量及限售条件" w:id="86"/>
      <w:bookmarkEnd w:id="86"/>
      <w:r>
        <w:rPr>
          <w:b w:val="0"/>
          <w:bCs w:val="0"/>
        </w:rPr>
      </w:r>
      <w:r>
        <w:rPr>
          <w:rFonts w:ascii="宋体" w:hAnsi="宋体" w:cs="宋体" w:eastAsia="宋体" w:hint="default"/>
        </w:rPr>
        <w:t>5</w:t>
      </w:r>
      <w:r>
        <w:rPr/>
        <w:t>、前</w:t>
      </w:r>
      <w:r>
        <w:rPr>
          <w:spacing w:val="-56"/>
        </w:rPr>
        <w:t> </w:t>
      </w:r>
      <w:r>
        <w:rPr>
          <w:rFonts w:ascii="宋体" w:hAnsi="宋体" w:cs="宋体" w:eastAsia="宋体" w:hint="default"/>
        </w:rPr>
        <w:t>10</w:t>
      </w:r>
      <w:r>
        <w:rPr>
          <w:rFonts w:ascii="宋体" w:hAnsi="宋体" w:cs="宋体" w:eastAsia="宋体" w:hint="default"/>
          <w:spacing w:val="-57"/>
        </w:rPr>
        <w:t> </w:t>
      </w:r>
      <w:r>
        <w:rPr/>
        <w:t>名限售条件股东持股数量及限售条件</w:t>
      </w:r>
      <w:r>
        <w:rPr>
          <w:b w:val="0"/>
          <w:bCs w:val="0"/>
        </w:rPr>
      </w:r>
    </w:p>
    <w:p>
      <w:pPr>
        <w:spacing w:before="14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915"/>
        <w:gridCol w:w="2056"/>
        <w:gridCol w:w="1772"/>
        <w:gridCol w:w="2196"/>
        <w:gridCol w:w="1631"/>
      </w:tblGrid>
      <w:tr>
        <w:trPr>
          <w:trHeight w:val="415" w:hRule="exact"/>
        </w:trPr>
        <w:tc>
          <w:tcPr>
            <w:tcW w:w="191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限售条件股东名称</w:t>
            </w:r>
          </w:p>
        </w:tc>
        <w:tc>
          <w:tcPr>
            <w:tcW w:w="205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持有的限售条件股份数量</w:t>
            </w:r>
          </w:p>
        </w:tc>
        <w:tc>
          <w:tcPr>
            <w:tcW w:w="177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21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新增可上市交易股份数量</w:t>
            </w:r>
          </w:p>
        </w:tc>
        <w:tc>
          <w:tcPr>
            <w:tcW w:w="163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758"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360" w:lineRule="auto" w:before="51"/>
              <w:ind w:left="401" w:right="228" w:hanging="180"/>
              <w:jc w:val="left"/>
              <w:rPr>
                <w:rFonts w:ascii="宋体" w:hAnsi="宋体" w:cs="宋体" w:eastAsia="宋体" w:hint="default"/>
                <w:sz w:val="18"/>
                <w:szCs w:val="18"/>
              </w:rPr>
            </w:pPr>
            <w:r>
              <w:rPr>
                <w:rFonts w:ascii="宋体" w:hAnsi="宋体" w:cs="宋体" w:eastAsia="宋体" w:hint="default"/>
                <w:sz w:val="18"/>
                <w:szCs w:val="18"/>
              </w:rPr>
              <w:t>江苏光一投资管理 有限责任公司</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42,600,000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42,600,000</w:t>
            </w:r>
          </w:p>
        </w:tc>
        <w:tc>
          <w:tcPr>
            <w:tcW w:w="16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8"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14,953,500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3,738,375</w:t>
            </w:r>
          </w:p>
        </w:tc>
        <w:tc>
          <w:tcPr>
            <w:tcW w:w="16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徐一宁</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2,141,250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701,625</w:t>
            </w:r>
          </w:p>
        </w:tc>
        <w:tc>
          <w:tcPr>
            <w:tcW w:w="16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熊  珂</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1,687,500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1,687,500</w:t>
            </w:r>
          </w:p>
        </w:tc>
        <w:tc>
          <w:tcPr>
            <w:tcW w:w="16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王海俊</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732,375</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194,125</w:t>
            </w:r>
          </w:p>
        </w:tc>
        <w:tc>
          <w:tcPr>
            <w:tcW w:w="16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戴晓东</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388,687</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117,213</w:t>
            </w:r>
          </w:p>
        </w:tc>
        <w:tc>
          <w:tcPr>
            <w:tcW w:w="16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邱卫东</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366,187</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91,547</w:t>
            </w:r>
          </w:p>
        </w:tc>
        <w:tc>
          <w:tcPr>
            <w:tcW w:w="16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8"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122,344</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30,656</w:t>
            </w:r>
          </w:p>
        </w:tc>
        <w:tc>
          <w:tcPr>
            <w:tcW w:w="16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高管锁定</w:t>
            </w:r>
          </w:p>
        </w:tc>
      </w:tr>
      <w:tr>
        <w:trPr>
          <w:trHeight w:val="415" w:hRule="exact"/>
        </w:trPr>
        <w:tc>
          <w:tcPr>
            <w:tcW w:w="191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沈  健</w:t>
            </w:r>
          </w:p>
        </w:tc>
        <w:tc>
          <w:tcPr>
            <w:tcW w:w="20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67,500</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16,875</w:t>
            </w:r>
          </w:p>
        </w:tc>
        <w:tc>
          <w:tcPr>
            <w:tcW w:w="163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高管锁定</w:t>
            </w:r>
          </w:p>
        </w:tc>
      </w:tr>
    </w:tbl>
    <w:p>
      <w:pPr>
        <w:spacing w:after="0" w:line="240" w:lineRule="auto"/>
        <w:jc w:val="center"/>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1680" w:right="0"/>
        <w:jc w:val="left"/>
        <w:rPr>
          <w:b w:val="0"/>
          <w:bCs w:val="0"/>
        </w:rPr>
      </w:pPr>
      <w:bookmarkStart w:name="第七节 董事、监事、高级管理人员和员工情况" w:id="87"/>
      <w:bookmarkEnd w:id="87"/>
      <w:r>
        <w:rPr>
          <w:b w:val="0"/>
          <w:bCs w:val="0"/>
        </w:rPr>
      </w:r>
      <w:bookmarkStart w:name="_bookmark6" w:id="88"/>
      <w:bookmarkEnd w:id="88"/>
      <w:r>
        <w:rPr>
          <w:b w:val="0"/>
          <w:bCs w:val="0"/>
        </w:rPr>
      </w:r>
      <w:r>
        <w:rPr/>
        <w:t>第七节</w:t>
      </w:r>
      <w:r>
        <w:rPr>
          <w:spacing w:val="-16"/>
        </w:rPr>
        <w:t> </w:t>
      </w:r>
      <w:r>
        <w:rPr/>
        <w:t>董事、监事、高级管理人员和员工情况</w:t>
      </w:r>
      <w:r>
        <w:rPr>
          <w:b w:val="0"/>
          <w:bCs w:val="0"/>
        </w:rPr>
      </w:r>
    </w:p>
    <w:p>
      <w:pPr>
        <w:spacing w:line="240" w:lineRule="auto" w:before="10"/>
        <w:rPr>
          <w:rFonts w:ascii="宋体" w:hAnsi="宋体" w:cs="宋体" w:eastAsia="宋体" w:hint="default"/>
          <w:b/>
          <w:bCs/>
          <w:sz w:val="44"/>
          <w:szCs w:val="44"/>
        </w:rPr>
      </w:pPr>
    </w:p>
    <w:p>
      <w:pPr>
        <w:pStyle w:val="Heading2"/>
        <w:spacing w:line="240" w:lineRule="auto" w:before="0"/>
        <w:ind w:right="0"/>
        <w:jc w:val="left"/>
        <w:rPr>
          <w:b w:val="0"/>
          <w:bCs w:val="0"/>
        </w:rPr>
      </w:pPr>
      <w:bookmarkStart w:name="一、董事、监事和高级管理人员持股变动" w:id="89"/>
      <w:bookmarkEnd w:id="89"/>
      <w:r>
        <w:rPr>
          <w:b w:val="0"/>
          <w:bCs w:val="0"/>
        </w:rPr>
      </w:r>
      <w:r>
        <w:rPr/>
        <w:t>一、董事、监事和高级管理人员持股变动</w:t>
      </w:r>
      <w:r>
        <w:rPr>
          <w:b w:val="0"/>
          <w:bCs w:val="0"/>
        </w:rPr>
      </w:r>
    </w:p>
    <w:p>
      <w:pPr>
        <w:pStyle w:val="Heading4"/>
        <w:spacing w:line="240" w:lineRule="auto" w:before="177"/>
        <w:ind w:left="153" w:right="0"/>
        <w:jc w:val="left"/>
        <w:rPr>
          <w:b w:val="0"/>
          <w:bCs w:val="0"/>
        </w:rPr>
      </w:pPr>
      <w:bookmarkStart w:name="1、持股情况" w:id="90"/>
      <w:bookmarkEnd w:id="90"/>
      <w:r>
        <w:rPr>
          <w:b w:val="0"/>
          <w:bCs w:val="0"/>
        </w:rPr>
      </w:r>
      <w:r>
        <w:rPr>
          <w:rFonts w:ascii="宋体" w:hAnsi="宋体" w:cs="宋体" w:eastAsia="宋体" w:hint="default"/>
        </w:rPr>
        <w:t>1</w:t>
      </w:r>
      <w:r>
        <w:rPr/>
        <w:t>、持股情况</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710"/>
        <w:gridCol w:w="992"/>
        <w:gridCol w:w="426"/>
        <w:gridCol w:w="282"/>
        <w:gridCol w:w="568"/>
        <w:gridCol w:w="1134"/>
        <w:gridCol w:w="566"/>
        <w:gridCol w:w="709"/>
        <w:gridCol w:w="1134"/>
        <w:gridCol w:w="568"/>
        <w:gridCol w:w="709"/>
        <w:gridCol w:w="425"/>
        <w:gridCol w:w="566"/>
        <w:gridCol w:w="775"/>
      </w:tblGrid>
      <w:tr>
        <w:trPr>
          <w:trHeight w:val="3142" w:hRule="exact"/>
        </w:trPr>
        <w:tc>
          <w:tcPr>
            <w:tcW w:w="71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姓名</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28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43" w:right="42"/>
              <w:jc w:val="left"/>
              <w:rPr>
                <w:rFonts w:ascii="宋体" w:hAnsi="宋体" w:cs="宋体" w:eastAsia="宋体" w:hint="default"/>
                <w:sz w:val="18"/>
                <w:szCs w:val="18"/>
              </w:rPr>
            </w:pPr>
            <w:r>
              <w:rPr>
                <w:rFonts w:ascii="宋体" w:hAnsi="宋体" w:cs="宋体" w:eastAsia="宋体" w:hint="default"/>
                <w:sz w:val="18"/>
                <w:szCs w:val="18"/>
              </w:rPr>
              <w:t>年 龄</w:t>
            </w:r>
          </w:p>
        </w:tc>
        <w:tc>
          <w:tcPr>
            <w:tcW w:w="5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97" w:right="95"/>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期初持股数</w:t>
            </w:r>
          </w:p>
        </w:tc>
        <w:tc>
          <w:tcPr>
            <w:tcW w:w="5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本期 增持 股份 数量</w:t>
            </w:r>
          </w:p>
        </w:tc>
        <w:tc>
          <w:tcPr>
            <w:tcW w:w="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77" w:right="74"/>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期末持股数</w:t>
            </w:r>
          </w:p>
        </w:tc>
        <w:tc>
          <w:tcPr>
            <w:tcW w:w="5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97" w:right="94"/>
              <w:jc w:val="both"/>
              <w:rPr>
                <w:rFonts w:ascii="宋体" w:hAnsi="宋体" w:cs="宋体" w:eastAsia="宋体" w:hint="default"/>
                <w:sz w:val="18"/>
                <w:szCs w:val="18"/>
              </w:rPr>
            </w:pPr>
            <w:r>
              <w:rPr>
                <w:rFonts w:ascii="宋体" w:hAnsi="宋体" w:cs="宋体" w:eastAsia="宋体" w:hint="default"/>
                <w:sz w:val="18"/>
                <w:szCs w:val="18"/>
              </w:rPr>
              <w:t>期初 持有 的股 权激 励获 授予 限制 性股 票数 量</w:t>
            </w:r>
          </w:p>
        </w:tc>
        <w:tc>
          <w:tcPr>
            <w:tcW w:w="70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76" w:right="77"/>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4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 w:right="24"/>
              <w:jc w:val="both"/>
              <w:rPr>
                <w:rFonts w:ascii="宋体" w:hAnsi="宋体" w:cs="宋体" w:eastAsia="宋体" w:hint="default"/>
                <w:sz w:val="18"/>
                <w:szCs w:val="18"/>
              </w:rPr>
            </w:pPr>
            <w:r>
              <w:rPr>
                <w:rFonts w:ascii="宋体" w:hAnsi="宋体" w:cs="宋体" w:eastAsia="宋体" w:hint="default"/>
                <w:sz w:val="18"/>
                <w:szCs w:val="18"/>
              </w:rPr>
              <w:t>本期 被注 销的 股权 激励 限制 性股 票数 量</w:t>
            </w:r>
          </w:p>
        </w:tc>
        <w:tc>
          <w:tcPr>
            <w:tcW w:w="56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96" w:right="95"/>
              <w:jc w:val="both"/>
              <w:rPr>
                <w:rFonts w:ascii="宋体" w:hAnsi="宋体" w:cs="宋体" w:eastAsia="宋体" w:hint="default"/>
                <w:sz w:val="18"/>
                <w:szCs w:val="18"/>
              </w:rPr>
            </w:pPr>
            <w:r>
              <w:rPr>
                <w:rFonts w:ascii="宋体" w:hAnsi="宋体" w:cs="宋体" w:eastAsia="宋体" w:hint="default"/>
                <w:sz w:val="18"/>
                <w:szCs w:val="18"/>
              </w:rPr>
              <w:t>期末 持有 的股 权激 励获 授予 限制 性股 票数 量</w:t>
            </w:r>
          </w:p>
        </w:tc>
        <w:tc>
          <w:tcPr>
            <w:tcW w:w="77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110" w:right="101"/>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412"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6"/>
              <w:jc w:val="right"/>
              <w:rPr>
                <w:rFonts w:ascii="宋体" w:hAnsi="宋体" w:cs="宋体" w:eastAsia="宋体" w:hint="default"/>
                <w:sz w:val="18"/>
                <w:szCs w:val="18"/>
              </w:rPr>
            </w:pPr>
            <w:r>
              <w:rPr>
                <w:rFonts w:ascii="宋体" w:hAnsi="宋体" w:cs="宋体" w:eastAsia="宋体" w:hint="default"/>
                <w:sz w:val="18"/>
                <w:szCs w:val="18"/>
              </w:rPr>
              <w:t>龙昌明</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48</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14,953,500</w:t>
            </w:r>
          </w:p>
        </w:tc>
        <w:tc>
          <w:tcPr>
            <w:tcW w:w="56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14,953,500</w:t>
            </w: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6"/>
              <w:jc w:val="right"/>
              <w:rPr>
                <w:rFonts w:ascii="宋体" w:hAnsi="宋体" w:cs="宋体" w:eastAsia="宋体" w:hint="default"/>
                <w:sz w:val="18"/>
                <w:szCs w:val="18"/>
              </w:rPr>
            </w:pPr>
            <w:r>
              <w:rPr>
                <w:rFonts w:ascii="宋体" w:hAnsi="宋体" w:cs="宋体" w:eastAsia="宋体" w:hint="default"/>
                <w:sz w:val="18"/>
                <w:szCs w:val="18"/>
              </w:rPr>
              <w:t>王海俊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18" w:right="217" w:firstLine="90"/>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45</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976,500</w:t>
            </w:r>
          </w:p>
        </w:tc>
        <w:tc>
          <w:tcPr>
            <w:tcW w:w="56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776,500</w:t>
            </w: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1"/>
              <w:ind w:left="110" w:right="101"/>
              <w:jc w:val="left"/>
              <w:rPr>
                <w:rFonts w:ascii="宋体" w:hAnsi="宋体" w:cs="宋体" w:eastAsia="宋体" w:hint="default"/>
                <w:sz w:val="18"/>
                <w:szCs w:val="18"/>
              </w:rPr>
            </w:pPr>
            <w:r>
              <w:rPr>
                <w:rFonts w:ascii="宋体" w:hAnsi="宋体" w:cs="宋体" w:eastAsia="宋体" w:hint="default"/>
                <w:sz w:val="18"/>
                <w:szCs w:val="18"/>
              </w:rPr>
              <w:t>二级市 场减持</w:t>
            </w:r>
          </w:p>
        </w:tc>
      </w:tr>
      <w:tr>
        <w:trPr>
          <w:trHeight w:val="639"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6"/>
              <w:jc w:val="right"/>
              <w:rPr>
                <w:rFonts w:ascii="宋体" w:hAnsi="宋体" w:cs="宋体" w:eastAsia="宋体" w:hint="default"/>
                <w:sz w:val="18"/>
                <w:szCs w:val="18"/>
              </w:rPr>
            </w:pPr>
            <w:r>
              <w:rPr>
                <w:rFonts w:ascii="宋体" w:hAnsi="宋体" w:cs="宋体" w:eastAsia="宋体" w:hint="default"/>
                <w:sz w:val="18"/>
                <w:szCs w:val="18"/>
              </w:rPr>
              <w:t>邱卫东</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28" w:right="127" w:firstLine="180"/>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49</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488,250</w:t>
            </w:r>
          </w:p>
        </w:tc>
        <w:tc>
          <w:tcPr>
            <w:tcW w:w="56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122,063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366,187</w:t>
            </w: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1"/>
              <w:ind w:left="110" w:right="101"/>
              <w:jc w:val="left"/>
              <w:rPr>
                <w:rFonts w:ascii="宋体" w:hAnsi="宋体" w:cs="宋体" w:eastAsia="宋体" w:hint="default"/>
                <w:sz w:val="18"/>
                <w:szCs w:val="18"/>
              </w:rPr>
            </w:pPr>
            <w:r>
              <w:rPr>
                <w:rFonts w:ascii="宋体" w:hAnsi="宋体" w:cs="宋体" w:eastAsia="宋体" w:hint="default"/>
                <w:sz w:val="18"/>
                <w:szCs w:val="18"/>
              </w:rPr>
              <w:t>二级市 场减持</w:t>
            </w:r>
          </w:p>
        </w:tc>
      </w:tr>
      <w:tr>
        <w:trPr>
          <w:trHeight w:val="640"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6"/>
              <w:jc w:val="right"/>
              <w:rPr>
                <w:rFonts w:ascii="宋体" w:hAnsi="宋体" w:cs="宋体" w:eastAsia="宋体" w:hint="default"/>
                <w:sz w:val="18"/>
                <w:szCs w:val="18"/>
              </w:rPr>
            </w:pPr>
            <w:r>
              <w:rPr>
                <w:rFonts w:ascii="宋体" w:hAnsi="宋体" w:cs="宋体" w:eastAsia="宋体" w:hint="default"/>
                <w:sz w:val="18"/>
                <w:szCs w:val="18"/>
              </w:rPr>
              <w:t>戴晓东</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28" w:right="127" w:firstLine="180"/>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43</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518,250</w:t>
            </w:r>
          </w:p>
        </w:tc>
        <w:tc>
          <w:tcPr>
            <w:tcW w:w="56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49,400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468,850</w:t>
            </w: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1"/>
              <w:ind w:left="110" w:right="101"/>
              <w:jc w:val="left"/>
              <w:rPr>
                <w:rFonts w:ascii="宋体" w:hAnsi="宋体" w:cs="宋体" w:eastAsia="宋体" w:hint="default"/>
                <w:sz w:val="18"/>
                <w:szCs w:val="18"/>
              </w:rPr>
            </w:pPr>
            <w:r>
              <w:rPr>
                <w:rFonts w:ascii="宋体" w:hAnsi="宋体" w:cs="宋体" w:eastAsia="宋体" w:hint="default"/>
                <w:sz w:val="18"/>
                <w:szCs w:val="18"/>
              </w:rPr>
              <w:t>二级市 场减持</w:t>
            </w:r>
          </w:p>
        </w:tc>
      </w:tr>
      <w:tr>
        <w:trPr>
          <w:trHeight w:val="412"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6"/>
              <w:jc w:val="right"/>
              <w:rPr>
                <w:rFonts w:ascii="宋体" w:hAnsi="宋体" w:cs="宋体" w:eastAsia="宋体" w:hint="default"/>
                <w:sz w:val="18"/>
                <w:szCs w:val="18"/>
              </w:rPr>
            </w:pPr>
            <w:r>
              <w:rPr>
                <w:rFonts w:ascii="宋体" w:hAnsi="宋体" w:cs="宋体" w:eastAsia="宋体" w:hint="default"/>
                <w:sz w:val="18"/>
                <w:szCs w:val="18"/>
              </w:rPr>
              <w:t>熊  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0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29</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6"/>
              <w:jc w:val="right"/>
              <w:rPr>
                <w:rFonts w:ascii="宋体" w:hAnsi="宋体" w:cs="宋体" w:eastAsia="宋体" w:hint="default"/>
                <w:sz w:val="18"/>
                <w:szCs w:val="18"/>
              </w:rPr>
            </w:pPr>
            <w:r>
              <w:rPr>
                <w:rFonts w:ascii="宋体" w:hAnsi="宋体" w:cs="宋体" w:eastAsia="宋体" w:hint="default"/>
                <w:sz w:val="18"/>
                <w:szCs w:val="18"/>
              </w:rPr>
              <w:t>李  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0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39</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6"/>
              <w:jc w:val="right"/>
              <w:rPr>
                <w:rFonts w:ascii="宋体" w:hAnsi="宋体" w:cs="宋体" w:eastAsia="宋体" w:hint="default"/>
                <w:sz w:val="18"/>
                <w:szCs w:val="18"/>
              </w:rPr>
            </w:pPr>
            <w:r>
              <w:rPr>
                <w:rFonts w:ascii="宋体" w:hAnsi="宋体" w:cs="宋体" w:eastAsia="宋体" w:hint="default"/>
                <w:sz w:val="18"/>
                <w:szCs w:val="18"/>
              </w:rPr>
              <w:t>廖家河</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2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45</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6"/>
              <w:jc w:val="right"/>
              <w:rPr>
                <w:rFonts w:ascii="宋体" w:hAnsi="宋体" w:cs="宋体" w:eastAsia="宋体" w:hint="default"/>
                <w:sz w:val="18"/>
                <w:szCs w:val="18"/>
              </w:rPr>
            </w:pPr>
            <w:r>
              <w:rPr>
                <w:rFonts w:ascii="宋体" w:hAnsi="宋体" w:cs="宋体" w:eastAsia="宋体" w:hint="default"/>
                <w:sz w:val="18"/>
                <w:szCs w:val="18"/>
              </w:rPr>
              <w:t>曲  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2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44</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6"/>
              <w:jc w:val="right"/>
              <w:rPr>
                <w:rFonts w:ascii="宋体" w:hAnsi="宋体" w:cs="宋体" w:eastAsia="宋体" w:hint="default"/>
                <w:sz w:val="18"/>
                <w:szCs w:val="18"/>
              </w:rPr>
            </w:pPr>
            <w:r>
              <w:rPr>
                <w:rFonts w:ascii="宋体" w:hAnsi="宋体" w:cs="宋体" w:eastAsia="宋体" w:hint="default"/>
                <w:sz w:val="18"/>
                <w:szCs w:val="18"/>
              </w:rPr>
              <w:t>李和渝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2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58</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6"/>
              <w:jc w:val="right"/>
              <w:rPr>
                <w:rFonts w:ascii="宋体" w:hAnsi="宋体" w:cs="宋体" w:eastAsia="宋体" w:hint="default"/>
                <w:sz w:val="18"/>
                <w:szCs w:val="18"/>
              </w:rPr>
            </w:pPr>
            <w:r>
              <w:rPr>
                <w:rFonts w:ascii="宋体" w:hAnsi="宋体" w:cs="宋体" w:eastAsia="宋体" w:hint="default"/>
                <w:sz w:val="18"/>
                <w:szCs w:val="18"/>
              </w:rPr>
              <w:t>朱云飞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50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163,125</w:t>
            </w:r>
          </w:p>
        </w:tc>
        <w:tc>
          <w:tcPr>
            <w:tcW w:w="56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40,500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122,625</w:t>
            </w: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1"/>
              <w:ind w:left="110" w:right="101"/>
              <w:jc w:val="left"/>
              <w:rPr>
                <w:rFonts w:ascii="宋体" w:hAnsi="宋体" w:cs="宋体" w:eastAsia="宋体" w:hint="default"/>
                <w:sz w:val="18"/>
                <w:szCs w:val="18"/>
              </w:rPr>
            </w:pPr>
            <w:r>
              <w:rPr>
                <w:rFonts w:ascii="宋体" w:hAnsi="宋体" w:cs="宋体" w:eastAsia="宋体" w:hint="default"/>
                <w:sz w:val="18"/>
                <w:szCs w:val="18"/>
              </w:rPr>
              <w:t>二级市 场减持</w:t>
            </w:r>
          </w:p>
        </w:tc>
      </w:tr>
      <w:tr>
        <w:trPr>
          <w:trHeight w:val="638"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6"/>
              <w:jc w:val="right"/>
              <w:rPr>
                <w:rFonts w:ascii="宋体" w:hAnsi="宋体" w:cs="宋体" w:eastAsia="宋体" w:hint="default"/>
                <w:sz w:val="18"/>
                <w:szCs w:val="18"/>
              </w:rPr>
            </w:pPr>
            <w:r>
              <w:rPr>
                <w:rFonts w:ascii="宋体" w:hAnsi="宋体" w:cs="宋体" w:eastAsia="宋体" w:hint="default"/>
                <w:sz w:val="18"/>
                <w:szCs w:val="18"/>
              </w:rPr>
              <w:t>徐一宁</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65</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2,855,000</w:t>
            </w:r>
          </w:p>
        </w:tc>
        <w:tc>
          <w:tcPr>
            <w:tcW w:w="56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48,500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2,806,500</w:t>
            </w: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0"/>
              <w:ind w:left="110" w:right="101"/>
              <w:jc w:val="left"/>
              <w:rPr>
                <w:rFonts w:ascii="宋体" w:hAnsi="宋体" w:cs="宋体" w:eastAsia="宋体" w:hint="default"/>
                <w:sz w:val="18"/>
                <w:szCs w:val="18"/>
              </w:rPr>
            </w:pPr>
            <w:r>
              <w:rPr>
                <w:rFonts w:ascii="宋体" w:hAnsi="宋体" w:cs="宋体" w:eastAsia="宋体" w:hint="default"/>
                <w:sz w:val="18"/>
                <w:szCs w:val="18"/>
              </w:rPr>
              <w:t>二级市 场减持</w:t>
            </w:r>
          </w:p>
        </w:tc>
      </w:tr>
      <w:tr>
        <w:trPr>
          <w:trHeight w:val="413"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6"/>
              <w:jc w:val="right"/>
              <w:rPr>
                <w:rFonts w:ascii="宋体" w:hAnsi="宋体" w:cs="宋体" w:eastAsia="宋体" w:hint="default"/>
                <w:sz w:val="18"/>
                <w:szCs w:val="18"/>
              </w:rPr>
            </w:pPr>
            <w:r>
              <w:rPr>
                <w:rFonts w:ascii="宋体" w:hAnsi="宋体" w:cs="宋体" w:eastAsia="宋体" w:hint="default"/>
                <w:sz w:val="18"/>
                <w:szCs w:val="18"/>
              </w:rPr>
              <w:t>何素蓉</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28"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33</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639"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6"/>
              <w:jc w:val="right"/>
              <w:rPr>
                <w:rFonts w:ascii="宋体" w:hAnsi="宋体" w:cs="宋体" w:eastAsia="宋体" w:hint="default"/>
                <w:sz w:val="18"/>
                <w:szCs w:val="18"/>
              </w:rPr>
            </w:pPr>
            <w:r>
              <w:rPr>
                <w:rFonts w:ascii="宋体" w:hAnsi="宋体" w:cs="宋体" w:eastAsia="宋体" w:hint="default"/>
                <w:sz w:val="18"/>
                <w:szCs w:val="18"/>
              </w:rPr>
              <w:t>沈  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42</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90,000</w:t>
            </w:r>
          </w:p>
        </w:tc>
        <w:tc>
          <w:tcPr>
            <w:tcW w:w="56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22,500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67,500</w:t>
            </w: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0"/>
              <w:ind w:left="110" w:right="101"/>
              <w:jc w:val="left"/>
              <w:rPr>
                <w:rFonts w:ascii="宋体" w:hAnsi="宋体" w:cs="宋体" w:eastAsia="宋体" w:hint="default"/>
                <w:sz w:val="18"/>
                <w:szCs w:val="18"/>
              </w:rPr>
            </w:pPr>
            <w:r>
              <w:rPr>
                <w:rFonts w:ascii="宋体" w:hAnsi="宋体" w:cs="宋体" w:eastAsia="宋体" w:hint="default"/>
                <w:sz w:val="18"/>
                <w:szCs w:val="18"/>
              </w:rPr>
              <w:t>二级市 场减持</w:t>
            </w:r>
          </w:p>
        </w:tc>
      </w:tr>
      <w:tr>
        <w:trPr>
          <w:trHeight w:val="640" w:hRule="exact"/>
        </w:trPr>
        <w:tc>
          <w:tcPr>
            <w:tcW w:w="7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6"/>
              <w:jc w:val="right"/>
              <w:rPr>
                <w:rFonts w:ascii="宋体" w:hAnsi="宋体" w:cs="宋体" w:eastAsia="宋体" w:hint="default"/>
                <w:sz w:val="18"/>
                <w:szCs w:val="18"/>
              </w:rPr>
            </w:pPr>
            <w:r>
              <w:rPr>
                <w:rFonts w:ascii="宋体" w:hAnsi="宋体" w:cs="宋体" w:eastAsia="宋体" w:hint="default"/>
                <w:sz w:val="18"/>
                <w:szCs w:val="18"/>
              </w:rPr>
              <w:t>蒋  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0" w:right="55"/>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40</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7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3"/>
              <w:ind w:right="132"/>
              <w:jc w:val="right"/>
              <w:rPr>
                <w:rFonts w:ascii="宋体" w:hAnsi="宋体" w:cs="宋体" w:eastAsia="宋体" w:hint="default"/>
                <w:sz w:val="18"/>
                <w:szCs w:val="18"/>
              </w:rPr>
            </w:pPr>
            <w:r>
              <w:rPr>
                <w:rFonts w:ascii="宋体" w:hAnsi="宋体" w:cs="宋体" w:eastAsia="宋体" w:hint="default"/>
                <w:sz w:val="18"/>
                <w:szCs w:val="18"/>
              </w:rPr>
              <w:t>周振娟</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38</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709"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709"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566" w:type="dxa"/>
            <w:tcBorders>
              <w:top w:val="single" w:sz="6" w:space="0" w:color="000000"/>
              <w:left w:val="single" w:sz="6" w:space="0" w:color="000000"/>
              <w:bottom w:val="single" w:sz="12" w:space="0" w:color="000000"/>
              <w:right w:val="single" w:sz="6" w:space="0" w:color="000000"/>
            </w:tcBorders>
          </w:tcPr>
          <w:p>
            <w:pPr/>
          </w:p>
        </w:tc>
        <w:tc>
          <w:tcPr>
            <w:tcW w:w="775"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710"/>
        <w:gridCol w:w="992"/>
        <w:gridCol w:w="426"/>
        <w:gridCol w:w="282"/>
        <w:gridCol w:w="568"/>
        <w:gridCol w:w="1134"/>
        <w:gridCol w:w="566"/>
        <w:gridCol w:w="709"/>
        <w:gridCol w:w="1134"/>
        <w:gridCol w:w="568"/>
        <w:gridCol w:w="709"/>
        <w:gridCol w:w="425"/>
        <w:gridCol w:w="566"/>
        <w:gridCol w:w="775"/>
      </w:tblGrid>
      <w:tr>
        <w:trPr>
          <w:trHeight w:val="419" w:hRule="exact"/>
        </w:trPr>
        <w:tc>
          <w:tcPr>
            <w:tcW w:w="71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赵俊平</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35"/>
              <w:jc w:val="center"/>
              <w:rPr>
                <w:rFonts w:ascii="宋体" w:hAnsi="宋体" w:cs="宋体" w:eastAsia="宋体" w:hint="default"/>
                <w:sz w:val="18"/>
                <w:szCs w:val="18"/>
              </w:rPr>
            </w:pPr>
            <w:r>
              <w:rPr>
                <w:rFonts w:ascii="宋体" w:hAnsi="宋体" w:cs="宋体" w:eastAsia="宋体" w:hint="default"/>
                <w:sz w:val="18"/>
                <w:szCs w:val="18"/>
              </w:rPr>
              <w:t>原副总经理</w:t>
            </w:r>
          </w:p>
        </w:tc>
        <w:tc>
          <w:tcPr>
            <w:tcW w:w="4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46" w:right="0"/>
              <w:jc w:val="center"/>
              <w:rPr>
                <w:rFonts w:ascii="宋体" w:hAnsi="宋体" w:cs="宋体" w:eastAsia="宋体" w:hint="default"/>
                <w:sz w:val="18"/>
                <w:szCs w:val="18"/>
              </w:rPr>
            </w:pPr>
            <w:r>
              <w:rPr>
                <w:rFonts w:ascii="宋体"/>
                <w:sz w:val="18"/>
              </w:rPr>
              <w:t>52</w:t>
            </w:r>
          </w:p>
        </w:tc>
        <w:tc>
          <w:tcPr>
            <w:tcW w:w="5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169"/>
              <w:jc w:val="right"/>
              <w:rPr>
                <w:rFonts w:ascii="宋体" w:hAnsi="宋体" w:cs="宋体" w:eastAsia="宋体" w:hint="default"/>
                <w:sz w:val="18"/>
                <w:szCs w:val="18"/>
              </w:rPr>
            </w:pPr>
            <w:r>
              <w:rPr>
                <w:rFonts w:ascii="宋体" w:hAnsi="宋体" w:cs="宋体" w:eastAsia="宋体" w:hint="default"/>
                <w:sz w:val="18"/>
                <w:szCs w:val="18"/>
              </w:rPr>
              <w:t>离任</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163,125</w:t>
            </w:r>
          </w:p>
        </w:tc>
        <w:tc>
          <w:tcPr>
            <w:tcW w:w="566" w:type="dxa"/>
            <w:tcBorders>
              <w:top w:val="single" w:sz="12" w:space="0" w:color="000000"/>
              <w:left w:val="single" w:sz="6" w:space="0" w:color="000000"/>
              <w:bottom w:val="single" w:sz="6" w:space="0" w:color="000000"/>
              <w:right w:val="single" w:sz="6" w:space="0" w:color="000000"/>
            </w:tcBorders>
          </w:tcPr>
          <w:p>
            <w:pPr/>
          </w:p>
        </w:tc>
        <w:tc>
          <w:tcPr>
            <w:tcW w:w="7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44" w:right="0"/>
              <w:jc w:val="left"/>
              <w:rPr>
                <w:rFonts w:ascii="宋体" w:hAnsi="宋体" w:cs="宋体" w:eastAsia="宋体" w:hint="default"/>
                <w:sz w:val="18"/>
                <w:szCs w:val="18"/>
              </w:rPr>
            </w:pPr>
            <w:r>
              <w:rPr>
                <w:rFonts w:ascii="宋体"/>
                <w:sz w:val="18"/>
              </w:rPr>
              <w:t>163,125</w:t>
            </w:r>
          </w:p>
        </w:tc>
        <w:tc>
          <w:tcPr>
            <w:tcW w:w="1134" w:type="dxa"/>
            <w:tcBorders>
              <w:top w:val="single" w:sz="12" w:space="0" w:color="000000"/>
              <w:left w:val="single" w:sz="6" w:space="0" w:color="000000"/>
              <w:bottom w:val="single" w:sz="6" w:space="0" w:color="000000"/>
              <w:right w:val="single" w:sz="6" w:space="0" w:color="000000"/>
            </w:tcBorders>
          </w:tcPr>
          <w:p>
            <w:pPr/>
          </w:p>
        </w:tc>
        <w:tc>
          <w:tcPr>
            <w:tcW w:w="568" w:type="dxa"/>
            <w:tcBorders>
              <w:top w:val="single" w:sz="12" w:space="0" w:color="000000"/>
              <w:left w:val="single" w:sz="6" w:space="0" w:color="000000"/>
              <w:bottom w:val="single" w:sz="6" w:space="0" w:color="000000"/>
              <w:right w:val="single" w:sz="6" w:space="0" w:color="000000"/>
            </w:tcBorders>
          </w:tcPr>
          <w:p>
            <w:pPr/>
          </w:p>
        </w:tc>
        <w:tc>
          <w:tcPr>
            <w:tcW w:w="709"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
        </w:tc>
        <w:tc>
          <w:tcPr>
            <w:tcW w:w="775" w:type="dxa"/>
            <w:tcBorders>
              <w:top w:val="single" w:sz="12" w:space="0" w:color="000000"/>
              <w:left w:val="single" w:sz="6" w:space="0" w:color="000000"/>
              <w:bottom w:val="single" w:sz="6" w:space="0" w:color="000000"/>
              <w:right w:val="single" w:sz="12" w:space="0" w:color="000000"/>
            </w:tcBorders>
          </w:tcPr>
          <w:p>
            <w:pPr/>
          </w:p>
        </w:tc>
      </w:tr>
      <w:tr>
        <w:trPr>
          <w:trHeight w:val="419" w:hRule="exact"/>
        </w:trPr>
        <w:tc>
          <w:tcPr>
            <w:tcW w:w="71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sz w:val="18"/>
              </w:rPr>
              <w:t>--</w:t>
            </w:r>
          </w:p>
        </w:tc>
        <w:tc>
          <w:tcPr>
            <w:tcW w:w="42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sz w:val="18"/>
              </w:rPr>
              <w:t>--</w:t>
            </w:r>
          </w:p>
        </w:tc>
        <w:tc>
          <w:tcPr>
            <w:tcW w:w="28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sz w:val="18"/>
              </w:rPr>
              <w:t>--</w:t>
            </w:r>
          </w:p>
        </w:tc>
        <w:tc>
          <w:tcPr>
            <w:tcW w:w="56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185"/>
              <w:jc w:val="right"/>
              <w:rPr>
                <w:rFonts w:ascii="宋体" w:hAnsi="宋体" w:cs="宋体" w:eastAsia="宋体" w:hint="default"/>
                <w:sz w:val="18"/>
                <w:szCs w:val="18"/>
              </w:rPr>
            </w:pPr>
            <w:r>
              <w:rPr>
                <w:rFonts w:ascii="宋体"/>
                <w:sz w:val="18"/>
              </w:rPr>
              <w:t>--</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20,207,750</w:t>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44" w:right="0"/>
              <w:jc w:val="left"/>
              <w:rPr>
                <w:rFonts w:ascii="宋体" w:hAnsi="宋体" w:cs="宋体" w:eastAsia="宋体" w:hint="default"/>
                <w:sz w:val="18"/>
                <w:szCs w:val="18"/>
              </w:rPr>
            </w:pPr>
            <w:r>
              <w:rPr>
                <w:rFonts w:ascii="宋体"/>
                <w:sz w:val="18"/>
              </w:rPr>
              <w:t>646,088</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199" w:right="0"/>
              <w:jc w:val="left"/>
              <w:rPr>
                <w:rFonts w:ascii="宋体" w:hAnsi="宋体" w:cs="宋体" w:eastAsia="宋体" w:hint="default"/>
                <w:sz w:val="18"/>
                <w:szCs w:val="18"/>
              </w:rPr>
            </w:pPr>
            <w:r>
              <w:rPr>
                <w:rFonts w:ascii="宋体"/>
                <w:sz w:val="18"/>
              </w:rPr>
              <w:t>19,561,662</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775"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sz w:val="18"/>
              </w:rPr>
              <w:t>--</w:t>
            </w:r>
          </w:p>
        </w:tc>
      </w:tr>
    </w:tbl>
    <w:p>
      <w:pPr>
        <w:pStyle w:val="Heading4"/>
        <w:spacing w:line="240" w:lineRule="auto" w:before="63"/>
        <w:ind w:right="102"/>
        <w:jc w:val="left"/>
        <w:rPr>
          <w:b w:val="0"/>
          <w:bCs w:val="0"/>
        </w:rPr>
      </w:pPr>
      <w:bookmarkStart w:name="2、持有股票期权情况" w:id="91"/>
      <w:bookmarkEnd w:id="91"/>
      <w:r>
        <w:rPr>
          <w:b w:val="0"/>
          <w:bCs w:val="0"/>
        </w:rPr>
      </w:r>
      <w:r>
        <w:rPr>
          <w:rFonts w:ascii="宋体" w:hAnsi="宋体" w:cs="宋体" w:eastAsia="宋体" w:hint="default"/>
        </w:rPr>
        <w:t>2</w:t>
      </w:r>
      <w:r>
        <w:rPr/>
        <w:t>、持有股票期权情况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102"/>
        <w:jc w:val="left"/>
      </w:pPr>
      <w:r>
        <w:rPr/>
        <w:t>□ 适用 √</w:t>
      </w:r>
      <w:r>
        <w:rPr>
          <w:spacing w:val="-1"/>
        </w:rPr>
        <w:t> </w:t>
      </w:r>
      <w:r>
        <w:rPr/>
        <w:t>不适用</w:t>
      </w:r>
    </w:p>
    <w:p>
      <w:pPr>
        <w:pStyle w:val="Heading2"/>
        <w:spacing w:line="240" w:lineRule="auto" w:before="170"/>
        <w:ind w:left="154" w:right="102"/>
        <w:jc w:val="left"/>
        <w:rPr>
          <w:b w:val="0"/>
          <w:bCs w:val="0"/>
        </w:rPr>
      </w:pPr>
      <w:bookmarkStart w:name="二、任职情况" w:id="92"/>
      <w:bookmarkEnd w:id="92"/>
      <w:r>
        <w:rPr>
          <w:b w:val="0"/>
          <w:bCs w:val="0"/>
        </w:rPr>
      </w:r>
      <w:r>
        <w:rPr/>
        <w:t>二、任职情况</w:t>
      </w:r>
      <w:r>
        <w:rPr>
          <w:b w:val="0"/>
          <w:bCs w:val="0"/>
        </w:rPr>
      </w:r>
    </w:p>
    <w:p>
      <w:pPr>
        <w:pStyle w:val="BodyText"/>
        <w:spacing w:line="408" w:lineRule="auto" w:before="177"/>
        <w:ind w:left="574" w:right="4163" w:hanging="420"/>
        <w:jc w:val="left"/>
      </w:pPr>
      <w:r>
        <w:rPr/>
        <w:t>公司现任董事、监事、高级管理人员最近</w:t>
      </w:r>
      <w:r>
        <w:rPr>
          <w:spacing w:val="-53"/>
        </w:rPr>
        <w:t> </w:t>
      </w:r>
      <w:r>
        <w:rPr>
          <w:rFonts w:ascii="宋体" w:hAnsi="宋体" w:cs="宋体" w:eastAsia="宋体" w:hint="default"/>
        </w:rPr>
        <w:t>5</w:t>
      </w:r>
      <w:r>
        <w:rPr>
          <w:rFonts w:ascii="宋体" w:hAnsi="宋体" w:cs="宋体" w:eastAsia="宋体" w:hint="default"/>
          <w:spacing w:val="-53"/>
        </w:rPr>
        <w:t> </w:t>
      </w:r>
      <w:r>
        <w:rPr/>
        <w:t>年的主要工作经历 </w:t>
      </w:r>
      <w:r>
        <w:rPr>
          <w:rFonts w:ascii="宋体" w:hAnsi="宋体" w:cs="宋体" w:eastAsia="宋体" w:hint="default"/>
        </w:rPr>
        <w:t>1</w:t>
      </w:r>
      <w:r>
        <w:rPr/>
        <w:t>、董事长龙昌明先生简历：</w:t>
      </w:r>
    </w:p>
    <w:p>
      <w:pPr>
        <w:pStyle w:val="BodyText"/>
        <w:spacing w:line="408" w:lineRule="auto"/>
        <w:ind w:left="154" w:right="103" w:firstLine="420"/>
        <w:jc w:val="left"/>
      </w:pPr>
      <w:r>
        <w:rPr/>
        <w:t>龙昌明先生，</w:t>
      </w:r>
      <w:r>
        <w:rPr>
          <w:rFonts w:ascii="宋体" w:hAnsi="宋体" w:cs="宋体" w:eastAsia="宋体" w:hint="default"/>
        </w:rPr>
        <w:t>1966</w:t>
      </w:r>
      <w:r>
        <w:rPr/>
        <w:t>年</w:t>
      </w:r>
      <w:r>
        <w:rPr>
          <w:rFonts w:ascii="宋体" w:hAnsi="宋体" w:cs="宋体" w:eastAsia="宋体" w:hint="default"/>
        </w:rPr>
        <w:t>4</w:t>
      </w:r>
      <w:r>
        <w:rPr/>
        <w:t>月出生，中国国籍，无境外永久居留权，中国致公党党员，南京巿人大代表， 江苏省贵州商会会长，江苏省（贵州省）工商联执委，江苏省致公党省经济委员会副主任。</w:t>
      </w:r>
      <w:r>
        <w:rPr>
          <w:rFonts w:ascii="宋体" w:hAnsi="宋体" w:cs="宋体" w:eastAsia="宋体" w:hint="default"/>
        </w:rPr>
        <w:t>2009</w:t>
      </w:r>
      <w:r>
        <w:rPr/>
        <w:t>年至今任 </w:t>
      </w:r>
      <w:r>
        <w:rPr>
          <w:spacing w:val="-3"/>
        </w:rPr>
        <w:t>光一投资执行董事；公司董事长；全资子公司苏源光一董事长；全资子公司智友尚云、光一贵仁执行董事；</w:t>
      </w:r>
      <w:r>
        <w:rPr>
          <w:spacing w:val="-96"/>
        </w:rPr>
        <w:t> </w:t>
      </w:r>
      <w:r>
        <w:rPr>
          <w:spacing w:val="-96"/>
        </w:rPr>
      </w:r>
      <w:r>
        <w:rPr/>
        <w:t>控股子公司云商天下董事长、索瑞电气董事；参股子公司贵银投资董事、中云文化大数据董事；天擎华媒</w:t>
      </w:r>
    </w:p>
    <w:p>
      <w:pPr>
        <w:pStyle w:val="BodyText"/>
        <w:spacing w:line="408" w:lineRule="auto"/>
        <w:ind w:left="574" w:right="6157" w:hanging="420"/>
        <w:jc w:val="left"/>
      </w:pPr>
      <w:r>
        <w:rPr/>
        <w:t>（北京）科技有限公司董事长。 </w:t>
      </w:r>
      <w:r>
        <w:rPr>
          <w:rFonts w:ascii="宋体" w:hAnsi="宋体" w:cs="宋体" w:eastAsia="宋体" w:hint="default"/>
        </w:rPr>
        <w:t>2</w:t>
      </w:r>
      <w:r>
        <w:rPr/>
        <w:t>、董事、总经理王海俊先生简历：</w:t>
      </w:r>
    </w:p>
    <w:p>
      <w:pPr>
        <w:pStyle w:val="BodyText"/>
        <w:spacing w:line="408" w:lineRule="auto"/>
        <w:ind w:left="154" w:right="102" w:firstLine="420"/>
        <w:jc w:val="left"/>
      </w:pPr>
      <w:r>
        <w:rPr/>
        <w:t>王海俊先生，</w:t>
      </w:r>
      <w:r>
        <w:rPr>
          <w:rFonts w:ascii="宋体" w:hAnsi="宋体" w:cs="宋体" w:eastAsia="宋体" w:hint="default"/>
        </w:rPr>
        <w:t>1969</w:t>
      </w:r>
      <w:r>
        <w:rPr/>
        <w:t>年</w:t>
      </w:r>
      <w:r>
        <w:rPr>
          <w:rFonts w:ascii="宋体" w:hAnsi="宋体" w:cs="宋体" w:eastAsia="宋体" w:hint="default"/>
        </w:rPr>
        <w:t>7</w:t>
      </w:r>
      <w:r>
        <w:rPr/>
        <w:t>月出生，中国国籍，无境外永久居留权，硕士研究生学历。</w:t>
      </w:r>
      <w:r>
        <w:rPr>
          <w:rFonts w:ascii="宋体" w:hAnsi="宋体" w:cs="宋体" w:eastAsia="宋体" w:hint="default"/>
        </w:rPr>
        <w:t>2009</w:t>
      </w:r>
      <w:r>
        <w:rPr/>
        <w:t>年至今任公司 董事、总经理；全资子公司苏源光一董事；控股子公司云商天下董事、索瑞电气董事。</w:t>
      </w:r>
    </w:p>
    <w:p>
      <w:pPr>
        <w:pStyle w:val="BodyText"/>
        <w:spacing w:line="408" w:lineRule="auto"/>
        <w:ind w:left="574" w:right="102"/>
        <w:jc w:val="left"/>
        <w:rPr>
          <w:rFonts w:ascii="宋体" w:hAnsi="宋体" w:cs="宋体" w:eastAsia="宋体" w:hint="default"/>
        </w:rPr>
      </w:pPr>
      <w:r>
        <w:rPr>
          <w:rFonts w:ascii="宋体" w:hAnsi="宋体" w:cs="宋体" w:eastAsia="宋体" w:hint="default"/>
        </w:rPr>
        <w:t>3</w:t>
      </w:r>
      <w:r>
        <w:rPr/>
        <w:t>、董事、副总经理邱卫东先生简历： 邱卫东先生，</w:t>
      </w:r>
      <w:r>
        <w:rPr>
          <w:rFonts w:ascii="宋体" w:hAnsi="宋体" w:cs="宋体" w:eastAsia="宋体" w:hint="default"/>
        </w:rPr>
        <w:t>1965</w:t>
      </w:r>
      <w:r>
        <w:rPr/>
        <w:t>年</w:t>
      </w:r>
      <w:r>
        <w:rPr>
          <w:rFonts w:ascii="宋体" w:hAnsi="宋体" w:cs="宋体" w:eastAsia="宋体" w:hint="default"/>
        </w:rPr>
        <w:t>3</w:t>
      </w:r>
      <w:r>
        <w:rPr/>
        <w:t>月出生，中国国籍，无境外永久居留权，硕士研究生学历，高级工程师。</w:t>
      </w:r>
      <w:r>
        <w:rPr>
          <w:rFonts w:ascii="宋体" w:hAnsi="宋体" w:cs="宋体" w:eastAsia="宋体" w:hint="default"/>
        </w:rPr>
        <w:t>2009</w:t>
      </w:r>
    </w:p>
    <w:p>
      <w:pPr>
        <w:pStyle w:val="BodyText"/>
        <w:spacing w:line="408" w:lineRule="auto"/>
        <w:ind w:left="574" w:right="102" w:hanging="420"/>
        <w:jc w:val="left"/>
      </w:pPr>
      <w:r>
        <w:rPr/>
        <w:t>年至今任公司董事、副总经理；全资子公司苏源光一董事、总经理；控股子公司云商天下董事。 </w:t>
      </w:r>
      <w:r>
        <w:rPr>
          <w:rFonts w:ascii="宋体" w:hAnsi="宋体" w:cs="宋体" w:eastAsia="宋体" w:hint="default"/>
        </w:rPr>
        <w:t>4</w:t>
      </w:r>
      <w:r>
        <w:rPr/>
        <w:t>、董事、副总经理戴晓东先生简历： </w:t>
      </w:r>
      <w:r>
        <w:rPr>
          <w:spacing w:val="-1"/>
        </w:rPr>
        <w:t>戴晓东先生，</w:t>
      </w:r>
      <w:r>
        <w:rPr>
          <w:rFonts w:ascii="宋体" w:hAnsi="宋体" w:cs="宋体" w:eastAsia="宋体" w:hint="default"/>
          <w:spacing w:val="-1"/>
        </w:rPr>
        <w:t>1971</w:t>
      </w:r>
      <w:r>
        <w:rPr>
          <w:spacing w:val="-1"/>
        </w:rPr>
        <w:t>年</w:t>
      </w:r>
      <w:r>
        <w:rPr>
          <w:rFonts w:ascii="宋体" w:hAnsi="宋体" w:cs="宋体" w:eastAsia="宋体" w:hint="default"/>
          <w:spacing w:val="-1"/>
        </w:rPr>
        <w:t>1</w:t>
      </w:r>
      <w:r>
        <w:rPr>
          <w:spacing w:val="-1"/>
        </w:rPr>
        <w:t>月出生，中国国籍，无境外永久居留权，硕士研究生学历，非执业注册会计师、</w:t>
      </w:r>
    </w:p>
    <w:p>
      <w:pPr>
        <w:pStyle w:val="BodyText"/>
        <w:spacing w:line="408" w:lineRule="auto"/>
        <w:ind w:right="102"/>
        <w:jc w:val="left"/>
      </w:pPr>
      <w:r>
        <w:rPr>
          <w:spacing w:val="-3"/>
        </w:rPr>
        <w:t>高级会计师。</w:t>
      </w:r>
      <w:r>
        <w:rPr>
          <w:rFonts w:ascii="宋体" w:hAnsi="宋体" w:cs="宋体" w:eastAsia="宋体" w:hint="default"/>
          <w:spacing w:val="-3"/>
        </w:rPr>
        <w:t>2009</w:t>
      </w:r>
      <w:r>
        <w:rPr>
          <w:spacing w:val="-3"/>
        </w:rPr>
        <w:t>年至</w:t>
      </w:r>
      <w:r>
        <w:rPr>
          <w:rFonts w:ascii="宋体" w:hAnsi="宋体" w:cs="宋体" w:eastAsia="宋体" w:hint="default"/>
          <w:spacing w:val="-3"/>
        </w:rPr>
        <w:t>2012</w:t>
      </w:r>
      <w:r>
        <w:rPr>
          <w:spacing w:val="-3"/>
        </w:rPr>
        <w:t>年任公司董事、财务总监；</w:t>
      </w:r>
      <w:r>
        <w:rPr>
          <w:rFonts w:ascii="宋体" w:hAnsi="宋体" w:cs="宋体" w:eastAsia="宋体" w:hint="default"/>
          <w:spacing w:val="-3"/>
        </w:rPr>
        <w:t>2012</w:t>
      </w:r>
      <w:r>
        <w:rPr>
          <w:spacing w:val="-3"/>
        </w:rPr>
        <w:t>年至</w:t>
      </w:r>
      <w:r>
        <w:rPr>
          <w:rFonts w:ascii="宋体" w:hAnsi="宋体" w:cs="宋体" w:eastAsia="宋体" w:hint="default"/>
          <w:spacing w:val="-3"/>
        </w:rPr>
        <w:t>2014</w:t>
      </w:r>
      <w:r>
        <w:rPr>
          <w:spacing w:val="-3"/>
        </w:rPr>
        <w:t>年任公司董事、副总经理、财务总监；</w:t>
      </w:r>
      <w:r>
        <w:rPr>
          <w:spacing w:val="-72"/>
        </w:rPr>
        <w:t> </w:t>
      </w:r>
      <w:r>
        <w:rPr>
          <w:spacing w:val="-72"/>
        </w:rPr>
      </w:r>
      <w:r>
        <w:rPr/>
        <w:t>现任公司董事、副总经理；全资子公司苏源光一董事、控股子公司索瑞电气董事、副总经理。</w:t>
      </w:r>
    </w:p>
    <w:p>
      <w:pPr>
        <w:pStyle w:val="BodyText"/>
        <w:spacing w:line="408" w:lineRule="auto"/>
        <w:ind w:left="573" w:right="102"/>
        <w:jc w:val="left"/>
      </w:pPr>
      <w:r>
        <w:rPr>
          <w:rFonts w:ascii="宋体" w:hAnsi="宋体" w:cs="宋体" w:eastAsia="宋体" w:hint="default"/>
        </w:rPr>
        <w:t>5</w:t>
      </w:r>
      <w:r>
        <w:rPr/>
        <w:t>、董事熊俊先生简历： </w:t>
      </w:r>
      <w:r>
        <w:rPr>
          <w:spacing w:val="-1"/>
        </w:rPr>
        <w:t>熊俊先生，</w:t>
      </w:r>
      <w:r>
        <w:rPr>
          <w:rFonts w:ascii="宋体" w:hAnsi="宋体" w:cs="宋体" w:eastAsia="宋体" w:hint="default"/>
          <w:spacing w:val="-1"/>
        </w:rPr>
        <w:t>1985</w:t>
      </w:r>
      <w:r>
        <w:rPr>
          <w:spacing w:val="-1"/>
        </w:rPr>
        <w:t>年</w:t>
      </w:r>
      <w:r>
        <w:rPr>
          <w:rFonts w:ascii="宋体" w:hAnsi="宋体" w:cs="宋体" w:eastAsia="宋体" w:hint="default"/>
          <w:spacing w:val="-1"/>
        </w:rPr>
        <w:t>3</w:t>
      </w:r>
      <w:r>
        <w:rPr>
          <w:spacing w:val="-1"/>
        </w:rPr>
        <w:t>月出生，中国国籍，持有香港永久居留权，大学本科双学位。</w:t>
      </w:r>
      <w:r>
        <w:rPr>
          <w:rFonts w:ascii="宋体" w:hAnsi="宋体" w:cs="宋体" w:eastAsia="宋体" w:hint="default"/>
          <w:spacing w:val="-1"/>
        </w:rPr>
        <w:t>2010</w:t>
      </w:r>
      <w:r>
        <w:rPr>
          <w:spacing w:val="-1"/>
        </w:rPr>
        <w:t>年</w:t>
      </w:r>
      <w:r>
        <w:rPr>
          <w:rFonts w:ascii="宋体" w:hAnsi="宋体" w:cs="宋体" w:eastAsia="宋体" w:hint="default"/>
          <w:spacing w:val="-1"/>
        </w:rPr>
        <w:t>2</w:t>
      </w:r>
      <w:r>
        <w:rPr>
          <w:spacing w:val="-1"/>
        </w:rPr>
        <w:t>月至</w:t>
      </w:r>
      <w:r>
        <w:rPr>
          <w:rFonts w:ascii="宋体" w:hAnsi="宋体" w:cs="宋体" w:eastAsia="宋体" w:hint="default"/>
          <w:spacing w:val="-1"/>
        </w:rPr>
        <w:t>2010</w:t>
      </w:r>
      <w:r>
        <w:rPr>
          <w:spacing w:val="-1"/>
        </w:rPr>
        <w:t>年</w:t>
      </w:r>
    </w:p>
    <w:p>
      <w:pPr>
        <w:pStyle w:val="BodyText"/>
        <w:spacing w:line="408" w:lineRule="auto"/>
        <w:ind w:right="102"/>
        <w:jc w:val="left"/>
      </w:pPr>
      <w:r>
        <w:rPr>
          <w:rFonts w:ascii="宋体" w:hAnsi="宋体" w:cs="宋体" w:eastAsia="宋体" w:hint="default"/>
          <w:spacing w:val="-1"/>
        </w:rPr>
        <w:t>9</w:t>
      </w:r>
      <w:r>
        <w:rPr>
          <w:spacing w:val="-1"/>
        </w:rPr>
        <w:t>月任职于香港荣俊投资发展有限公司，担任董事长；</w:t>
      </w:r>
      <w:r>
        <w:rPr>
          <w:rFonts w:ascii="宋体" w:hAnsi="宋体" w:cs="宋体" w:eastAsia="宋体" w:hint="default"/>
          <w:spacing w:val="-1"/>
        </w:rPr>
        <w:t>2010</w:t>
      </w:r>
      <w:r>
        <w:rPr>
          <w:spacing w:val="-1"/>
        </w:rPr>
        <w:t>年</w:t>
      </w:r>
      <w:r>
        <w:rPr>
          <w:rFonts w:ascii="宋体" w:hAnsi="宋体" w:cs="宋体" w:eastAsia="宋体" w:hint="default"/>
          <w:spacing w:val="-1"/>
        </w:rPr>
        <w:t>10</w:t>
      </w:r>
      <w:r>
        <w:rPr>
          <w:spacing w:val="-1"/>
        </w:rPr>
        <w:t>月至今任职于北京华康瑞宏投资有限公司，</w:t>
      </w:r>
      <w:r>
        <w:rPr>
          <w:spacing w:val="-81"/>
        </w:rPr>
        <w:t> </w:t>
      </w:r>
      <w:r>
        <w:rPr>
          <w:spacing w:val="-81"/>
        </w:rPr>
      </w:r>
      <w:r>
        <w:rPr/>
        <w:t>担任总经理，现为北京海外联谊会青年委员及香港海归青年华菁会青年委员；现任公司董事。</w:t>
      </w:r>
    </w:p>
    <w:p>
      <w:pPr>
        <w:pStyle w:val="BodyText"/>
        <w:spacing w:line="408" w:lineRule="auto"/>
        <w:ind w:left="573" w:right="102"/>
        <w:jc w:val="left"/>
        <w:rPr>
          <w:rFonts w:ascii="宋体" w:hAnsi="宋体" w:cs="宋体" w:eastAsia="宋体" w:hint="default"/>
        </w:rPr>
      </w:pPr>
      <w:r>
        <w:rPr>
          <w:rFonts w:ascii="宋体" w:hAnsi="宋体" w:cs="宋体" w:eastAsia="宋体" w:hint="default"/>
        </w:rPr>
        <w:t>6</w:t>
      </w:r>
      <w:r>
        <w:rPr/>
        <w:t>、董事李俊先生简历： </w:t>
      </w:r>
      <w:r>
        <w:rPr>
          <w:spacing w:val="-3"/>
        </w:rPr>
        <w:t>李俊先生，</w:t>
      </w:r>
      <w:r>
        <w:rPr>
          <w:rFonts w:ascii="宋体" w:hAnsi="宋体" w:cs="宋体" w:eastAsia="宋体" w:hint="default"/>
          <w:spacing w:val="-3"/>
        </w:rPr>
        <w:t>1975</w:t>
      </w:r>
      <w:r>
        <w:rPr>
          <w:spacing w:val="-3"/>
        </w:rPr>
        <w:t>年</w:t>
      </w:r>
      <w:r>
        <w:rPr>
          <w:rFonts w:ascii="宋体" w:hAnsi="宋体" w:cs="宋体" w:eastAsia="宋体" w:hint="default"/>
          <w:spacing w:val="-3"/>
        </w:rPr>
        <w:t>6</w:t>
      </w:r>
      <w:r>
        <w:rPr>
          <w:spacing w:val="-3"/>
        </w:rPr>
        <w:t>月出生，中国国籍，无境外永久居留权，大学本科学历。经济师，中共党员。</w:t>
      </w:r>
      <w:r>
        <w:rPr>
          <w:rFonts w:ascii="宋体" w:hAnsi="宋体" w:cs="宋体" w:eastAsia="宋体" w:hint="default"/>
          <w:spacing w:val="-3"/>
        </w:rPr>
        <w:t>2006</w:t>
      </w:r>
    </w:p>
    <w:p>
      <w:pPr>
        <w:pStyle w:val="BodyText"/>
        <w:spacing w:line="408" w:lineRule="auto"/>
        <w:ind w:left="154" w:right="102"/>
        <w:jc w:val="left"/>
      </w:pPr>
      <w:r>
        <w:rPr>
          <w:spacing w:val="-1"/>
        </w:rPr>
        <w:t>年至</w:t>
      </w:r>
      <w:r>
        <w:rPr>
          <w:rFonts w:ascii="宋体" w:hAnsi="宋体" w:cs="宋体" w:eastAsia="宋体" w:hint="default"/>
          <w:spacing w:val="-1"/>
        </w:rPr>
        <w:t>2012</w:t>
      </w:r>
      <w:r>
        <w:rPr>
          <w:spacing w:val="-1"/>
        </w:rPr>
        <w:t>年任职于深圳市华隆投资集团有限公司，担任总裁助理；</w:t>
      </w:r>
      <w:r>
        <w:rPr>
          <w:rFonts w:ascii="宋体" w:hAnsi="宋体" w:cs="宋体" w:eastAsia="宋体" w:hint="default"/>
          <w:spacing w:val="-1"/>
        </w:rPr>
        <w:t>2010</w:t>
      </w:r>
      <w:r>
        <w:rPr>
          <w:spacing w:val="-1"/>
        </w:rPr>
        <w:t>年至今任职于北京华康瑞宏投资有</w:t>
      </w:r>
      <w:r>
        <w:rPr>
          <w:spacing w:val="-80"/>
        </w:rPr>
        <w:t> </w:t>
      </w:r>
      <w:r>
        <w:rPr>
          <w:spacing w:val="-80"/>
        </w:rPr>
      </w:r>
      <w:r>
        <w:rPr/>
        <w:t>限公司，担任副总经理；现任公司董事。</w:t>
      </w:r>
    </w:p>
    <w:p>
      <w:pPr>
        <w:spacing w:after="0" w:line="408" w:lineRule="auto"/>
        <w:jc w:val="left"/>
        <w:sectPr>
          <w:pgSz w:w="11910" w:h="16840"/>
          <w:pgMar w:header="747" w:footer="1000" w:top="1040" w:bottom="118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573" w:right="0"/>
        <w:jc w:val="left"/>
      </w:pPr>
      <w:r>
        <w:rPr>
          <w:rFonts w:ascii="宋体" w:hAnsi="宋体" w:cs="宋体" w:eastAsia="宋体" w:hint="default"/>
        </w:rPr>
        <w:t>7</w:t>
      </w:r>
      <w:r>
        <w:rPr/>
        <w:t>、独立董事廖家河先生简历： 廖家河先生，</w:t>
      </w:r>
      <w:r>
        <w:rPr>
          <w:rFonts w:ascii="宋体" w:hAnsi="宋体" w:cs="宋体" w:eastAsia="宋体" w:hint="default"/>
        </w:rPr>
        <w:t>1969</w:t>
      </w:r>
      <w:r>
        <w:rPr/>
        <w:t>年</w:t>
      </w:r>
      <w:r>
        <w:rPr>
          <w:rFonts w:ascii="宋体" w:hAnsi="宋体" w:cs="宋体" w:eastAsia="宋体" w:hint="default"/>
        </w:rPr>
        <w:t>12</w:t>
      </w:r>
      <w:r>
        <w:rPr/>
        <w:t>月出生，中国国籍，无境外永久居留权，大学本科学历。</w:t>
      </w:r>
      <w:r>
        <w:rPr>
          <w:rFonts w:ascii="宋体" w:hAnsi="宋体" w:cs="宋体" w:eastAsia="宋体" w:hint="default"/>
        </w:rPr>
        <w:t>2005</w:t>
      </w:r>
      <w:r>
        <w:rPr/>
        <w:t>年至</w:t>
      </w:r>
      <w:r>
        <w:rPr>
          <w:rFonts w:ascii="宋体" w:hAnsi="宋体" w:cs="宋体" w:eastAsia="宋体" w:hint="default"/>
        </w:rPr>
        <w:t>2011</w:t>
      </w:r>
      <w:r>
        <w:rPr/>
        <w:t>年</w:t>
      </w:r>
      <w:r>
        <w:rPr>
          <w:rFonts w:ascii="宋体" w:hAnsi="宋体" w:cs="宋体" w:eastAsia="宋体" w:hint="default"/>
        </w:rPr>
        <w:t>8</w:t>
      </w:r>
      <w:r>
        <w:rPr/>
        <w:t>月</w:t>
      </w:r>
    </w:p>
    <w:p>
      <w:pPr>
        <w:pStyle w:val="BodyText"/>
        <w:spacing w:line="408" w:lineRule="auto"/>
        <w:ind w:right="151"/>
        <w:jc w:val="both"/>
      </w:pPr>
      <w:r>
        <w:rPr/>
        <w:t>担任天健正信会计师事务所（原中和正信会计师事务所）合伙人；</w:t>
      </w:r>
      <w:r>
        <w:rPr>
          <w:rFonts w:ascii="宋体" w:hAnsi="宋体" w:cs="宋体" w:eastAsia="宋体" w:hint="default"/>
        </w:rPr>
        <w:t>2011</w:t>
      </w:r>
      <w:r>
        <w:rPr/>
        <w:t>年</w:t>
      </w:r>
      <w:r>
        <w:rPr>
          <w:rFonts w:ascii="宋体" w:hAnsi="宋体" w:cs="宋体" w:eastAsia="宋体" w:hint="default"/>
        </w:rPr>
        <w:t>8</w:t>
      </w:r>
      <w:r>
        <w:rPr/>
        <w:t>月至今担任立信会计师事务所</w:t>
      </w:r>
      <w:r>
        <w:rPr>
          <w:spacing w:val="-29"/>
        </w:rPr>
        <w:t> </w:t>
      </w:r>
      <w:r>
        <w:rPr>
          <w:spacing w:val="-29"/>
        </w:rPr>
      </w:r>
      <w:r>
        <w:rPr>
          <w:spacing w:val="-1"/>
        </w:rPr>
        <w:t>有限公司合伙人；北京中关村科技发展控股股份有限公司、河南省中原内配股份有限公司、江苏双星彩塑</w:t>
      </w:r>
      <w:r>
        <w:rPr>
          <w:spacing w:val="-83"/>
        </w:rPr>
        <w:t> </w:t>
      </w:r>
      <w:r>
        <w:rPr>
          <w:spacing w:val="-83"/>
        </w:rPr>
      </w:r>
      <w:r>
        <w:rPr/>
        <w:t>新材料股份有限公司独立董事，公司独立董事。</w:t>
      </w:r>
    </w:p>
    <w:p>
      <w:pPr>
        <w:pStyle w:val="BodyText"/>
        <w:spacing w:line="408" w:lineRule="auto"/>
        <w:ind w:left="573" w:right="0"/>
        <w:jc w:val="left"/>
      </w:pPr>
      <w:r>
        <w:rPr>
          <w:rFonts w:ascii="宋体" w:hAnsi="宋体" w:cs="宋体" w:eastAsia="宋体" w:hint="default"/>
        </w:rPr>
        <w:t>8</w:t>
      </w:r>
      <w:r>
        <w:rPr/>
        <w:t>、独立董事曲凯先生简历： 曲凯先生，</w:t>
      </w:r>
      <w:r>
        <w:rPr>
          <w:rFonts w:ascii="宋体" w:hAnsi="宋体" w:cs="宋体" w:eastAsia="宋体" w:hint="default"/>
        </w:rPr>
        <w:t>1970</w:t>
      </w:r>
      <w:r>
        <w:rPr/>
        <w:t>年</w:t>
      </w:r>
      <w:r>
        <w:rPr>
          <w:rFonts w:ascii="宋体" w:hAnsi="宋体" w:cs="宋体" w:eastAsia="宋体" w:hint="default"/>
        </w:rPr>
        <w:t>5</w:t>
      </w:r>
      <w:r>
        <w:rPr/>
        <w:t>月出生，中国国籍，无境外永久居留权，法学学士，律师。现任北京国枫凯文律</w:t>
      </w:r>
    </w:p>
    <w:p>
      <w:pPr>
        <w:pStyle w:val="BodyText"/>
        <w:spacing w:line="408" w:lineRule="auto"/>
        <w:ind w:right="153"/>
        <w:jc w:val="both"/>
      </w:pPr>
      <w:r>
        <w:rPr>
          <w:spacing w:val="-1"/>
        </w:rPr>
        <w:t>师事务所律师、合伙人，楚天科技股份有限公司、北京恩菲环保股份有限公司、重庆啤酒股份有限公司独</w:t>
      </w:r>
      <w:r>
        <w:rPr>
          <w:spacing w:val="-86"/>
        </w:rPr>
        <w:t> </w:t>
      </w:r>
      <w:r>
        <w:rPr>
          <w:spacing w:val="-86"/>
        </w:rPr>
      </w:r>
      <w:r>
        <w:rPr/>
        <w:t>立董事，公司独立董事。</w:t>
      </w:r>
    </w:p>
    <w:p>
      <w:pPr>
        <w:pStyle w:val="BodyText"/>
        <w:spacing w:line="408" w:lineRule="auto"/>
        <w:ind w:left="573" w:right="218"/>
        <w:jc w:val="left"/>
      </w:pPr>
      <w:r>
        <w:rPr>
          <w:rFonts w:ascii="宋体" w:hAnsi="宋体" w:cs="宋体" w:eastAsia="宋体" w:hint="default"/>
        </w:rPr>
        <w:t>9</w:t>
      </w:r>
      <w:r>
        <w:rPr/>
        <w:t>、独立董事李和渝先生简历： 李和渝先生，</w:t>
      </w:r>
      <w:r>
        <w:rPr>
          <w:rFonts w:ascii="宋体" w:hAnsi="宋体" w:cs="宋体" w:eastAsia="宋体" w:hint="default"/>
        </w:rPr>
        <w:t>1956</w:t>
      </w:r>
      <w:r>
        <w:rPr/>
        <w:t>年</w:t>
      </w:r>
      <w:r>
        <w:rPr>
          <w:rFonts w:ascii="宋体" w:hAnsi="宋体" w:cs="宋体" w:eastAsia="宋体" w:hint="default"/>
        </w:rPr>
        <w:t>7</w:t>
      </w:r>
      <w:r>
        <w:rPr/>
        <w:t>月出生，中国国籍，无境外永久居留权，大学本科学历。现任东南大学成贤学</w:t>
      </w:r>
    </w:p>
    <w:p>
      <w:pPr>
        <w:pStyle w:val="BodyText"/>
        <w:spacing w:line="408" w:lineRule="auto"/>
        <w:ind w:left="574" w:right="5362" w:hanging="420"/>
        <w:jc w:val="left"/>
      </w:pPr>
      <w:r>
        <w:rPr/>
        <w:t>院党委书记。</w:t>
      </w:r>
      <w:r>
        <w:rPr>
          <w:rFonts w:ascii="宋体" w:hAnsi="宋体" w:cs="宋体" w:eastAsia="宋体" w:hint="default"/>
        </w:rPr>
        <w:t>2009</w:t>
      </w:r>
      <w:r>
        <w:rPr/>
        <w:t>年至</w:t>
      </w:r>
      <w:r>
        <w:rPr>
          <w:rFonts w:ascii="宋体" w:hAnsi="宋体" w:cs="宋体" w:eastAsia="宋体" w:hint="default"/>
        </w:rPr>
        <w:t>2014</w:t>
      </w:r>
      <w:r>
        <w:rPr/>
        <w:t>年任公司独立董事。 </w:t>
      </w:r>
      <w:r>
        <w:rPr>
          <w:rFonts w:ascii="宋体" w:hAnsi="宋体" w:cs="宋体" w:eastAsia="宋体" w:hint="default"/>
        </w:rPr>
        <w:t>10</w:t>
      </w:r>
      <w:r>
        <w:rPr/>
        <w:t>、监事会主席朱云飞先生简历：</w:t>
      </w:r>
    </w:p>
    <w:p>
      <w:pPr>
        <w:pStyle w:val="BodyText"/>
        <w:spacing w:line="408" w:lineRule="auto"/>
        <w:ind w:left="154" w:right="0" w:firstLine="420"/>
        <w:jc w:val="left"/>
      </w:pPr>
      <w:r>
        <w:rPr/>
        <w:t>朱云飞先生，</w:t>
      </w:r>
      <w:r>
        <w:rPr>
          <w:rFonts w:ascii="宋体" w:hAnsi="宋体" w:cs="宋体" w:eastAsia="宋体" w:hint="default"/>
        </w:rPr>
        <w:t>1964</w:t>
      </w:r>
      <w:r>
        <w:rPr/>
        <w:t>年</w:t>
      </w:r>
      <w:r>
        <w:rPr>
          <w:rFonts w:ascii="宋体" w:hAnsi="宋体" w:cs="宋体" w:eastAsia="宋体" w:hint="default"/>
        </w:rPr>
        <w:t>7</w:t>
      </w:r>
      <w:r>
        <w:rPr/>
        <w:t>月出生，中国国籍，无境外永久居留权，大学本科学历。</w:t>
      </w:r>
      <w:r>
        <w:rPr>
          <w:rFonts w:ascii="宋体" w:hAnsi="宋体" w:cs="宋体" w:eastAsia="宋体" w:hint="default"/>
        </w:rPr>
        <w:t>2009</w:t>
      </w:r>
      <w:r>
        <w:rPr/>
        <w:t>年至今任公司监 事会主席；全资子公司苏源光一监事、智友尚云监事；控股子公司云商天下监事、索瑞电气监事。</w:t>
      </w:r>
    </w:p>
    <w:p>
      <w:pPr>
        <w:pStyle w:val="BodyText"/>
        <w:spacing w:line="408" w:lineRule="auto"/>
        <w:ind w:left="574" w:right="0"/>
        <w:jc w:val="left"/>
      </w:pPr>
      <w:r>
        <w:rPr>
          <w:rFonts w:ascii="宋体" w:hAnsi="宋体" w:cs="宋体" w:eastAsia="宋体" w:hint="default"/>
        </w:rPr>
        <w:t>11</w:t>
      </w:r>
      <w:r>
        <w:rPr/>
        <w:t>、监事徐一宁先生简历： </w:t>
      </w:r>
      <w:r>
        <w:rPr>
          <w:spacing w:val="-1"/>
        </w:rPr>
        <w:t>徐一宁先生，</w:t>
      </w:r>
      <w:r>
        <w:rPr>
          <w:rFonts w:ascii="宋体" w:hAnsi="宋体" w:cs="宋体" w:eastAsia="宋体" w:hint="default"/>
          <w:spacing w:val="-1"/>
        </w:rPr>
        <w:t>1949</w:t>
      </w:r>
      <w:r>
        <w:rPr>
          <w:spacing w:val="-1"/>
        </w:rPr>
        <w:t>年</w:t>
      </w:r>
      <w:r>
        <w:rPr>
          <w:rFonts w:ascii="宋体" w:hAnsi="宋体" w:cs="宋体" w:eastAsia="宋体" w:hint="default"/>
          <w:spacing w:val="-1"/>
        </w:rPr>
        <w:t>10</w:t>
      </w:r>
      <w:r>
        <w:rPr>
          <w:spacing w:val="-1"/>
        </w:rPr>
        <w:t>月出生，中国国籍，无境外永久居留权，大学本科学历。</w:t>
      </w:r>
      <w:r>
        <w:rPr>
          <w:rFonts w:ascii="宋体" w:hAnsi="宋体" w:cs="宋体" w:eastAsia="宋体" w:hint="default"/>
          <w:spacing w:val="-1"/>
        </w:rPr>
        <w:t>2009</w:t>
      </w:r>
      <w:r>
        <w:rPr>
          <w:spacing w:val="-1"/>
        </w:rPr>
        <w:t>年至</w:t>
      </w:r>
      <w:r>
        <w:rPr>
          <w:rFonts w:ascii="宋体" w:hAnsi="宋体" w:cs="宋体" w:eastAsia="宋体" w:hint="default"/>
          <w:spacing w:val="-1"/>
        </w:rPr>
        <w:t>2012</w:t>
      </w:r>
      <w:r>
        <w:rPr>
          <w:spacing w:val="-1"/>
        </w:rPr>
        <w:t>年任公</w:t>
      </w:r>
    </w:p>
    <w:p>
      <w:pPr>
        <w:pStyle w:val="BodyText"/>
        <w:spacing w:line="408" w:lineRule="auto"/>
        <w:ind w:left="573" w:right="0" w:hanging="420"/>
        <w:jc w:val="left"/>
      </w:pPr>
      <w:r>
        <w:rPr/>
        <w:t>司第一届董事会副董事长，现任公司第二届监事会监事、研发中心顾问；全资子公司苏源光一董事。 </w:t>
      </w:r>
      <w:r>
        <w:rPr>
          <w:rFonts w:ascii="宋体" w:hAnsi="宋体" w:cs="宋体" w:eastAsia="宋体" w:hint="default"/>
        </w:rPr>
        <w:t>12</w:t>
      </w:r>
      <w:r>
        <w:rPr/>
        <w:t>、监事何素蓉女士简历： 何素蓉女士，</w:t>
      </w:r>
      <w:r>
        <w:rPr>
          <w:rFonts w:ascii="宋体" w:hAnsi="宋体" w:cs="宋体" w:eastAsia="宋体" w:hint="default"/>
        </w:rPr>
        <w:t>1981</w:t>
      </w:r>
      <w:r>
        <w:rPr/>
        <w:t>年</w:t>
      </w:r>
      <w:r>
        <w:rPr>
          <w:rFonts w:ascii="宋体" w:hAnsi="宋体" w:cs="宋体" w:eastAsia="宋体" w:hint="default"/>
        </w:rPr>
        <w:t>8</w:t>
      </w:r>
      <w:r>
        <w:rPr/>
        <w:t>月出生，中国国籍，无境外永久居留权，大学专科学历。</w:t>
      </w:r>
      <w:r>
        <w:rPr>
          <w:rFonts w:ascii="宋体" w:hAnsi="宋体" w:cs="宋体" w:eastAsia="宋体" w:hint="default"/>
        </w:rPr>
        <w:t>2009</w:t>
      </w:r>
      <w:r>
        <w:rPr/>
        <w:t>年至今任公司职</w:t>
      </w:r>
    </w:p>
    <w:p>
      <w:pPr>
        <w:pStyle w:val="BodyText"/>
        <w:spacing w:line="240" w:lineRule="auto"/>
        <w:ind w:left="154" w:right="0"/>
        <w:jc w:val="left"/>
      </w:pPr>
      <w:r>
        <w:rPr/>
        <w:t>工监事。</w:t>
      </w:r>
    </w:p>
    <w:p>
      <w:pPr>
        <w:spacing w:line="240" w:lineRule="auto" w:before="10"/>
        <w:rPr>
          <w:rFonts w:ascii="宋体" w:hAnsi="宋体" w:cs="宋体" w:eastAsia="宋体" w:hint="default"/>
          <w:sz w:val="14"/>
          <w:szCs w:val="14"/>
        </w:rPr>
      </w:pPr>
    </w:p>
    <w:p>
      <w:pPr>
        <w:pStyle w:val="BodyText"/>
        <w:spacing w:line="408" w:lineRule="auto" w:before="0"/>
        <w:ind w:left="574" w:right="0"/>
        <w:jc w:val="left"/>
      </w:pPr>
      <w:r>
        <w:rPr>
          <w:rFonts w:ascii="宋体" w:hAnsi="宋体" w:cs="宋体" w:eastAsia="宋体" w:hint="default"/>
        </w:rPr>
        <w:t>13</w:t>
      </w:r>
      <w:r>
        <w:rPr/>
        <w:t>、副总经理沈健先生简历： </w:t>
      </w:r>
      <w:r>
        <w:rPr>
          <w:spacing w:val="-1"/>
        </w:rPr>
        <w:t>沈健先生，</w:t>
      </w:r>
      <w:r>
        <w:rPr>
          <w:rFonts w:ascii="宋体" w:hAnsi="宋体" w:cs="宋体" w:eastAsia="宋体" w:hint="default"/>
          <w:spacing w:val="-1"/>
        </w:rPr>
        <w:t>1972</w:t>
      </w:r>
      <w:r>
        <w:rPr>
          <w:spacing w:val="-1"/>
        </w:rPr>
        <w:t>年出生，中国国籍，无境外永久居留权，硕士研究生学历。</w:t>
      </w:r>
      <w:r>
        <w:rPr>
          <w:rFonts w:ascii="宋体" w:hAnsi="宋体" w:cs="宋体" w:eastAsia="宋体" w:hint="default"/>
          <w:spacing w:val="-1"/>
        </w:rPr>
        <w:t>2009</w:t>
      </w:r>
      <w:r>
        <w:rPr>
          <w:spacing w:val="-1"/>
        </w:rPr>
        <w:t>年至</w:t>
      </w:r>
      <w:r>
        <w:rPr>
          <w:rFonts w:ascii="宋体" w:hAnsi="宋体" w:cs="宋体" w:eastAsia="宋体" w:hint="default"/>
          <w:spacing w:val="-1"/>
        </w:rPr>
        <w:t>2012</w:t>
      </w:r>
      <w:r>
        <w:rPr>
          <w:spacing w:val="-1"/>
        </w:rPr>
        <w:t>年任公司副</w:t>
      </w:r>
    </w:p>
    <w:p>
      <w:pPr>
        <w:pStyle w:val="BodyText"/>
        <w:spacing w:line="408" w:lineRule="auto"/>
        <w:ind w:left="154" w:right="153"/>
        <w:jc w:val="both"/>
      </w:pPr>
      <w:r>
        <w:rPr>
          <w:spacing w:val="-1"/>
        </w:rPr>
        <w:t>总经理、董事会秘书；</w:t>
      </w:r>
      <w:r>
        <w:rPr>
          <w:rFonts w:ascii="宋体" w:hAnsi="宋体" w:cs="宋体" w:eastAsia="宋体" w:hint="default"/>
          <w:spacing w:val="-1"/>
        </w:rPr>
        <w:t>2012</w:t>
      </w:r>
      <w:r>
        <w:rPr>
          <w:spacing w:val="-1"/>
        </w:rPr>
        <w:t>年至今任公司副总经理；参股子公司中云文化大数据董事、总经理；南京宇能</w:t>
      </w:r>
      <w:r>
        <w:rPr>
          <w:spacing w:val="-82"/>
        </w:rPr>
        <w:t> </w:t>
      </w:r>
      <w:r>
        <w:rPr>
          <w:spacing w:val="-82"/>
        </w:rPr>
      </w:r>
      <w:r>
        <w:rPr/>
        <w:t>董事长。</w:t>
      </w:r>
    </w:p>
    <w:p>
      <w:pPr>
        <w:pStyle w:val="BodyText"/>
        <w:spacing w:line="408" w:lineRule="auto"/>
        <w:ind w:left="574" w:right="0"/>
        <w:jc w:val="left"/>
      </w:pPr>
      <w:r>
        <w:rPr>
          <w:rFonts w:ascii="宋体" w:hAnsi="宋体" w:cs="宋体" w:eastAsia="宋体" w:hint="default"/>
        </w:rPr>
        <w:t>14</w:t>
      </w:r>
      <w:r>
        <w:rPr/>
        <w:t>、副总经理、董事会秘书蒋悦女士简历： 蒋悦女士，</w:t>
      </w:r>
      <w:r>
        <w:rPr>
          <w:rFonts w:ascii="宋体" w:hAnsi="宋体" w:cs="宋体" w:eastAsia="宋体" w:hint="default"/>
        </w:rPr>
        <w:t>1974</w:t>
      </w:r>
      <w:r>
        <w:rPr/>
        <w:t>年</w:t>
      </w:r>
      <w:r>
        <w:rPr>
          <w:rFonts w:ascii="宋体" w:hAnsi="宋体" w:cs="宋体" w:eastAsia="宋体" w:hint="default"/>
        </w:rPr>
        <w:t>6</w:t>
      </w:r>
      <w:r>
        <w:rPr/>
        <w:t>月出生，中国国籍，无境外永久居留权，大专学历，非执业注册会计师。</w:t>
      </w:r>
      <w:r>
        <w:rPr>
          <w:rFonts w:ascii="宋体" w:hAnsi="宋体" w:cs="宋体" w:eastAsia="宋体" w:hint="default"/>
        </w:rPr>
        <w:t>2010</w:t>
      </w:r>
      <w:r>
        <w:rPr/>
        <w:t>年</w:t>
      </w:r>
    </w:p>
    <w:p>
      <w:pPr>
        <w:pStyle w:val="BodyText"/>
        <w:spacing w:line="408" w:lineRule="auto"/>
        <w:ind w:left="574" w:right="0" w:hanging="420"/>
        <w:jc w:val="left"/>
      </w:pPr>
      <w:r>
        <w:rPr/>
        <w:t>至</w:t>
      </w:r>
      <w:r>
        <w:rPr>
          <w:rFonts w:ascii="宋体" w:hAnsi="宋体" w:cs="宋体" w:eastAsia="宋体" w:hint="default"/>
        </w:rPr>
        <w:t>2012</w:t>
      </w:r>
      <w:r>
        <w:rPr/>
        <w:t>年任公司证券事务代表；</w:t>
      </w:r>
      <w:r>
        <w:rPr>
          <w:rFonts w:ascii="宋体" w:hAnsi="宋体" w:cs="宋体" w:eastAsia="宋体" w:hint="default"/>
        </w:rPr>
        <w:t>2012</w:t>
      </w:r>
      <w:r>
        <w:rPr/>
        <w:t>年至今任公司副总经理、董事会秘书；全资子公司光一贵仁监事。 </w:t>
      </w:r>
      <w:r>
        <w:rPr>
          <w:rFonts w:ascii="宋体" w:hAnsi="宋体" w:cs="宋体" w:eastAsia="宋体" w:hint="default"/>
        </w:rPr>
        <w:t>15</w:t>
      </w:r>
      <w:r>
        <w:rPr/>
        <w:t>、财务总监周振娟女士简历： 周振娟女士，</w:t>
      </w:r>
      <w:r>
        <w:rPr>
          <w:rFonts w:ascii="宋体" w:hAnsi="宋体" w:cs="宋体" w:eastAsia="宋体" w:hint="default"/>
        </w:rPr>
        <w:t>1976</w:t>
      </w:r>
      <w:r>
        <w:rPr/>
        <w:t>年</w:t>
      </w:r>
      <w:r>
        <w:rPr>
          <w:rFonts w:ascii="宋体" w:hAnsi="宋体" w:cs="宋体" w:eastAsia="宋体" w:hint="default"/>
        </w:rPr>
        <w:t>8</w:t>
      </w:r>
      <w:r>
        <w:rPr/>
        <w:t>月出生，中国国籍，无境外永久居留权，大专学历，会计师。</w:t>
      </w:r>
      <w:r>
        <w:rPr>
          <w:rFonts w:ascii="宋体" w:hAnsi="宋体" w:cs="宋体" w:eastAsia="宋体" w:hint="default"/>
        </w:rPr>
        <w:t>2009</w:t>
      </w:r>
      <w:r>
        <w:rPr/>
        <w:t>年至</w:t>
      </w:r>
      <w:r>
        <w:rPr>
          <w:rFonts w:ascii="宋体" w:hAnsi="宋体" w:cs="宋体" w:eastAsia="宋体" w:hint="default"/>
        </w:rPr>
        <w:t>2010</w:t>
      </w:r>
      <w:r>
        <w:rPr/>
        <w:t>年</w:t>
      </w:r>
    </w:p>
    <w:p>
      <w:pPr>
        <w:spacing w:after="0" w:line="408"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0"/>
        <w:jc w:val="left"/>
      </w:pPr>
      <w:r>
        <w:rPr>
          <w:spacing w:val="-1"/>
        </w:rPr>
        <w:t>任江苏光一文化有限责任公司总经理助理；</w:t>
      </w:r>
      <w:r>
        <w:rPr>
          <w:rFonts w:ascii="宋体" w:hAnsi="宋体" w:cs="宋体" w:eastAsia="宋体" w:hint="default"/>
          <w:spacing w:val="-1"/>
        </w:rPr>
        <w:t>2010</w:t>
      </w:r>
      <w:r>
        <w:rPr>
          <w:spacing w:val="-1"/>
        </w:rPr>
        <w:t>年至</w:t>
      </w:r>
      <w:r>
        <w:rPr>
          <w:rFonts w:ascii="宋体" w:hAnsi="宋体" w:cs="宋体" w:eastAsia="宋体" w:hint="default"/>
          <w:spacing w:val="-1"/>
        </w:rPr>
        <w:t>2011</w:t>
      </w:r>
      <w:r>
        <w:rPr>
          <w:spacing w:val="-1"/>
        </w:rPr>
        <w:t>年任公司审计经理；</w:t>
      </w:r>
      <w:r>
        <w:rPr>
          <w:rFonts w:ascii="宋体" w:hAnsi="宋体" w:cs="宋体" w:eastAsia="宋体" w:hint="default"/>
          <w:spacing w:val="-1"/>
        </w:rPr>
        <w:t>2012</w:t>
      </w:r>
      <w:r>
        <w:rPr>
          <w:spacing w:val="-1"/>
        </w:rPr>
        <w:t>年至</w:t>
      </w:r>
      <w:r>
        <w:rPr>
          <w:rFonts w:ascii="宋体" w:hAnsi="宋体" w:cs="宋体" w:eastAsia="宋体" w:hint="default"/>
          <w:spacing w:val="-1"/>
        </w:rPr>
        <w:t>2014</w:t>
      </w:r>
      <w:r>
        <w:rPr>
          <w:spacing w:val="-1"/>
        </w:rPr>
        <w:t>年任公司财务</w:t>
      </w:r>
      <w:r>
        <w:rPr>
          <w:spacing w:val="-75"/>
        </w:rPr>
        <w:t> </w:t>
      </w:r>
      <w:r>
        <w:rPr>
          <w:spacing w:val="-75"/>
        </w:rPr>
      </w:r>
      <w:r>
        <w:rPr/>
        <w:t>经理；</w:t>
      </w:r>
      <w:r>
        <w:rPr>
          <w:rFonts w:ascii="宋体" w:hAnsi="宋体" w:cs="宋体" w:eastAsia="宋体" w:hint="default"/>
        </w:rPr>
        <w:t>2014</w:t>
      </w:r>
      <w:r>
        <w:rPr/>
        <w:t>年至今任公司财务总监、全资子公司智友尚云总经理。</w:t>
      </w:r>
    </w:p>
    <w:p>
      <w:pPr>
        <w:pStyle w:val="BodyText"/>
        <w:spacing w:line="240" w:lineRule="auto"/>
        <w:ind w:right="0"/>
        <w:jc w:val="left"/>
      </w:pPr>
      <w:r>
        <w:rPr/>
        <w:t>在股东单位任职情况</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202"/>
        <w:gridCol w:w="2910"/>
        <w:gridCol w:w="992"/>
        <w:gridCol w:w="1700"/>
        <w:gridCol w:w="1419"/>
        <w:gridCol w:w="1345"/>
      </w:tblGrid>
      <w:tr>
        <w:trPr>
          <w:trHeight w:val="727" w:hRule="exact"/>
        </w:trPr>
        <w:tc>
          <w:tcPr>
            <w:tcW w:w="120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38" w:right="3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7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124" w:right="25"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7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7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熊  俊</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北京华康瑞宏投资有限公司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57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李  俊</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北京华康瑞宏投资有限公司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9"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7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7" w:hRule="exact"/>
        </w:trPr>
        <w:tc>
          <w:tcPr>
            <w:tcW w:w="120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52"/>
              <w:ind w:left="13"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董事熊俊先生、李俊先生在股东单位北京华康瑞宏投资有限公司任职，并在其领取薪酬。</w:t>
            </w:r>
          </w:p>
        </w:tc>
      </w:tr>
    </w:tbl>
    <w:p>
      <w:pPr>
        <w:pStyle w:val="BodyText"/>
        <w:spacing w:line="240" w:lineRule="auto" w:before="63"/>
        <w:ind w:left="154" w:right="0"/>
        <w:jc w:val="left"/>
      </w:pPr>
      <w:r>
        <w:rPr/>
        <w:t>在其他单位任职情况</w:t>
      </w:r>
    </w:p>
    <w:p>
      <w:pPr>
        <w:spacing w:line="240" w:lineRule="auto" w:before="10"/>
        <w:rPr>
          <w:rFonts w:ascii="宋体" w:hAnsi="宋体" w:cs="宋体" w:eastAsia="宋体" w:hint="default"/>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2"/>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1202"/>
        <w:gridCol w:w="3160"/>
        <w:gridCol w:w="991"/>
        <w:gridCol w:w="1559"/>
        <w:gridCol w:w="1277"/>
        <w:gridCol w:w="1381"/>
      </w:tblGrid>
      <w:tr>
        <w:trPr>
          <w:trHeight w:val="727" w:hRule="exact"/>
        </w:trPr>
        <w:tc>
          <w:tcPr>
            <w:tcW w:w="120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9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38" w:right="36"/>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8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9" w:lineRule="auto" w:before="51"/>
              <w:ind w:left="142" w:right="4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李和渝</w:t>
            </w:r>
          </w:p>
        </w:tc>
        <w:tc>
          <w:tcPr>
            <w:tcW w:w="3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东南大学成贤学院</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党委书记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廖家河</w:t>
            </w:r>
          </w:p>
        </w:tc>
        <w:tc>
          <w:tcPr>
            <w:tcW w:w="3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立信会计师事务所有限公司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廖家河</w:t>
            </w:r>
          </w:p>
        </w:tc>
        <w:tc>
          <w:tcPr>
            <w:tcW w:w="3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北京中关村科技发展控股股份有限公司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廖家河</w:t>
            </w:r>
          </w:p>
        </w:tc>
        <w:tc>
          <w:tcPr>
            <w:tcW w:w="3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河南省中原内配股份有限公司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廖家河</w:t>
            </w:r>
          </w:p>
        </w:tc>
        <w:tc>
          <w:tcPr>
            <w:tcW w:w="3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江苏双星彩塑新材料股份有限公司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曲  凯</w:t>
            </w:r>
          </w:p>
        </w:tc>
        <w:tc>
          <w:tcPr>
            <w:tcW w:w="3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北京国枫凯文律师事务所</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曲  凯</w:t>
            </w:r>
          </w:p>
        </w:tc>
        <w:tc>
          <w:tcPr>
            <w:tcW w:w="3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北京恩菲环保股份有限公司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2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曲  凯</w:t>
            </w:r>
          </w:p>
        </w:tc>
        <w:tc>
          <w:tcPr>
            <w:tcW w:w="3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楚天科技股份有限公司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6" w:hRule="exact"/>
        </w:trPr>
        <w:tc>
          <w:tcPr>
            <w:tcW w:w="12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曲  凯</w:t>
            </w:r>
          </w:p>
        </w:tc>
        <w:tc>
          <w:tcPr>
            <w:tcW w:w="3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重庆啤酒股份有限公司</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7" w:type="dxa"/>
            <w:tcBorders>
              <w:top w:val="single" w:sz="6" w:space="0" w:color="000000"/>
              <w:left w:val="single" w:sz="6" w:space="0" w:color="000000"/>
              <w:bottom w:val="single" w:sz="12" w:space="0" w:color="000000"/>
              <w:right w:val="single" w:sz="6" w:space="0" w:color="000000"/>
            </w:tcBorders>
          </w:tcPr>
          <w:p>
            <w:pPr/>
          </w:p>
        </w:tc>
        <w:tc>
          <w:tcPr>
            <w:tcW w:w="138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ind w:left="154" w:right="0"/>
        <w:jc w:val="left"/>
        <w:rPr>
          <w:b w:val="0"/>
          <w:bCs w:val="0"/>
        </w:rPr>
      </w:pPr>
      <w:bookmarkStart w:name="三、董事、监事、高级管理人员报酬情况" w:id="93"/>
      <w:bookmarkEnd w:id="93"/>
      <w:r>
        <w:rPr>
          <w:b w:val="0"/>
          <w:bCs w:val="0"/>
        </w:rPr>
      </w:r>
      <w:r>
        <w:rPr/>
        <w:t>三、董事、监事、高级管理人员报酬情况</w:t>
      </w:r>
      <w:r>
        <w:rPr>
          <w:b w:val="0"/>
          <w:bCs w:val="0"/>
        </w:rPr>
      </w:r>
    </w:p>
    <w:p>
      <w:pPr>
        <w:spacing w:line="240" w:lineRule="auto" w:before="6"/>
        <w:rPr>
          <w:rFonts w:ascii="宋体" w:hAnsi="宋体" w:cs="宋体" w:eastAsia="宋体" w:hint="default"/>
          <w:b/>
          <w:bCs/>
          <w:sz w:val="28"/>
          <w:szCs w:val="28"/>
        </w:rPr>
      </w:pPr>
    </w:p>
    <w:p>
      <w:pPr>
        <w:spacing w:before="44"/>
        <w:ind w:left="0" w:right="159" w:firstLine="0"/>
        <w:jc w:val="right"/>
        <w:rPr>
          <w:rFonts w:ascii="宋体" w:hAnsi="宋体" w:cs="宋体" w:eastAsia="宋体" w:hint="default"/>
          <w:sz w:val="18"/>
          <w:szCs w:val="18"/>
        </w:rPr>
      </w:pPr>
      <w:r>
        <w:rPr/>
        <w:pict>
          <v:shape style="position:absolute;margin-left:55.919998pt;margin-top:-1.868274pt;width:480.7pt;height:120.9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1"/>
                    <w:gridCol w:w="5307"/>
                  </w:tblGrid>
                  <w:tr>
                    <w:trPr>
                      <w:trHeight w:val="1662" w:hRule="exact"/>
                    </w:trPr>
                    <w:tc>
                      <w:tcPr>
                        <w:tcW w:w="426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7" w:type="dxa"/>
                        <w:tcBorders>
                          <w:top w:val="single" w:sz="12" w:space="0" w:color="000000"/>
                          <w:left w:val="single" w:sz="6" w:space="0" w:color="000000"/>
                          <w:bottom w:val="single" w:sz="6" w:space="0" w:color="000000"/>
                          <w:right w:val="single" w:sz="12" w:space="0" w:color="000000"/>
                        </w:tcBorders>
                      </w:tcPr>
                      <w:p>
                        <w:pPr>
                          <w:pStyle w:val="TableParagraph"/>
                          <w:spacing w:line="319" w:lineRule="auto" w:before="51"/>
                          <w:ind w:left="20" w:right="42"/>
                          <w:jc w:val="both"/>
                          <w:rPr>
                            <w:rFonts w:ascii="宋体" w:hAnsi="宋体" w:cs="宋体" w:eastAsia="宋体" w:hint="default"/>
                            <w:sz w:val="18"/>
                            <w:szCs w:val="18"/>
                          </w:rPr>
                        </w:pPr>
                        <w:r>
                          <w:rPr>
                            <w:rFonts w:ascii="宋体" w:hAnsi="宋体" w:cs="宋体" w:eastAsia="宋体" w:hint="default"/>
                            <w:spacing w:val="-3"/>
                            <w:sz w:val="18"/>
                            <w:szCs w:val="18"/>
                          </w:rPr>
                          <w:t>公司董事、监事报酬按照《董事、监事薪酬管理制度》的规定执行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高级管理人员报酬按照《高级管理人员薪酬管理制度》由董事会根 据绩效考核决定；在公司任职的董事、监事、高级管理人员报酬由 公司支付，董事、监事不另外支付津贴。独立董事津贴依据股东大 会决议支付，董事履责产生的差旅费及住宿费等据实报销。</w:t>
                        </w:r>
                      </w:p>
                    </w:tc>
                  </w:tr>
                  <w:tr>
                    <w:trPr>
                      <w:trHeight w:val="727" w:hRule="exact"/>
                    </w:trPr>
                    <w:tc>
                      <w:tcPr>
                        <w:tcW w:w="426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7"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2"/>
                          <w:ind w:left="20" w:right="42"/>
                          <w:jc w:val="left"/>
                          <w:rPr>
                            <w:rFonts w:ascii="宋体" w:hAnsi="宋体" w:cs="宋体" w:eastAsia="宋体" w:hint="default"/>
                            <w:sz w:val="18"/>
                            <w:szCs w:val="18"/>
                          </w:rPr>
                        </w:pPr>
                        <w:r>
                          <w:rPr>
                            <w:rFonts w:ascii="宋体" w:hAnsi="宋体" w:cs="宋体" w:eastAsia="宋体" w:hint="default"/>
                            <w:sz w:val="18"/>
                            <w:szCs w:val="18"/>
                          </w:rPr>
                          <w:t>依据公司盈利水平及董事、监事、高级管理人员的职责履行情况并 结合年度绩效完成情况综合确定。</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4261"/>
        <w:gridCol w:w="5307"/>
      </w:tblGrid>
      <w:tr>
        <w:trPr>
          <w:trHeight w:val="734" w:hRule="exact"/>
        </w:trPr>
        <w:tc>
          <w:tcPr>
            <w:tcW w:w="4261"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7" w:type="dxa"/>
            <w:tcBorders>
              <w:top w:val="single" w:sz="12" w:space="0" w:color="000000"/>
              <w:left w:val="single" w:sz="6" w:space="0" w:color="000000"/>
              <w:bottom w:val="single" w:sz="12" w:space="0" w:color="000000"/>
              <w:right w:val="single" w:sz="12" w:space="0" w:color="000000"/>
            </w:tcBorders>
          </w:tcPr>
          <w:p>
            <w:pPr>
              <w:pStyle w:val="TableParagraph"/>
              <w:spacing w:line="316" w:lineRule="auto" w:before="51"/>
              <w:ind w:left="20" w:right="11"/>
              <w:jc w:val="left"/>
              <w:rPr>
                <w:rFonts w:ascii="宋体" w:hAnsi="宋体" w:cs="宋体" w:eastAsia="宋体" w:hint="default"/>
                <w:sz w:val="18"/>
                <w:szCs w:val="18"/>
              </w:rPr>
            </w:pPr>
            <w:r>
              <w:rPr>
                <w:rFonts w:ascii="宋体" w:hAnsi="宋体" w:cs="宋体" w:eastAsia="宋体" w:hint="default"/>
                <w:sz w:val="18"/>
                <w:szCs w:val="18"/>
              </w:rPr>
              <w:t>公司现有董事、监事、高级管理人员共</w:t>
            </w:r>
            <w:r>
              <w:rPr>
                <w:rFonts w:ascii="宋体" w:hAnsi="宋体" w:cs="宋体" w:eastAsia="宋体" w:hint="default"/>
                <w:spacing w:val="-57"/>
                <w:sz w:val="18"/>
                <w:szCs w:val="18"/>
              </w:rPr>
              <w:t> </w:t>
            </w:r>
            <w:r>
              <w:rPr>
                <w:rFonts w:ascii="宋体" w:hAnsi="宋体" w:cs="宋体" w:eastAsia="宋体" w:hint="default"/>
                <w:sz w:val="18"/>
                <w:szCs w:val="18"/>
              </w:rPr>
              <w:t>15</w:t>
            </w:r>
            <w:r>
              <w:rPr>
                <w:rFonts w:ascii="宋体" w:hAnsi="宋体" w:cs="宋体" w:eastAsia="宋体" w:hint="default"/>
                <w:spacing w:val="-56"/>
                <w:sz w:val="18"/>
                <w:szCs w:val="18"/>
              </w:rPr>
              <w:t> </w:t>
            </w:r>
            <w:r>
              <w:rPr>
                <w:rFonts w:ascii="宋体" w:hAnsi="宋体" w:cs="宋体" w:eastAsia="宋体" w:hint="default"/>
                <w:spacing w:val="-3"/>
                <w:sz w:val="18"/>
                <w:szCs w:val="18"/>
              </w:rPr>
              <w:t>人，除董事熊俊、李俊不</w:t>
            </w:r>
            <w:r>
              <w:rPr>
                <w:rFonts w:ascii="宋体" w:hAnsi="宋体" w:cs="宋体" w:eastAsia="宋体" w:hint="default"/>
                <w:sz w:val="18"/>
                <w:szCs w:val="18"/>
              </w:rPr>
              <w:t> 在公司领取薪酬外，</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年共计薪酬</w:t>
            </w:r>
            <w:r>
              <w:rPr>
                <w:rFonts w:ascii="宋体" w:hAnsi="宋体" w:cs="宋体" w:eastAsia="宋体" w:hint="default"/>
                <w:spacing w:val="-46"/>
                <w:sz w:val="18"/>
                <w:szCs w:val="18"/>
              </w:rPr>
              <w:t> </w:t>
            </w:r>
            <w:r>
              <w:rPr>
                <w:rFonts w:ascii="宋体" w:hAnsi="宋体" w:cs="宋体" w:eastAsia="宋体" w:hint="default"/>
                <w:sz w:val="18"/>
                <w:szCs w:val="18"/>
              </w:rPr>
              <w:t>269.42</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5"/>
          <w:szCs w:val="5"/>
        </w:rPr>
      </w:pPr>
    </w:p>
    <w:p>
      <w:pPr>
        <w:pStyle w:val="BodyText"/>
        <w:spacing w:line="240" w:lineRule="auto" w:before="35"/>
        <w:ind w:left="154" w:right="0"/>
        <w:jc w:val="left"/>
      </w:pPr>
      <w:r>
        <w:rPr/>
        <w:t>公司报告期内董事、监事和高级管理人员报酬情况</w:t>
      </w:r>
    </w:p>
    <w:p>
      <w:pPr>
        <w:spacing w:line="240" w:lineRule="auto" w:before="5"/>
        <w:rPr>
          <w:rFonts w:ascii="宋体" w:hAnsi="宋体" w:cs="宋体" w:eastAsia="宋体" w:hint="default"/>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277"/>
        <w:gridCol w:w="1418"/>
        <w:gridCol w:w="894"/>
        <w:gridCol w:w="1197"/>
        <w:gridCol w:w="1195"/>
        <w:gridCol w:w="1197"/>
        <w:gridCol w:w="1196"/>
        <w:gridCol w:w="1195"/>
      </w:tblGrid>
      <w:tr>
        <w:trPr>
          <w:trHeight w:val="646" w:hRule="exact"/>
        </w:trPr>
        <w:tc>
          <w:tcPr>
            <w:tcW w:w="127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姓名</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231" w:right="48"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50" w:right="49"/>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10"/>
              <w:ind w:left="230" w:right="41"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12"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48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40.23</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40.23</w:t>
            </w:r>
          </w:p>
        </w:tc>
      </w:tr>
      <w:tr>
        <w:trPr>
          <w:trHeight w:val="412"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王海俊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45</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50.97</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50.97</w:t>
            </w:r>
          </w:p>
        </w:tc>
      </w:tr>
      <w:tr>
        <w:trPr>
          <w:trHeight w:val="640"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邱卫东</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342" w:right="341" w:firstLine="180"/>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49</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28.32</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28.32</w:t>
            </w:r>
          </w:p>
        </w:tc>
      </w:tr>
      <w:tr>
        <w:trPr>
          <w:trHeight w:val="638"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戴晓东</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42" w:right="341" w:firstLine="180"/>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43</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31.82</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31.82</w:t>
            </w:r>
          </w:p>
        </w:tc>
      </w:tr>
      <w:tr>
        <w:trPr>
          <w:trHeight w:val="413"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熊  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29</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李  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39</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廖家河</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45</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w:t>
            </w:r>
          </w:p>
        </w:tc>
      </w:tr>
      <w:tr>
        <w:trPr>
          <w:trHeight w:val="413"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曲  凯</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44</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w:t>
            </w:r>
          </w:p>
        </w:tc>
      </w:tr>
      <w:tr>
        <w:trPr>
          <w:trHeight w:val="412"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李和渝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58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w:t>
            </w:r>
          </w:p>
        </w:tc>
      </w:tr>
      <w:tr>
        <w:trPr>
          <w:trHeight w:val="412"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朱云飞</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50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18.51</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18.51</w:t>
            </w:r>
          </w:p>
        </w:tc>
      </w:tr>
      <w:tr>
        <w:trPr>
          <w:trHeight w:val="413"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right="6"/>
              <w:jc w:val="center"/>
              <w:rPr>
                <w:rFonts w:ascii="宋体" w:hAnsi="宋体" w:cs="宋体" w:eastAsia="宋体" w:hint="default"/>
                <w:sz w:val="18"/>
                <w:szCs w:val="18"/>
              </w:rPr>
            </w:pPr>
            <w:r>
              <w:rPr>
                <w:rFonts w:ascii="宋体" w:hAnsi="宋体" w:cs="宋体" w:eastAsia="宋体" w:hint="default"/>
                <w:sz w:val="18"/>
                <w:szCs w:val="18"/>
              </w:rPr>
              <w:t>徐一宁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sz w:val="18"/>
              </w:rPr>
              <w:t>65</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16</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16</w:t>
            </w:r>
          </w:p>
        </w:tc>
      </w:tr>
      <w:tr>
        <w:trPr>
          <w:trHeight w:val="412"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何素蓉</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33</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5.76</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5.76</w:t>
            </w:r>
          </w:p>
        </w:tc>
      </w:tr>
      <w:tr>
        <w:trPr>
          <w:trHeight w:val="412"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沈  健</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42</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26.53</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26.53</w:t>
            </w:r>
          </w:p>
        </w:tc>
      </w:tr>
      <w:tr>
        <w:trPr>
          <w:trHeight w:val="640"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蒋  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52" w:right="251" w:firstLine="90"/>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40</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18.3</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18.3</w:t>
            </w:r>
          </w:p>
        </w:tc>
      </w:tr>
      <w:tr>
        <w:trPr>
          <w:trHeight w:val="412"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周振娟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38</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17.98</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17.98</w:t>
            </w:r>
          </w:p>
        </w:tc>
      </w:tr>
      <w:tr>
        <w:trPr>
          <w:trHeight w:val="412" w:hRule="exact"/>
        </w:trPr>
        <w:tc>
          <w:tcPr>
            <w:tcW w:w="12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赵俊平</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原副总经理</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52</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12" w:space="0" w:color="000000"/>
            </w:tcBorders>
          </w:tcPr>
          <w:p>
            <w:pPr/>
          </w:p>
        </w:tc>
      </w:tr>
      <w:tr>
        <w:trPr>
          <w:trHeight w:val="420" w:hRule="exact"/>
        </w:trPr>
        <w:tc>
          <w:tcPr>
            <w:tcW w:w="127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89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sz w:val="18"/>
              </w:rPr>
              <w:t>--</w:t>
            </w:r>
          </w:p>
        </w:tc>
        <w:tc>
          <w:tcPr>
            <w:tcW w:w="1197"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19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1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269.42</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0</w:t>
            </w:r>
          </w:p>
        </w:tc>
        <w:tc>
          <w:tcPr>
            <w:tcW w:w="11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269.42</w:t>
            </w:r>
          </w:p>
        </w:tc>
      </w:tr>
    </w:tbl>
    <w:p>
      <w:pPr>
        <w:spacing w:line="240" w:lineRule="auto" w:before="1"/>
        <w:rPr>
          <w:rFonts w:ascii="宋体" w:hAnsi="宋体" w:cs="宋体" w:eastAsia="宋体" w:hint="default"/>
          <w:sz w:val="14"/>
          <w:szCs w:val="14"/>
        </w:rPr>
      </w:pPr>
    </w:p>
    <w:p>
      <w:pPr>
        <w:pStyle w:val="BodyText"/>
        <w:spacing w:line="240" w:lineRule="auto" w:before="35"/>
        <w:ind w:left="154" w:right="0"/>
        <w:jc w:val="left"/>
      </w:pPr>
      <w:r>
        <w:rPr/>
        <w:t>公司董事、监事、高级管理人员报告期内被授予的股权激励情况</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 适用 √</w:t>
      </w:r>
      <w:r>
        <w:rPr>
          <w:spacing w:val="-1"/>
        </w:rPr>
        <w:t> </w:t>
      </w:r>
      <w:r>
        <w:rPr/>
        <w:t>不适用</w:t>
      </w:r>
    </w:p>
    <w:p>
      <w:pPr>
        <w:pStyle w:val="Heading2"/>
        <w:spacing w:line="240" w:lineRule="auto" w:before="170"/>
        <w:ind w:left="154" w:right="0"/>
        <w:jc w:val="left"/>
        <w:rPr>
          <w:b w:val="0"/>
          <w:bCs w:val="0"/>
        </w:rPr>
      </w:pPr>
      <w:bookmarkStart w:name="四、公司董事、监事、高级管理人员变动情况" w:id="94"/>
      <w:bookmarkEnd w:id="94"/>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8"/>
          <w:szCs w:val="8"/>
        </w:rPr>
      </w:pPr>
    </w:p>
    <w:tbl>
      <w:tblPr>
        <w:tblW w:w="0" w:type="auto"/>
        <w:jc w:val="left"/>
        <w:tblInd w:w="138" w:type="dxa"/>
        <w:tblLayout w:type="fixed"/>
        <w:tblCellMar>
          <w:top w:w="0" w:type="dxa"/>
          <w:left w:w="0" w:type="dxa"/>
          <w:bottom w:w="0" w:type="dxa"/>
          <w:right w:w="0" w:type="dxa"/>
        </w:tblCellMar>
        <w:tblLook w:val="01E0"/>
      </w:tblPr>
      <w:tblGrid>
        <w:gridCol w:w="1331"/>
        <w:gridCol w:w="1336"/>
        <w:gridCol w:w="1326"/>
        <w:gridCol w:w="1679"/>
        <w:gridCol w:w="3897"/>
      </w:tblGrid>
      <w:tr>
        <w:trPr>
          <w:trHeight w:val="490" w:hRule="exact"/>
        </w:trPr>
        <w:tc>
          <w:tcPr>
            <w:tcW w:w="133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8"/>
              <w:ind w:right="474"/>
              <w:jc w:val="right"/>
              <w:rPr>
                <w:rFonts w:ascii="宋体" w:hAnsi="宋体" w:cs="宋体" w:eastAsia="宋体" w:hint="default"/>
                <w:sz w:val="18"/>
                <w:szCs w:val="18"/>
              </w:rPr>
            </w:pPr>
            <w:r>
              <w:rPr>
                <w:rFonts w:ascii="宋体" w:hAnsi="宋体" w:cs="宋体" w:eastAsia="宋体" w:hint="default"/>
                <w:sz w:val="18"/>
                <w:szCs w:val="18"/>
              </w:rPr>
              <w:t>类型</w:t>
            </w:r>
          </w:p>
        </w:tc>
        <w:tc>
          <w:tcPr>
            <w:tcW w:w="167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89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88"/>
              <w:ind w:left="6"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83" w:hRule="exact"/>
        </w:trPr>
        <w:tc>
          <w:tcPr>
            <w:tcW w:w="13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周振娟</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474"/>
              <w:jc w:val="right"/>
              <w:rPr>
                <w:rFonts w:ascii="宋体" w:hAnsi="宋体" w:cs="宋体" w:eastAsia="宋体" w:hint="default"/>
                <w:sz w:val="18"/>
                <w:szCs w:val="18"/>
              </w:rPr>
            </w:pPr>
            <w:r>
              <w:rPr>
                <w:rFonts w:ascii="宋体" w:hAnsi="宋体" w:cs="宋体" w:eastAsia="宋体" w:hint="default"/>
                <w:sz w:val="18"/>
                <w:szCs w:val="18"/>
              </w:rPr>
              <w:t>聘任</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8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8"/>
              <w:ind w:left="6" w:right="0"/>
              <w:jc w:val="center"/>
              <w:rPr>
                <w:rFonts w:ascii="宋体" w:hAnsi="宋体" w:cs="宋体" w:eastAsia="宋体" w:hint="default"/>
                <w:sz w:val="18"/>
                <w:szCs w:val="18"/>
              </w:rPr>
            </w:pPr>
            <w:r>
              <w:rPr>
                <w:rFonts w:ascii="宋体" w:hAnsi="宋体" w:cs="宋体" w:eastAsia="宋体" w:hint="default"/>
                <w:sz w:val="18"/>
                <w:szCs w:val="18"/>
              </w:rPr>
              <w:t>公司职务调整</w:t>
            </w:r>
          </w:p>
        </w:tc>
      </w:tr>
      <w:tr>
        <w:trPr>
          <w:trHeight w:val="492" w:hRule="exact"/>
        </w:trPr>
        <w:tc>
          <w:tcPr>
            <w:tcW w:w="133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赵俊平</w:t>
            </w:r>
          </w:p>
        </w:tc>
        <w:tc>
          <w:tcPr>
            <w:tcW w:w="13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9"/>
              <w:ind w:right="474"/>
              <w:jc w:val="right"/>
              <w:rPr>
                <w:rFonts w:ascii="宋体" w:hAnsi="宋体" w:cs="宋体" w:eastAsia="宋体" w:hint="default"/>
                <w:sz w:val="18"/>
                <w:szCs w:val="18"/>
              </w:rPr>
            </w:pPr>
            <w:r>
              <w:rPr>
                <w:rFonts w:ascii="宋体" w:hAnsi="宋体" w:cs="宋体" w:eastAsia="宋体" w:hint="default"/>
                <w:sz w:val="18"/>
                <w:szCs w:val="18"/>
              </w:rPr>
              <w:t>离职</w:t>
            </w:r>
          </w:p>
        </w:tc>
        <w:tc>
          <w:tcPr>
            <w:tcW w:w="16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8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9"/>
              <w:ind w:left="6" w:right="0"/>
              <w:jc w:val="center"/>
              <w:rPr>
                <w:rFonts w:ascii="宋体" w:hAnsi="宋体" w:cs="宋体" w:eastAsia="宋体" w:hint="default"/>
                <w:sz w:val="18"/>
                <w:szCs w:val="18"/>
              </w:rPr>
            </w:pPr>
            <w:r>
              <w:rPr>
                <w:rFonts w:ascii="宋体" w:hAnsi="宋体" w:cs="宋体" w:eastAsia="宋体" w:hint="default"/>
                <w:sz w:val="18"/>
                <w:szCs w:val="18"/>
              </w:rPr>
              <w:t>个人原因</w:t>
            </w:r>
          </w:p>
        </w:tc>
      </w:tr>
    </w:tbl>
    <w:p>
      <w:pPr>
        <w:spacing w:after="0" w:line="240" w:lineRule="auto"/>
        <w:jc w:val="center"/>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宋体" w:hAnsi="宋体" w:cs="宋体" w:eastAsia="宋体" w:hint="default"/>
          <w:b/>
          <w:bCs/>
          <w:sz w:val="20"/>
          <w:szCs w:val="20"/>
        </w:rPr>
      </w:pPr>
    </w:p>
    <w:p>
      <w:pPr>
        <w:pStyle w:val="Heading2"/>
        <w:spacing w:line="240" w:lineRule="auto" w:before="161"/>
        <w:ind w:right="0"/>
        <w:jc w:val="left"/>
        <w:rPr>
          <w:b w:val="0"/>
          <w:bCs w:val="0"/>
        </w:rPr>
      </w:pPr>
      <w:bookmarkStart w:name="五、报告期核心技术团队或关键技术人员变动情况（非董事、监事、高级管理人员）" w:id="95"/>
      <w:bookmarkEnd w:id="95"/>
      <w:r>
        <w:rPr>
          <w:b w:val="0"/>
          <w:bCs w:val="0"/>
        </w:rPr>
      </w:r>
      <w:r>
        <w:rPr/>
        <w:t>五、报告期核心技术团队或关键技术人员变动情况（非董事、监事、高级管理人员）</w:t>
      </w:r>
      <w:r>
        <w:rPr>
          <w:b w:val="0"/>
          <w:bCs w:val="0"/>
        </w:rPr>
      </w:r>
    </w:p>
    <w:p>
      <w:pPr>
        <w:pStyle w:val="BodyText"/>
        <w:spacing w:line="240" w:lineRule="auto" w:before="177"/>
        <w:ind w:left="573" w:right="0"/>
        <w:jc w:val="left"/>
      </w:pPr>
      <w:r>
        <w:rPr/>
        <w:t>报告期内，公司核心技术团队及关键技术人员未发生变动。</w:t>
      </w:r>
    </w:p>
    <w:p>
      <w:pPr>
        <w:spacing w:line="240" w:lineRule="auto" w:before="0"/>
        <w:rPr>
          <w:rFonts w:ascii="宋体" w:hAnsi="宋体" w:cs="宋体" w:eastAsia="宋体" w:hint="default"/>
          <w:sz w:val="20"/>
          <w:szCs w:val="20"/>
        </w:rPr>
      </w:pPr>
    </w:p>
    <w:p>
      <w:pPr>
        <w:pStyle w:val="Heading2"/>
        <w:spacing w:line="240" w:lineRule="auto" w:before="132"/>
        <w:ind w:right="0"/>
        <w:jc w:val="left"/>
        <w:rPr>
          <w:b w:val="0"/>
          <w:bCs w:val="0"/>
        </w:rPr>
      </w:pPr>
      <w:bookmarkStart w:name="六、公司员工情况" w:id="96"/>
      <w:bookmarkEnd w:id="96"/>
      <w:r>
        <w:rPr>
          <w:b w:val="0"/>
          <w:bCs w:val="0"/>
        </w:rPr>
      </w:r>
      <w:r>
        <w:rPr/>
        <w:t>六、公司员工情况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39" w:firstLine="482"/>
        <w:jc w:val="left"/>
      </w:pPr>
      <w:r>
        <w:rPr>
          <w:rFonts w:ascii="宋体" w:hAnsi="宋体" w:cs="宋体" w:eastAsia="宋体" w:hint="default"/>
        </w:rPr>
        <w:t>1</w:t>
      </w: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日，公司及全资子公司苏源光一、智友尚云共有正式员工 </w:t>
      </w:r>
      <w:r>
        <w:rPr>
          <w:rFonts w:ascii="宋体" w:hAnsi="宋体" w:cs="宋体" w:eastAsia="宋体" w:hint="default"/>
        </w:rPr>
        <w:t>432</w:t>
      </w:r>
      <w:r>
        <w:rPr>
          <w:rFonts w:ascii="宋体" w:hAnsi="宋体" w:cs="宋体" w:eastAsia="宋体" w:hint="default"/>
          <w:spacing w:val="-60"/>
        </w:rPr>
        <w:t> </w:t>
      </w:r>
      <w:r>
        <w:rPr>
          <w:spacing w:val="-4"/>
        </w:rPr>
        <w:t>人，具体构成情</w:t>
      </w:r>
      <w:r>
        <w:rPr/>
        <w:t> 况如下：</w:t>
      </w:r>
    </w:p>
    <w:p>
      <w:pPr>
        <w:pStyle w:val="BodyText"/>
        <w:spacing w:line="240" w:lineRule="auto"/>
        <w:ind w:left="636" w:right="0"/>
        <w:jc w:val="left"/>
      </w:pPr>
      <w:r>
        <w:rPr/>
        <w:t>（</w:t>
      </w:r>
      <w:r>
        <w:rPr>
          <w:rFonts w:ascii="宋体" w:hAnsi="宋体" w:cs="宋体" w:eastAsia="宋体" w:hint="default"/>
        </w:rPr>
        <w:t>1</w:t>
      </w:r>
      <w:r>
        <w:rPr/>
        <w:t>）专业结构</w:t>
      </w:r>
    </w:p>
    <w:p>
      <w:pPr>
        <w:spacing w:line="240" w:lineRule="auto" w:before="12"/>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790"/>
        <w:gridCol w:w="2790"/>
        <w:gridCol w:w="2790"/>
      </w:tblGrid>
      <w:tr>
        <w:trPr>
          <w:trHeight w:val="355" w:hRule="exact"/>
        </w:trPr>
        <w:tc>
          <w:tcPr>
            <w:tcW w:w="2790" w:type="dxa"/>
            <w:tcBorders>
              <w:top w:val="single" w:sz="12" w:space="0" w:color="000000"/>
              <w:left w:val="single" w:sz="12"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专业类别</w:t>
            </w:r>
            <w:r>
              <w:rPr>
                <w:rFonts w:ascii="宋体" w:hAnsi="宋体" w:cs="宋体" w:eastAsia="宋体" w:hint="default"/>
                <w:sz w:val="21"/>
                <w:szCs w:val="21"/>
              </w:rPr>
            </w:r>
          </w:p>
        </w:tc>
        <w:tc>
          <w:tcPr>
            <w:tcW w:w="2790"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b/>
                <w:bCs/>
                <w:sz w:val="21"/>
                <w:szCs w:val="21"/>
              </w:rPr>
              <w:t>员工人数（人）</w:t>
            </w:r>
            <w:r>
              <w:rPr>
                <w:rFonts w:ascii="宋体" w:hAnsi="宋体" w:cs="宋体" w:eastAsia="宋体" w:hint="default"/>
                <w:sz w:val="21"/>
                <w:szCs w:val="21"/>
              </w:rPr>
            </w:r>
          </w:p>
        </w:tc>
        <w:tc>
          <w:tcPr>
            <w:tcW w:w="2790" w:type="dxa"/>
            <w:tcBorders>
              <w:top w:val="single" w:sz="12" w:space="0" w:color="000000"/>
              <w:left w:val="single" w:sz="6" w:space="0" w:color="000000"/>
              <w:bottom w:val="single" w:sz="6" w:space="0" w:color="000000"/>
              <w:right w:val="single" w:sz="12"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宋体" w:hAnsi="宋体" w:cs="宋体" w:eastAsia="宋体" w:hint="default"/>
                <w:sz w:val="21"/>
                <w:szCs w:val="21"/>
              </w:rPr>
            </w:r>
          </w:p>
        </w:tc>
      </w:tr>
      <w:tr>
        <w:trPr>
          <w:trHeight w:val="347" w:hRule="exact"/>
        </w:trPr>
        <w:tc>
          <w:tcPr>
            <w:tcW w:w="279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9</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6" w:right="0"/>
              <w:jc w:val="center"/>
              <w:rPr>
                <w:rFonts w:ascii="宋体" w:hAnsi="宋体" w:cs="宋体" w:eastAsia="宋体" w:hint="default"/>
                <w:sz w:val="21"/>
                <w:szCs w:val="21"/>
              </w:rPr>
            </w:pPr>
            <w:r>
              <w:rPr>
                <w:rFonts w:ascii="宋体"/>
                <w:sz w:val="21"/>
              </w:rPr>
              <w:t>2.08%</w:t>
            </w:r>
          </w:p>
        </w:tc>
      </w:tr>
      <w:tr>
        <w:trPr>
          <w:trHeight w:val="347" w:hRule="exact"/>
        </w:trPr>
        <w:tc>
          <w:tcPr>
            <w:tcW w:w="279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工程人员</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29</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6" w:right="0"/>
              <w:jc w:val="center"/>
              <w:rPr>
                <w:rFonts w:ascii="宋体" w:hAnsi="宋体" w:cs="宋体" w:eastAsia="宋体" w:hint="default"/>
                <w:sz w:val="21"/>
                <w:szCs w:val="21"/>
              </w:rPr>
            </w:pPr>
            <w:r>
              <w:rPr>
                <w:rFonts w:ascii="宋体"/>
                <w:sz w:val="21"/>
              </w:rPr>
              <w:t>6.71%</w:t>
            </w:r>
          </w:p>
        </w:tc>
      </w:tr>
      <w:tr>
        <w:trPr>
          <w:trHeight w:val="347" w:hRule="exact"/>
        </w:trPr>
        <w:tc>
          <w:tcPr>
            <w:tcW w:w="279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52</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5" w:right="0"/>
              <w:jc w:val="center"/>
              <w:rPr>
                <w:rFonts w:ascii="宋体" w:hAnsi="宋体" w:cs="宋体" w:eastAsia="宋体" w:hint="default"/>
                <w:sz w:val="21"/>
                <w:szCs w:val="21"/>
              </w:rPr>
            </w:pPr>
            <w:r>
              <w:rPr>
                <w:rFonts w:ascii="宋体"/>
                <w:sz w:val="21"/>
              </w:rPr>
              <w:t>12.03%</w:t>
            </w:r>
          </w:p>
        </w:tc>
      </w:tr>
      <w:tr>
        <w:trPr>
          <w:trHeight w:val="347" w:hRule="exact"/>
        </w:trPr>
        <w:tc>
          <w:tcPr>
            <w:tcW w:w="279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92</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5" w:right="0"/>
              <w:jc w:val="center"/>
              <w:rPr>
                <w:rFonts w:ascii="宋体" w:hAnsi="宋体" w:cs="宋体" w:eastAsia="宋体" w:hint="default"/>
                <w:sz w:val="21"/>
                <w:szCs w:val="21"/>
              </w:rPr>
            </w:pPr>
            <w:r>
              <w:rPr>
                <w:rFonts w:ascii="宋体"/>
                <w:sz w:val="21"/>
              </w:rPr>
              <w:t>21.30%</w:t>
            </w:r>
          </w:p>
        </w:tc>
      </w:tr>
      <w:tr>
        <w:trPr>
          <w:trHeight w:val="348" w:hRule="exact"/>
        </w:trPr>
        <w:tc>
          <w:tcPr>
            <w:tcW w:w="279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186</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5" w:right="0"/>
              <w:jc w:val="center"/>
              <w:rPr>
                <w:rFonts w:ascii="宋体" w:hAnsi="宋体" w:cs="宋体" w:eastAsia="宋体" w:hint="default"/>
                <w:sz w:val="21"/>
                <w:szCs w:val="21"/>
              </w:rPr>
            </w:pPr>
            <w:r>
              <w:rPr>
                <w:rFonts w:ascii="宋体"/>
                <w:sz w:val="21"/>
              </w:rPr>
              <w:t>43.06%</w:t>
            </w:r>
          </w:p>
        </w:tc>
      </w:tr>
      <w:tr>
        <w:trPr>
          <w:trHeight w:val="347" w:hRule="exact"/>
        </w:trPr>
        <w:tc>
          <w:tcPr>
            <w:tcW w:w="2790"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市场人员</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13</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left="6" w:right="0"/>
              <w:jc w:val="center"/>
              <w:rPr>
                <w:rFonts w:ascii="宋体" w:hAnsi="宋体" w:cs="宋体" w:eastAsia="宋体" w:hint="default"/>
                <w:sz w:val="21"/>
                <w:szCs w:val="21"/>
              </w:rPr>
            </w:pPr>
            <w:r>
              <w:rPr>
                <w:rFonts w:ascii="宋体"/>
                <w:sz w:val="21"/>
              </w:rPr>
              <w:t>3.01%</w:t>
            </w:r>
          </w:p>
        </w:tc>
      </w:tr>
      <w:tr>
        <w:trPr>
          <w:trHeight w:val="347" w:hRule="exact"/>
        </w:trPr>
        <w:tc>
          <w:tcPr>
            <w:tcW w:w="279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46</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5" w:right="0"/>
              <w:jc w:val="center"/>
              <w:rPr>
                <w:rFonts w:ascii="宋体" w:hAnsi="宋体" w:cs="宋体" w:eastAsia="宋体" w:hint="default"/>
                <w:sz w:val="21"/>
                <w:szCs w:val="21"/>
              </w:rPr>
            </w:pPr>
            <w:r>
              <w:rPr>
                <w:rFonts w:ascii="宋体"/>
                <w:sz w:val="21"/>
              </w:rPr>
              <w:t>10.65%</w:t>
            </w:r>
          </w:p>
        </w:tc>
      </w:tr>
      <w:tr>
        <w:trPr>
          <w:trHeight w:val="347" w:hRule="exact"/>
        </w:trPr>
        <w:tc>
          <w:tcPr>
            <w:tcW w:w="279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5</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6" w:right="0"/>
              <w:jc w:val="center"/>
              <w:rPr>
                <w:rFonts w:ascii="宋体" w:hAnsi="宋体" w:cs="宋体" w:eastAsia="宋体" w:hint="default"/>
                <w:sz w:val="21"/>
                <w:szCs w:val="21"/>
              </w:rPr>
            </w:pPr>
            <w:r>
              <w:rPr>
                <w:rFonts w:ascii="宋体"/>
                <w:sz w:val="21"/>
              </w:rPr>
              <w:t>1.16%</w:t>
            </w:r>
          </w:p>
        </w:tc>
      </w:tr>
      <w:tr>
        <w:trPr>
          <w:trHeight w:val="355" w:hRule="exact"/>
        </w:trPr>
        <w:tc>
          <w:tcPr>
            <w:tcW w:w="2790" w:type="dxa"/>
            <w:tcBorders>
              <w:top w:val="single" w:sz="6" w:space="0" w:color="000000"/>
              <w:left w:val="single" w:sz="12" w:space="0" w:color="000000"/>
              <w:bottom w:val="single" w:sz="12" w:space="0" w:color="000000"/>
              <w:right w:val="single" w:sz="6" w:space="0" w:color="000000"/>
            </w:tcBorders>
          </w:tcPr>
          <w:p>
            <w:pPr>
              <w:pStyle w:val="TableParagraph"/>
              <w:tabs>
                <w:tab w:pos="632" w:val="left" w:leader="none"/>
              </w:tabs>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9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432</w:t>
            </w:r>
          </w:p>
        </w:tc>
        <w:tc>
          <w:tcPr>
            <w:tcW w:w="2790"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left="5" w:right="0"/>
              <w:jc w:val="center"/>
              <w:rPr>
                <w:rFonts w:ascii="宋体" w:hAnsi="宋体" w:cs="宋体" w:eastAsia="宋体" w:hint="default"/>
                <w:sz w:val="21"/>
                <w:szCs w:val="21"/>
              </w:rPr>
            </w:pPr>
            <w:r>
              <w:rPr>
                <w:rFonts w:ascii="宋体"/>
                <w:sz w:val="21"/>
              </w:rPr>
              <w:t>100.00%</w:t>
            </w:r>
          </w:p>
        </w:tc>
      </w:tr>
    </w:tbl>
    <w:p>
      <w:pPr>
        <w:pStyle w:val="BodyText"/>
        <w:spacing w:line="240" w:lineRule="auto" w:before="63"/>
        <w:ind w:left="636" w:right="0"/>
        <w:jc w:val="left"/>
      </w:pPr>
      <w:r>
        <w:rPr/>
        <w:t>（</w:t>
      </w:r>
      <w:r>
        <w:rPr>
          <w:rFonts w:ascii="宋体" w:hAnsi="宋体" w:cs="宋体" w:eastAsia="宋体" w:hint="default"/>
        </w:rPr>
        <w:t>2</w:t>
      </w:r>
      <w:r>
        <w:rPr/>
        <w:t>）教育程度</w:t>
      </w:r>
    </w:p>
    <w:p>
      <w:pPr>
        <w:spacing w:line="240" w:lineRule="auto" w:before="12"/>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790"/>
        <w:gridCol w:w="2790"/>
        <w:gridCol w:w="2790"/>
      </w:tblGrid>
      <w:tr>
        <w:trPr>
          <w:trHeight w:val="355" w:hRule="exact"/>
        </w:trPr>
        <w:tc>
          <w:tcPr>
            <w:tcW w:w="2790" w:type="dxa"/>
            <w:tcBorders>
              <w:top w:val="single" w:sz="12" w:space="0" w:color="000000"/>
              <w:left w:val="single" w:sz="12"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学历类别</w:t>
            </w:r>
            <w:r>
              <w:rPr>
                <w:rFonts w:ascii="宋体" w:hAnsi="宋体" w:cs="宋体" w:eastAsia="宋体" w:hint="default"/>
                <w:sz w:val="21"/>
                <w:szCs w:val="21"/>
              </w:rPr>
            </w:r>
          </w:p>
        </w:tc>
        <w:tc>
          <w:tcPr>
            <w:tcW w:w="2790" w:type="dxa"/>
            <w:tcBorders>
              <w:top w:val="single" w:sz="12"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员工人数（人）</w:t>
            </w:r>
            <w:r>
              <w:rPr>
                <w:rFonts w:ascii="宋体" w:hAnsi="宋体" w:cs="宋体" w:eastAsia="宋体" w:hint="default"/>
                <w:sz w:val="21"/>
                <w:szCs w:val="21"/>
              </w:rPr>
            </w:r>
          </w:p>
        </w:tc>
        <w:tc>
          <w:tcPr>
            <w:tcW w:w="2790" w:type="dxa"/>
            <w:tcBorders>
              <w:top w:val="single" w:sz="12" w:space="0" w:color="000000"/>
              <w:left w:val="single" w:sz="6" w:space="0" w:color="000000"/>
              <w:bottom w:val="single" w:sz="6" w:space="0" w:color="000000"/>
              <w:right w:val="single" w:sz="12" w:space="0" w:color="000000"/>
            </w:tcBorders>
          </w:tcPr>
          <w:p>
            <w:pPr>
              <w:pStyle w:val="TableParagraph"/>
              <w:spacing w:line="271"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宋体" w:hAnsi="宋体" w:cs="宋体" w:eastAsia="宋体" w:hint="default"/>
                <w:sz w:val="21"/>
                <w:szCs w:val="21"/>
              </w:rPr>
            </w:r>
          </w:p>
        </w:tc>
      </w:tr>
      <w:tr>
        <w:trPr>
          <w:trHeight w:val="347" w:hRule="exact"/>
        </w:trPr>
        <w:tc>
          <w:tcPr>
            <w:tcW w:w="279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23</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6" w:right="0"/>
              <w:jc w:val="center"/>
              <w:rPr>
                <w:rFonts w:ascii="宋体" w:hAnsi="宋体" w:cs="宋体" w:eastAsia="宋体" w:hint="default"/>
                <w:sz w:val="21"/>
                <w:szCs w:val="21"/>
              </w:rPr>
            </w:pPr>
            <w:r>
              <w:rPr>
                <w:rFonts w:ascii="宋体"/>
                <w:sz w:val="21"/>
              </w:rPr>
              <w:t>5.32%</w:t>
            </w:r>
          </w:p>
        </w:tc>
      </w:tr>
      <w:tr>
        <w:trPr>
          <w:trHeight w:val="347" w:hRule="exact"/>
        </w:trPr>
        <w:tc>
          <w:tcPr>
            <w:tcW w:w="279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103</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6" w:right="0"/>
              <w:jc w:val="center"/>
              <w:rPr>
                <w:rFonts w:ascii="宋体" w:hAnsi="宋体" w:cs="宋体" w:eastAsia="宋体" w:hint="default"/>
                <w:sz w:val="21"/>
                <w:szCs w:val="21"/>
              </w:rPr>
            </w:pPr>
            <w:r>
              <w:rPr>
                <w:rFonts w:ascii="宋体"/>
                <w:sz w:val="21"/>
              </w:rPr>
              <w:t>23.84%</w:t>
            </w:r>
          </w:p>
        </w:tc>
      </w:tr>
      <w:tr>
        <w:trPr>
          <w:trHeight w:val="347" w:hRule="exact"/>
        </w:trPr>
        <w:tc>
          <w:tcPr>
            <w:tcW w:w="279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大学专科</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132</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5" w:right="0"/>
              <w:jc w:val="center"/>
              <w:rPr>
                <w:rFonts w:ascii="宋体" w:hAnsi="宋体" w:cs="宋体" w:eastAsia="宋体" w:hint="default"/>
                <w:sz w:val="21"/>
                <w:szCs w:val="21"/>
              </w:rPr>
            </w:pPr>
            <w:r>
              <w:rPr>
                <w:rFonts w:ascii="宋体"/>
                <w:sz w:val="21"/>
              </w:rPr>
              <w:t>30.56%</w:t>
            </w:r>
          </w:p>
        </w:tc>
      </w:tr>
      <w:tr>
        <w:trPr>
          <w:trHeight w:val="348" w:hRule="exact"/>
        </w:trPr>
        <w:tc>
          <w:tcPr>
            <w:tcW w:w="279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专科以下</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174</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5" w:right="0"/>
              <w:jc w:val="center"/>
              <w:rPr>
                <w:rFonts w:ascii="宋体" w:hAnsi="宋体" w:cs="宋体" w:eastAsia="宋体" w:hint="default"/>
                <w:sz w:val="21"/>
                <w:szCs w:val="21"/>
              </w:rPr>
            </w:pPr>
            <w:r>
              <w:rPr>
                <w:rFonts w:ascii="宋体"/>
                <w:sz w:val="21"/>
              </w:rPr>
              <w:t>40.28%</w:t>
            </w:r>
          </w:p>
        </w:tc>
      </w:tr>
      <w:tr>
        <w:trPr>
          <w:trHeight w:val="355" w:hRule="exact"/>
        </w:trPr>
        <w:tc>
          <w:tcPr>
            <w:tcW w:w="2790" w:type="dxa"/>
            <w:tcBorders>
              <w:top w:val="single" w:sz="6" w:space="0" w:color="000000"/>
              <w:left w:val="single" w:sz="12" w:space="0" w:color="000000"/>
              <w:bottom w:val="single" w:sz="12" w:space="0" w:color="000000"/>
              <w:right w:val="single" w:sz="6" w:space="0" w:color="000000"/>
            </w:tcBorders>
          </w:tcPr>
          <w:p>
            <w:pPr>
              <w:pStyle w:val="TableParagraph"/>
              <w:tabs>
                <w:tab w:pos="632" w:val="left" w:leader="none"/>
              </w:tabs>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9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432</w:t>
            </w:r>
          </w:p>
        </w:tc>
        <w:tc>
          <w:tcPr>
            <w:tcW w:w="2790" w:type="dxa"/>
            <w:tcBorders>
              <w:top w:val="single" w:sz="6" w:space="0" w:color="000000"/>
              <w:left w:val="single" w:sz="6" w:space="0" w:color="000000"/>
              <w:bottom w:val="single" w:sz="12" w:space="0" w:color="000000"/>
              <w:right w:val="single" w:sz="12"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sz w:val="21"/>
              </w:rPr>
              <w:t>100.00%</w:t>
            </w:r>
          </w:p>
        </w:tc>
      </w:tr>
    </w:tbl>
    <w:p>
      <w:pPr>
        <w:pStyle w:val="BodyText"/>
        <w:spacing w:line="240" w:lineRule="auto" w:before="63"/>
        <w:ind w:left="636" w:right="0"/>
        <w:jc w:val="left"/>
      </w:pPr>
      <w:r>
        <w:rPr/>
        <w:t>（</w:t>
      </w:r>
      <w:r>
        <w:rPr>
          <w:rFonts w:ascii="宋体" w:hAnsi="宋体" w:cs="宋体" w:eastAsia="宋体" w:hint="default"/>
        </w:rPr>
        <w:t>3</w:t>
      </w:r>
      <w:r>
        <w:rPr/>
        <w:t>）年龄分布</w:t>
      </w:r>
    </w:p>
    <w:p>
      <w:pPr>
        <w:spacing w:line="240" w:lineRule="auto" w:before="12"/>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790"/>
        <w:gridCol w:w="2790"/>
        <w:gridCol w:w="2790"/>
      </w:tblGrid>
      <w:tr>
        <w:trPr>
          <w:trHeight w:val="353" w:hRule="exact"/>
        </w:trPr>
        <w:tc>
          <w:tcPr>
            <w:tcW w:w="2790" w:type="dxa"/>
            <w:tcBorders>
              <w:top w:val="single" w:sz="12" w:space="0" w:color="000000"/>
              <w:left w:val="single" w:sz="12" w:space="0" w:color="000000"/>
              <w:bottom w:val="single" w:sz="6" w:space="0" w:color="000000"/>
              <w:right w:val="single" w:sz="6" w:space="0" w:color="000000"/>
            </w:tcBorders>
          </w:tcPr>
          <w:p>
            <w:pPr>
              <w:pStyle w:val="TableParagraph"/>
              <w:spacing w:line="270" w:lineRule="exact"/>
              <w:ind w:right="959"/>
              <w:jc w:val="right"/>
              <w:rPr>
                <w:rFonts w:ascii="宋体" w:hAnsi="宋体" w:cs="宋体" w:eastAsia="宋体" w:hint="default"/>
                <w:sz w:val="21"/>
                <w:szCs w:val="21"/>
              </w:rPr>
            </w:pPr>
            <w:r>
              <w:rPr>
                <w:rFonts w:ascii="宋体" w:hAnsi="宋体" w:cs="宋体" w:eastAsia="宋体" w:hint="default"/>
                <w:b/>
                <w:bCs/>
                <w:sz w:val="21"/>
                <w:szCs w:val="21"/>
              </w:rPr>
              <w:t>年龄区间</w:t>
            </w:r>
            <w:r>
              <w:rPr>
                <w:rFonts w:ascii="宋体" w:hAnsi="宋体" w:cs="宋体" w:eastAsia="宋体" w:hint="default"/>
                <w:sz w:val="21"/>
                <w:szCs w:val="21"/>
              </w:rPr>
            </w:r>
          </w:p>
        </w:tc>
        <w:tc>
          <w:tcPr>
            <w:tcW w:w="2790"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b/>
                <w:bCs/>
                <w:sz w:val="21"/>
                <w:szCs w:val="21"/>
              </w:rPr>
              <w:t>员工人数（人）</w:t>
            </w:r>
            <w:r>
              <w:rPr>
                <w:rFonts w:ascii="宋体" w:hAnsi="宋体" w:cs="宋体" w:eastAsia="宋体" w:hint="default"/>
                <w:sz w:val="21"/>
                <w:szCs w:val="21"/>
              </w:rPr>
            </w:r>
          </w:p>
        </w:tc>
        <w:tc>
          <w:tcPr>
            <w:tcW w:w="2790" w:type="dxa"/>
            <w:tcBorders>
              <w:top w:val="single" w:sz="12" w:space="0" w:color="000000"/>
              <w:left w:val="single" w:sz="6" w:space="0" w:color="000000"/>
              <w:bottom w:val="single" w:sz="6" w:space="0" w:color="000000"/>
              <w:right w:val="single" w:sz="12"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占员工总数比例</w:t>
            </w:r>
            <w:r>
              <w:rPr>
                <w:rFonts w:ascii="宋体" w:hAnsi="宋体" w:cs="宋体" w:eastAsia="宋体" w:hint="default"/>
                <w:sz w:val="21"/>
                <w:szCs w:val="21"/>
              </w:rPr>
            </w:r>
          </w:p>
        </w:tc>
      </w:tr>
      <w:tr>
        <w:trPr>
          <w:trHeight w:val="347" w:hRule="exact"/>
        </w:trPr>
        <w:tc>
          <w:tcPr>
            <w:tcW w:w="279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960"/>
              <w:jc w:val="righ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z w:val="21"/>
                <w:szCs w:val="21"/>
              </w:rPr>
              <w:t>岁以下</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200</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5" w:right="0"/>
              <w:jc w:val="center"/>
              <w:rPr>
                <w:rFonts w:ascii="宋体" w:hAnsi="宋体" w:cs="宋体" w:eastAsia="宋体" w:hint="default"/>
                <w:sz w:val="21"/>
                <w:szCs w:val="21"/>
              </w:rPr>
            </w:pPr>
            <w:r>
              <w:rPr>
                <w:rFonts w:ascii="宋体"/>
                <w:sz w:val="21"/>
              </w:rPr>
              <w:t>46.30%</w:t>
            </w:r>
          </w:p>
        </w:tc>
      </w:tr>
      <w:tr>
        <w:trPr>
          <w:trHeight w:val="348" w:hRule="exact"/>
        </w:trPr>
        <w:tc>
          <w:tcPr>
            <w:tcW w:w="279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1013"/>
              <w:jc w:val="right"/>
              <w:rPr>
                <w:rFonts w:ascii="宋体" w:hAnsi="宋体" w:cs="宋体" w:eastAsia="宋体" w:hint="default"/>
                <w:sz w:val="21"/>
                <w:szCs w:val="21"/>
              </w:rPr>
            </w:pPr>
            <w:r>
              <w:rPr>
                <w:rFonts w:ascii="宋体" w:hAnsi="宋体" w:cs="宋体" w:eastAsia="宋体" w:hint="default"/>
                <w:spacing w:val="-1"/>
                <w:sz w:val="21"/>
                <w:szCs w:val="21"/>
              </w:rPr>
              <w:t>31-40</w:t>
            </w:r>
            <w:r>
              <w:rPr>
                <w:rFonts w:ascii="宋体" w:hAnsi="宋体" w:cs="宋体" w:eastAsia="宋体" w:hint="default"/>
                <w:spacing w:val="-1"/>
                <w:sz w:val="21"/>
                <w:szCs w:val="21"/>
              </w:rPr>
              <w:t>岁</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184</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5" w:right="0"/>
              <w:jc w:val="center"/>
              <w:rPr>
                <w:rFonts w:ascii="宋体" w:hAnsi="宋体" w:cs="宋体" w:eastAsia="宋体" w:hint="default"/>
                <w:sz w:val="21"/>
                <w:szCs w:val="21"/>
              </w:rPr>
            </w:pPr>
            <w:r>
              <w:rPr>
                <w:rFonts w:ascii="宋体"/>
                <w:sz w:val="21"/>
              </w:rPr>
              <w:t>42.59%</w:t>
            </w:r>
          </w:p>
        </w:tc>
      </w:tr>
      <w:tr>
        <w:trPr>
          <w:trHeight w:val="347" w:hRule="exact"/>
        </w:trPr>
        <w:tc>
          <w:tcPr>
            <w:tcW w:w="2790"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right="1013"/>
              <w:jc w:val="right"/>
              <w:rPr>
                <w:rFonts w:ascii="宋体" w:hAnsi="宋体" w:cs="宋体" w:eastAsia="宋体" w:hint="default"/>
                <w:sz w:val="21"/>
                <w:szCs w:val="21"/>
              </w:rPr>
            </w:pPr>
            <w:r>
              <w:rPr>
                <w:rFonts w:ascii="宋体" w:hAnsi="宋体" w:cs="宋体" w:eastAsia="宋体" w:hint="default"/>
                <w:spacing w:val="-1"/>
                <w:sz w:val="21"/>
                <w:szCs w:val="21"/>
              </w:rPr>
              <w:t>41-50</w:t>
            </w:r>
            <w:r>
              <w:rPr>
                <w:rFonts w:ascii="宋体" w:hAnsi="宋体" w:cs="宋体" w:eastAsia="宋体" w:hint="default"/>
                <w:spacing w:val="-1"/>
                <w:sz w:val="21"/>
                <w:szCs w:val="21"/>
              </w:rPr>
              <w:t>岁</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35</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left="6" w:right="0"/>
              <w:jc w:val="center"/>
              <w:rPr>
                <w:rFonts w:ascii="宋体" w:hAnsi="宋体" w:cs="宋体" w:eastAsia="宋体" w:hint="default"/>
                <w:sz w:val="21"/>
                <w:szCs w:val="21"/>
              </w:rPr>
            </w:pPr>
            <w:r>
              <w:rPr>
                <w:rFonts w:ascii="宋体"/>
                <w:sz w:val="21"/>
              </w:rPr>
              <w:t>8.10%</w:t>
            </w:r>
          </w:p>
        </w:tc>
      </w:tr>
      <w:tr>
        <w:trPr>
          <w:trHeight w:val="347" w:hRule="exact"/>
        </w:trPr>
        <w:tc>
          <w:tcPr>
            <w:tcW w:w="279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right="960"/>
              <w:jc w:val="right"/>
              <w:rPr>
                <w:rFonts w:ascii="宋体" w:hAnsi="宋体" w:cs="宋体" w:eastAsia="宋体" w:hint="default"/>
                <w:sz w:val="21"/>
                <w:szCs w:val="21"/>
              </w:rPr>
            </w:pPr>
            <w:r>
              <w:rPr>
                <w:rFonts w:ascii="宋体" w:hAnsi="宋体" w:cs="宋体" w:eastAsia="宋体" w:hint="default"/>
                <w:sz w:val="21"/>
                <w:szCs w:val="21"/>
              </w:rPr>
              <w:t>51</w:t>
            </w:r>
            <w:r>
              <w:rPr>
                <w:rFonts w:ascii="宋体" w:hAnsi="宋体" w:cs="宋体" w:eastAsia="宋体" w:hint="default"/>
                <w:sz w:val="21"/>
                <w:szCs w:val="21"/>
              </w:rPr>
              <w:t>岁以上</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13</w:t>
            </w:r>
          </w:p>
        </w:tc>
        <w:tc>
          <w:tcPr>
            <w:tcW w:w="2790"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6" w:right="0"/>
              <w:jc w:val="center"/>
              <w:rPr>
                <w:rFonts w:ascii="宋体" w:hAnsi="宋体" w:cs="宋体" w:eastAsia="宋体" w:hint="default"/>
                <w:sz w:val="21"/>
                <w:szCs w:val="21"/>
              </w:rPr>
            </w:pPr>
            <w:r>
              <w:rPr>
                <w:rFonts w:ascii="宋体"/>
                <w:sz w:val="21"/>
              </w:rPr>
              <w:t>3.01%</w:t>
            </w:r>
          </w:p>
        </w:tc>
      </w:tr>
      <w:tr>
        <w:trPr>
          <w:trHeight w:val="355" w:hRule="exact"/>
        </w:trPr>
        <w:tc>
          <w:tcPr>
            <w:tcW w:w="2790" w:type="dxa"/>
            <w:tcBorders>
              <w:top w:val="single" w:sz="6" w:space="0" w:color="000000"/>
              <w:left w:val="single" w:sz="12" w:space="0" w:color="000000"/>
              <w:bottom w:val="single" w:sz="12" w:space="0" w:color="000000"/>
              <w:right w:val="single" w:sz="6" w:space="0" w:color="000000"/>
            </w:tcBorders>
          </w:tcPr>
          <w:p>
            <w:pPr>
              <w:pStyle w:val="TableParagraph"/>
              <w:tabs>
                <w:tab w:pos="631" w:val="left" w:leader="none"/>
              </w:tabs>
              <w:spacing w:line="271" w:lineRule="exact"/>
              <w:ind w:right="96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9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432</w:t>
            </w:r>
          </w:p>
        </w:tc>
        <w:tc>
          <w:tcPr>
            <w:tcW w:w="2790"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left="5" w:right="0"/>
              <w:jc w:val="center"/>
              <w:rPr>
                <w:rFonts w:ascii="宋体" w:hAnsi="宋体" w:cs="宋体" w:eastAsia="宋体" w:hint="default"/>
                <w:sz w:val="21"/>
                <w:szCs w:val="21"/>
              </w:rPr>
            </w:pPr>
            <w:r>
              <w:rPr>
                <w:rFonts w:ascii="宋体"/>
                <w:sz w:val="21"/>
              </w:rPr>
              <w:t>100.00%</w:t>
            </w:r>
          </w:p>
        </w:tc>
      </w:tr>
    </w:tbl>
    <w:p>
      <w:pPr>
        <w:spacing w:line="240" w:lineRule="auto" w:before="1"/>
        <w:rPr>
          <w:rFonts w:ascii="宋体" w:hAnsi="宋体" w:cs="宋体" w:eastAsia="宋体" w:hint="default"/>
          <w:sz w:val="14"/>
          <w:szCs w:val="14"/>
        </w:rPr>
      </w:pPr>
    </w:p>
    <w:p>
      <w:pPr>
        <w:pStyle w:val="BodyText"/>
        <w:spacing w:line="240" w:lineRule="auto" w:before="35"/>
        <w:ind w:left="636" w:right="0"/>
        <w:jc w:val="left"/>
      </w:pPr>
      <w:r>
        <w:rPr>
          <w:rFonts w:ascii="宋体" w:hAnsi="宋体" w:cs="宋体" w:eastAsia="宋体" w:hint="default"/>
        </w:rPr>
        <w:t>2</w:t>
      </w:r>
      <w:r>
        <w:rPr/>
        <w:t>、公司没有需要承担费用的离退休职工。</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1"/>
        <w:spacing w:line="240" w:lineRule="auto"/>
        <w:ind w:right="150"/>
        <w:jc w:val="center"/>
        <w:rPr>
          <w:b w:val="0"/>
          <w:bCs w:val="0"/>
        </w:rPr>
      </w:pPr>
      <w:bookmarkStart w:name="第八节 公司治理" w:id="97"/>
      <w:bookmarkEnd w:id="97"/>
      <w:r>
        <w:rPr>
          <w:b w:val="0"/>
          <w:bCs w:val="0"/>
        </w:rPr>
      </w:r>
      <w:bookmarkStart w:name="_bookmark7" w:id="98"/>
      <w:bookmarkEnd w:id="98"/>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2"/>
        <w:spacing w:line="240" w:lineRule="auto"/>
        <w:ind w:right="0"/>
        <w:jc w:val="both"/>
        <w:rPr>
          <w:b w:val="0"/>
          <w:bCs w:val="0"/>
        </w:rPr>
      </w:pPr>
      <w:bookmarkStart w:name="一、公司治理的基本状况" w:id="99"/>
      <w:bookmarkEnd w:id="99"/>
      <w:r>
        <w:rPr>
          <w:b w:val="0"/>
          <w:bCs w:val="0"/>
        </w:rPr>
      </w:r>
      <w:r>
        <w:rPr/>
        <w:t>一、公司治理的基本状况</w:t>
      </w:r>
      <w:r>
        <w:rPr>
          <w:b w:val="0"/>
          <w:bCs w:val="0"/>
        </w:rPr>
      </w:r>
    </w:p>
    <w:p>
      <w:pPr>
        <w:pStyle w:val="BodyText"/>
        <w:spacing w:line="408" w:lineRule="auto" w:before="177"/>
        <w:ind w:right="150" w:firstLine="424"/>
        <w:jc w:val="both"/>
      </w:pPr>
      <w:r>
        <w:rPr>
          <w:spacing w:val="-1"/>
        </w:rPr>
        <w:t>报告期内，公司严格按照《公司法》、《证券法》、《上市公司信息披露管理办法》、《深圳证券交</w:t>
      </w:r>
      <w:r>
        <w:rPr/>
        <w:t> </w:t>
      </w:r>
      <w:r>
        <w:rPr>
          <w:spacing w:val="-1"/>
        </w:rPr>
        <w:t>易所创业板股票上市规则》、《深圳证券交易所创业板上市公司规范运作指引》等有关法律、法规、业务</w:t>
      </w:r>
      <w:r>
        <w:rPr>
          <w:spacing w:val="-83"/>
        </w:rPr>
        <w:t> </w:t>
      </w:r>
      <w:r>
        <w:rPr>
          <w:spacing w:val="-83"/>
        </w:rPr>
      </w:r>
      <w:r>
        <w:rPr>
          <w:spacing w:val="-1"/>
        </w:rPr>
        <w:t>规则的有关规定，结合公司实际情况，进一步完善公司规范运作管理制度，加强内部控制制度建设，不断</w:t>
      </w:r>
      <w:r>
        <w:rPr>
          <w:spacing w:val="-86"/>
        </w:rPr>
        <w:t> </w:t>
      </w:r>
      <w:r>
        <w:rPr>
          <w:spacing w:val="-86"/>
        </w:rPr>
      </w:r>
      <w:r>
        <w:rPr/>
        <w:t>规范公司运作，提高公司治理水平。</w:t>
      </w:r>
    </w:p>
    <w:p>
      <w:pPr>
        <w:pStyle w:val="BodyText"/>
        <w:spacing w:line="408" w:lineRule="auto"/>
        <w:ind w:left="578" w:right="152"/>
        <w:jc w:val="left"/>
      </w:pPr>
      <w:r>
        <w:rPr>
          <w:rFonts w:ascii="宋体" w:hAnsi="宋体" w:cs="宋体" w:eastAsia="宋体" w:hint="default"/>
        </w:rPr>
        <w:t>1</w:t>
      </w:r>
      <w:r>
        <w:rPr/>
        <w:t>、关于股东与股东大会 </w:t>
      </w:r>
      <w:r>
        <w:rPr>
          <w:spacing w:val="-1"/>
        </w:rPr>
        <w:t>公司股东按照《公司章程》、《上市公司股东大会规则》的规定按其所持股份享有平等地位，并承担</w:t>
      </w:r>
    </w:p>
    <w:p>
      <w:pPr>
        <w:pStyle w:val="BodyText"/>
        <w:spacing w:line="408" w:lineRule="auto"/>
        <w:ind w:right="153"/>
        <w:jc w:val="both"/>
      </w:pPr>
      <w:r>
        <w:rPr>
          <w:spacing w:val="-1"/>
        </w:rPr>
        <w:t>相应义务。公司治理结构能够保证所有股东，特别是中小股东享有平等地位，确保股东合法行使权益，保</w:t>
      </w:r>
      <w:r>
        <w:rPr>
          <w:spacing w:val="-85"/>
        </w:rPr>
        <w:t> </w:t>
      </w:r>
      <w:r>
        <w:rPr>
          <w:spacing w:val="-85"/>
        </w:rPr>
      </w:r>
      <w:r>
        <w:rPr/>
        <w:t>证了股东对公司重大事项的知情权、参与权、表决权。</w:t>
      </w:r>
    </w:p>
    <w:p>
      <w:pPr>
        <w:pStyle w:val="BodyText"/>
        <w:spacing w:line="408" w:lineRule="auto"/>
        <w:ind w:right="152" w:firstLine="424"/>
        <w:jc w:val="both"/>
      </w:pPr>
      <w:r>
        <w:rPr>
          <w:spacing w:val="-1"/>
        </w:rPr>
        <w:t>报告期内的股东大会均由董事会召集召开，并聘请律师进行现场见证，根据相关法律、行政法规、部</w:t>
      </w:r>
      <w:r>
        <w:rPr/>
        <w:t> </w:t>
      </w:r>
      <w:r>
        <w:rPr>
          <w:spacing w:val="-1"/>
        </w:rPr>
        <w:t>门规章、规范性文件及公司章程等规定应由股东大会表决的事项均按照相应的权限审批后交由股东大会审</w:t>
      </w:r>
      <w:r>
        <w:rPr>
          <w:spacing w:val="-81"/>
        </w:rPr>
        <w:t> </w:t>
      </w:r>
      <w:r>
        <w:rPr>
          <w:spacing w:val="-81"/>
        </w:rPr>
      </w:r>
      <w:r>
        <w:rPr/>
        <w:t>议，不存在越权审批或先实施后审议的情况。</w:t>
      </w:r>
    </w:p>
    <w:p>
      <w:pPr>
        <w:pStyle w:val="BodyText"/>
        <w:spacing w:line="408" w:lineRule="auto"/>
        <w:ind w:left="578" w:right="152"/>
        <w:jc w:val="left"/>
      </w:pPr>
      <w:r>
        <w:rPr>
          <w:rFonts w:ascii="宋体" w:hAnsi="宋体" w:cs="宋体" w:eastAsia="宋体" w:hint="default"/>
        </w:rPr>
        <w:t>2</w:t>
      </w:r>
      <w:r>
        <w:rPr/>
        <w:t>、关于公司与控股股东 </w:t>
      </w:r>
      <w:r>
        <w:rPr>
          <w:spacing w:val="-1"/>
        </w:rPr>
        <w:t>公司具有独立的业务经营能力及完备的运营体系，在业务、人员、资产、机构、财务上均独立于控股</w:t>
      </w:r>
    </w:p>
    <w:p>
      <w:pPr>
        <w:pStyle w:val="BodyText"/>
        <w:spacing w:line="408" w:lineRule="auto"/>
        <w:ind w:right="130"/>
        <w:jc w:val="both"/>
      </w:pPr>
      <w:r>
        <w:rPr>
          <w:spacing w:val="-1"/>
        </w:rPr>
        <w:t>股东，公司董事会、监事会和内部机构根据其议事规则或公司制度独立运作。公司控股股东能严格规范自</w:t>
      </w:r>
      <w:r>
        <w:rPr>
          <w:spacing w:val="-83"/>
        </w:rPr>
        <w:t> </w:t>
      </w:r>
      <w:r>
        <w:rPr>
          <w:spacing w:val="-83"/>
        </w:rPr>
      </w:r>
      <w:r>
        <w:rPr/>
        <w:t>己的行为，通过股东大会依法行使其权利并承担义务，没有超越股东大会直接或间接干预公司经营活动。 报告期内</w:t>
      </w:r>
      <w:r>
        <w:rPr>
          <w:rFonts w:ascii="宋体" w:hAnsi="宋体" w:cs="宋体" w:eastAsia="宋体" w:hint="default"/>
        </w:rPr>
        <w:t>,</w:t>
      </w:r>
      <w:r>
        <w:rPr/>
        <w:t>公司没有为控股股东提供担保，亦不存在控股股东非经营性占用公司资金的行为。</w:t>
      </w:r>
    </w:p>
    <w:p>
      <w:pPr>
        <w:pStyle w:val="BodyText"/>
        <w:spacing w:line="408" w:lineRule="auto"/>
        <w:ind w:left="578" w:right="152"/>
        <w:jc w:val="left"/>
      </w:pPr>
      <w:r>
        <w:rPr>
          <w:rFonts w:ascii="宋体" w:hAnsi="宋体" w:cs="宋体" w:eastAsia="宋体" w:hint="default"/>
        </w:rPr>
        <w:t>3</w:t>
      </w:r>
      <w:r>
        <w:rPr/>
        <w:t>、关于董事和董事会 </w:t>
      </w:r>
      <w:r>
        <w:rPr>
          <w:spacing w:val="-1"/>
        </w:rPr>
        <w:t>公司严格按照《公司法》、《公司章程》规定的选聘程序选举董事，公司董事会人数和人员构成符合</w:t>
      </w:r>
    </w:p>
    <w:p>
      <w:pPr>
        <w:pStyle w:val="BodyText"/>
        <w:spacing w:line="408" w:lineRule="auto"/>
        <w:ind w:right="151"/>
        <w:jc w:val="both"/>
      </w:pPr>
      <w:r>
        <w:rPr>
          <w:spacing w:val="-1"/>
        </w:rPr>
        <w:t>法律、法规的要求，各位董事能够以认真负责的态度出席董事会和股东大会，从公司和全体股东的利益出</w:t>
      </w:r>
      <w:r>
        <w:rPr>
          <w:spacing w:val="-83"/>
        </w:rPr>
        <w:t> </w:t>
      </w:r>
      <w:r>
        <w:rPr>
          <w:spacing w:val="-83"/>
        </w:rPr>
      </w:r>
      <w:r>
        <w:rPr>
          <w:spacing w:val="-1"/>
        </w:rPr>
        <w:t>发，忠实履行职责，积极参加有关培训，学习有关法律法规，促进董事会规范运作和科学决策。董事会会</w:t>
      </w:r>
      <w:r>
        <w:rPr>
          <w:spacing w:val="-83"/>
        </w:rPr>
        <w:t> </w:t>
      </w:r>
      <w:r>
        <w:rPr>
          <w:spacing w:val="-83"/>
        </w:rPr>
      </w:r>
      <w:r>
        <w:rPr/>
        <w:t>议程序符合规定，会议记录完整、真实，会议相关信息披露及时、准确、充分。</w:t>
      </w:r>
    </w:p>
    <w:p>
      <w:pPr>
        <w:pStyle w:val="BodyText"/>
        <w:spacing w:line="408" w:lineRule="auto"/>
        <w:ind w:left="578" w:right="0"/>
        <w:jc w:val="left"/>
      </w:pPr>
      <w:r>
        <w:rPr>
          <w:rFonts w:ascii="宋体" w:hAnsi="宋体" w:cs="宋体" w:eastAsia="宋体" w:hint="default"/>
        </w:rPr>
        <w:t>4</w:t>
      </w:r>
      <w:r>
        <w:rPr/>
        <w:t>、关于监事和监事会 </w:t>
      </w:r>
      <w:r>
        <w:rPr>
          <w:spacing w:val="-1"/>
        </w:rPr>
        <w:t>公司严格按照《公司法》、《公司章程》规定的选聘程序选举监事，公司监事会人数和人员构成符合</w:t>
      </w:r>
    </w:p>
    <w:p>
      <w:pPr>
        <w:pStyle w:val="BodyText"/>
        <w:spacing w:line="408" w:lineRule="auto"/>
        <w:ind w:right="151"/>
        <w:jc w:val="both"/>
      </w:pPr>
      <w:r>
        <w:rPr>
          <w:spacing w:val="-1"/>
        </w:rPr>
        <w:t>法律、法规的要求。各位监事能够认真学习有关法律法规、积极参加相关业务培训、认真履行职责，本着</w:t>
      </w:r>
      <w:r>
        <w:rPr>
          <w:spacing w:val="-83"/>
        </w:rPr>
        <w:t> </w:t>
      </w:r>
      <w:r>
        <w:rPr>
          <w:spacing w:val="-83"/>
        </w:rPr>
      </w:r>
      <w:r>
        <w:rPr>
          <w:spacing w:val="-1"/>
        </w:rPr>
        <w:t>对全体股东尤其是中小股东负责的精神，对公司重大事项、关联交易、财务状况以及董事和其他高级管理</w:t>
      </w:r>
    </w:p>
    <w:p>
      <w:pPr>
        <w:spacing w:after="0" w:line="408" w:lineRule="auto"/>
        <w:jc w:val="both"/>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578" w:right="212" w:hanging="425"/>
        <w:jc w:val="left"/>
      </w:pPr>
      <w:r>
        <w:rPr/>
        <w:t>人员履行职责的合法、合规性进行监督并发表独立意见，维护公司及股东的合法权益。 </w:t>
      </w:r>
      <w:r>
        <w:rPr>
          <w:rFonts w:ascii="宋体" w:hAnsi="宋体" w:cs="宋体" w:eastAsia="宋体" w:hint="default"/>
        </w:rPr>
        <w:t>5</w:t>
      </w:r>
      <w:r>
        <w:rPr/>
        <w:t>、关于绩效评价与激励约束机制 </w:t>
      </w:r>
      <w:r>
        <w:rPr>
          <w:spacing w:val="-1"/>
        </w:rPr>
        <w:t>公司建立并逐步完善公正、透明的董事、监事、高级管理人员的绩效评价标准与激励约束机制；高级</w:t>
      </w:r>
    </w:p>
    <w:p>
      <w:pPr>
        <w:pStyle w:val="BodyText"/>
        <w:spacing w:line="408" w:lineRule="auto"/>
        <w:ind w:left="578" w:right="4373" w:hanging="425"/>
        <w:jc w:val="left"/>
      </w:pPr>
      <w:r>
        <w:rPr/>
        <w:t>管理人员的聘任公开、透明，符合相关法律、法规的规定。 </w:t>
      </w:r>
      <w:r>
        <w:rPr>
          <w:rFonts w:ascii="宋体" w:hAnsi="宋体" w:cs="宋体" w:eastAsia="宋体" w:hint="default"/>
        </w:rPr>
        <w:t>6</w:t>
      </w:r>
      <w:r>
        <w:rPr/>
        <w:t>、关于相关利益者</w:t>
      </w:r>
    </w:p>
    <w:p>
      <w:pPr>
        <w:pStyle w:val="BodyText"/>
        <w:spacing w:line="408" w:lineRule="auto"/>
        <w:ind w:right="94" w:firstLine="424"/>
        <w:jc w:val="left"/>
      </w:pPr>
      <w:r>
        <w:rPr>
          <w:spacing w:val="-3"/>
        </w:rPr>
        <w:t>公司能够充分尊重和维护相关利益者的合法权益，积极与相关利益者合作，加强与各方的沟通和交流，</w:t>
      </w:r>
      <w:r>
        <w:rPr/>
        <w:t> 实现社会、股东、公司、员工等各方利益的协调平衡，推动公司持续、稳定、健康发展。</w:t>
      </w:r>
    </w:p>
    <w:p>
      <w:pPr>
        <w:pStyle w:val="BodyText"/>
        <w:spacing w:line="408" w:lineRule="auto"/>
        <w:ind w:left="578" w:right="212"/>
        <w:jc w:val="left"/>
      </w:pPr>
      <w:r>
        <w:rPr>
          <w:rFonts w:ascii="宋体" w:hAnsi="宋体" w:cs="宋体" w:eastAsia="宋体" w:hint="default"/>
        </w:rPr>
        <w:t>7</w:t>
      </w:r>
      <w:r>
        <w:rPr/>
        <w:t>、关于信息披露与透明度 </w:t>
      </w:r>
      <w:r>
        <w:rPr>
          <w:spacing w:val="-1"/>
        </w:rPr>
        <w:t>公司严格按照有关法律法规和《公司信息披露管理制度》的规定，加强信息披露事务管理，履行信息</w:t>
      </w:r>
    </w:p>
    <w:p>
      <w:pPr>
        <w:pStyle w:val="BodyText"/>
        <w:spacing w:line="408" w:lineRule="auto"/>
        <w:ind w:right="102"/>
        <w:jc w:val="left"/>
      </w:pPr>
      <w:r>
        <w:rPr/>
        <w:t>披露义务，并指定《证券时报》、《中国证券报》、《上海证券报》和中国证监会创业板指定信息披露网 </w:t>
      </w:r>
      <w:r>
        <w:rPr>
          <w:spacing w:val="-1"/>
        </w:rPr>
        <w:t>站（巨潮资讯网</w:t>
      </w:r>
      <w:hyperlink r:id="rId11">
        <w:r>
          <w:rPr>
            <w:rFonts w:ascii="宋体" w:hAnsi="宋体" w:cs="宋体" w:eastAsia="宋体" w:hint="default"/>
            <w:spacing w:val="-1"/>
          </w:rPr>
          <w:t>www.cninfo.com.cn</w:t>
        </w:r>
      </w:hyperlink>
      <w:r>
        <w:rPr>
          <w:spacing w:val="-1"/>
        </w:rPr>
        <w:t>）为公司信息披露报纸和网站，真实、准确、及时、完整的披露信息，</w:t>
      </w:r>
      <w:r>
        <w:rPr>
          <w:spacing w:val="-75"/>
        </w:rPr>
        <w:t> </w:t>
      </w:r>
      <w:r>
        <w:rPr>
          <w:spacing w:val="-75"/>
        </w:rPr>
      </w:r>
      <w:r>
        <w:rPr/>
        <w:t>确保所有投资者公平获取公司信息。</w:t>
      </w:r>
    </w:p>
    <w:p>
      <w:pPr>
        <w:pStyle w:val="BodyText"/>
        <w:spacing w:line="240" w:lineRule="auto"/>
        <w:ind w:left="578" w:right="102"/>
        <w:jc w:val="left"/>
      </w:pPr>
      <w:r>
        <w:rPr/>
        <w:t>报告期内，公司未发生信息披露不规范而受到监管部门批评的情形。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54" w:right="102"/>
        <w:jc w:val="left"/>
      </w:pPr>
      <w:r>
        <w:rPr/>
        <w:t>公司治理与《公司法》和中国证监会相关规定的要求是否存在差异</w:t>
      </w:r>
    </w:p>
    <w:p>
      <w:pPr>
        <w:spacing w:line="240" w:lineRule="auto" w:before="10"/>
        <w:rPr>
          <w:rFonts w:ascii="宋体" w:hAnsi="宋体" w:cs="宋体" w:eastAsia="宋体" w:hint="default"/>
          <w:sz w:val="14"/>
          <w:szCs w:val="14"/>
        </w:rPr>
      </w:pPr>
    </w:p>
    <w:p>
      <w:pPr>
        <w:spacing w:line="381" w:lineRule="auto" w:before="0"/>
        <w:ind w:left="154" w:right="2537" w:firstLine="0"/>
        <w:jc w:val="left"/>
        <w:rPr>
          <w:rFonts w:ascii="宋体" w:hAnsi="宋体" w:cs="宋体" w:eastAsia="宋体" w:hint="default"/>
          <w:sz w:val="21"/>
          <w:szCs w:val="21"/>
        </w:rPr>
      </w:pPr>
      <w:r>
        <w:rPr>
          <w:rFonts w:ascii="宋体" w:hAnsi="宋体" w:cs="宋体" w:eastAsia="宋体" w:hint="default"/>
          <w:sz w:val="21"/>
          <w:szCs w:val="21"/>
        </w:rPr>
        <w:t>□ 是 √ 否 </w:t>
      </w:r>
      <w:bookmarkStart w:name="二、报告期内召开的年度股东大会和临时股东大会的有关情况" w:id="100"/>
      <w:bookmarkEnd w:id="100"/>
      <w:r>
        <w:rPr>
          <w:rFonts w:ascii="宋体" w:hAnsi="宋体" w:cs="宋体" w:eastAsia="宋体" w:hint="default"/>
          <w:sz w:val="21"/>
          <w:szCs w:val="21"/>
        </w:rPr>
      </w:r>
      <w:r>
        <w:rPr>
          <w:rFonts w:ascii="宋体" w:hAnsi="宋体" w:cs="宋体" w:eastAsia="宋体" w:hint="default"/>
          <w:b/>
          <w:bCs/>
          <w:w w:val="95"/>
          <w:sz w:val="24"/>
          <w:szCs w:val="24"/>
        </w:rPr>
        <w:t>二、报告期内召开的年度股东大会和临时股东大会的有关情况</w:t>
      </w:r>
      <w:r>
        <w:rPr>
          <w:rFonts w:ascii="宋体" w:hAnsi="宋体" w:cs="宋体" w:eastAsia="宋体" w:hint="default"/>
          <w:b/>
          <w:bCs/>
          <w:spacing w:val="70"/>
          <w:w w:val="95"/>
          <w:sz w:val="24"/>
          <w:szCs w:val="24"/>
        </w:rPr>
        <w:t> </w:t>
      </w:r>
      <w:bookmarkStart w:name="1、本报告期年度股东大会情况" w:id="101"/>
      <w:bookmarkEnd w:id="101"/>
      <w:r>
        <w:rPr>
          <w:rFonts w:ascii="宋体" w:hAnsi="宋体" w:cs="宋体" w:eastAsia="宋体" w:hint="default"/>
          <w:b/>
          <w:bCs/>
          <w:spacing w:val="70"/>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tbl>
      <w:tblPr>
        <w:tblW w:w="0" w:type="auto"/>
        <w:jc w:val="left"/>
        <w:tblInd w:w="138" w:type="dxa"/>
        <w:tblLayout w:type="fixed"/>
        <w:tblCellMar>
          <w:top w:w="0" w:type="dxa"/>
          <w:left w:w="0" w:type="dxa"/>
          <w:bottom w:w="0" w:type="dxa"/>
          <w:right w:w="0" w:type="dxa"/>
        </w:tblCellMar>
        <w:tblLook w:val="01E0"/>
      </w:tblPr>
      <w:tblGrid>
        <w:gridCol w:w="2269"/>
        <w:gridCol w:w="1844"/>
        <w:gridCol w:w="2834"/>
        <w:gridCol w:w="2622"/>
      </w:tblGrid>
      <w:tr>
        <w:trPr>
          <w:trHeight w:val="392" w:hRule="exact"/>
        </w:trPr>
        <w:tc>
          <w:tcPr>
            <w:tcW w:w="22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6"/>
              <w:ind w:right="7"/>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8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62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6"/>
              <w:ind w:left="10" w:right="0"/>
              <w:jc w:val="center"/>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429" w:hRule="exact"/>
        </w:trPr>
        <w:tc>
          <w:tcPr>
            <w:tcW w:w="226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3"/>
              <w:ind w:right="6"/>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年度股东大会</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hyperlink r:id="rId11">
              <w:r>
                <w:rPr>
                  <w:rFonts w:ascii="宋体"/>
                  <w:sz w:val="18"/>
                </w:rPr>
                <w:t>http://www.cninfo.com.cn</w:t>
              </w:r>
            </w:hyperlink>
          </w:p>
        </w:tc>
        <w:tc>
          <w:tcPr>
            <w:tcW w:w="26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3"/>
              <w:ind w:left="8"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13"/>
        <w:rPr>
          <w:rFonts w:ascii="宋体" w:hAnsi="宋体" w:cs="宋体" w:eastAsia="宋体" w:hint="default"/>
          <w:b/>
          <w:bCs/>
          <w:sz w:val="20"/>
          <w:szCs w:val="20"/>
        </w:rPr>
      </w:pPr>
    </w:p>
    <w:p>
      <w:pPr>
        <w:pStyle w:val="Heading4"/>
        <w:spacing w:line="240" w:lineRule="auto" w:before="35"/>
        <w:ind w:right="102"/>
        <w:jc w:val="left"/>
        <w:rPr>
          <w:b w:val="0"/>
          <w:bCs w:val="0"/>
        </w:rPr>
      </w:pPr>
      <w:bookmarkStart w:name="2、本报告期临时股东大会情况" w:id="102"/>
      <w:bookmarkEnd w:id="102"/>
      <w:r>
        <w:rPr>
          <w:b w:val="0"/>
          <w:bCs w:val="0"/>
        </w:rPr>
      </w:r>
      <w:r>
        <w:rPr>
          <w:rFonts w:ascii="宋体" w:hAnsi="宋体" w:cs="宋体" w:eastAsia="宋体" w:hint="default"/>
        </w:rPr>
        <w:t>2</w:t>
      </w:r>
      <w:r>
        <w:rPr/>
        <w:t>、本报告期临时股东大会情况</w:t>
      </w:r>
      <w:r>
        <w:rPr>
          <w:b w:val="0"/>
          <w:bCs w:val="0"/>
        </w:rPr>
      </w:r>
    </w:p>
    <w:p>
      <w:pPr>
        <w:spacing w:line="240" w:lineRule="auto" w:before="3"/>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2269"/>
        <w:gridCol w:w="1844"/>
        <w:gridCol w:w="2834"/>
        <w:gridCol w:w="2622"/>
      </w:tblGrid>
      <w:tr>
        <w:trPr>
          <w:trHeight w:val="392" w:hRule="exact"/>
        </w:trPr>
        <w:tc>
          <w:tcPr>
            <w:tcW w:w="22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6"/>
              <w:ind w:right="7"/>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8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62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6"/>
              <w:ind w:left="10" w:right="0"/>
              <w:jc w:val="center"/>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421" w:hRule="exact"/>
        </w:trPr>
        <w:tc>
          <w:tcPr>
            <w:tcW w:w="22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right="6"/>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18"/>
                <w:szCs w:val="18"/>
              </w:rPr>
            </w:pPr>
            <w:hyperlink r:id="rId11">
              <w:r>
                <w:rPr>
                  <w:rFonts w:ascii="宋体"/>
                  <w:sz w:val="18"/>
                </w:rPr>
                <w:t>http://www.cninfo.com.cn</w:t>
              </w:r>
            </w:hyperlink>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8"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21" w:hRule="exact"/>
        </w:trPr>
        <w:tc>
          <w:tcPr>
            <w:tcW w:w="226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5"/>
              <w:ind w:right="6"/>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hyperlink r:id="rId11">
              <w:r>
                <w:rPr>
                  <w:rFonts w:ascii="宋体"/>
                  <w:sz w:val="18"/>
                </w:rPr>
                <w:t>http://www.cninfo.com.cn</w:t>
              </w:r>
            </w:hyperlink>
          </w:p>
        </w:tc>
        <w:tc>
          <w:tcPr>
            <w:tcW w:w="26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left="8"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ind w:left="154" w:right="102"/>
        <w:jc w:val="left"/>
        <w:rPr>
          <w:b w:val="0"/>
          <w:bCs w:val="0"/>
        </w:rPr>
      </w:pPr>
      <w:bookmarkStart w:name="三、报告期董事会召开情况" w:id="103"/>
      <w:bookmarkEnd w:id="103"/>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269"/>
        <w:gridCol w:w="1844"/>
        <w:gridCol w:w="2834"/>
        <w:gridCol w:w="2622"/>
      </w:tblGrid>
      <w:tr>
        <w:trPr>
          <w:trHeight w:val="414" w:hRule="exact"/>
        </w:trPr>
        <w:tc>
          <w:tcPr>
            <w:tcW w:w="22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4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8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会议决议刊登的指定网站查询索引</w:t>
            </w:r>
          </w:p>
        </w:tc>
        <w:tc>
          <w:tcPr>
            <w:tcW w:w="262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会议决议刊登的信息披露日期</w:t>
            </w:r>
          </w:p>
        </w:tc>
      </w:tr>
      <w:tr>
        <w:trPr>
          <w:trHeight w:val="408" w:hRule="exact"/>
        </w:trPr>
        <w:tc>
          <w:tcPr>
            <w:tcW w:w="22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第二届董事会第九次会议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hyperlink r:id="rId11">
              <w:r>
                <w:rPr>
                  <w:rFonts w:ascii="宋体"/>
                  <w:sz w:val="18"/>
                </w:rPr>
                <w:t>http://www.cninfo.com.cn</w:t>
              </w:r>
            </w:hyperlink>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15" w:hRule="exact"/>
        </w:trPr>
        <w:tc>
          <w:tcPr>
            <w:tcW w:w="226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第二届董事会第十次会议</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4" w:type="dxa"/>
            <w:tcBorders>
              <w:top w:val="single" w:sz="6" w:space="0" w:color="000000"/>
              <w:left w:val="single" w:sz="6" w:space="0" w:color="000000"/>
              <w:bottom w:val="single" w:sz="12" w:space="0" w:color="000000"/>
              <w:right w:val="single" w:sz="6" w:space="0" w:color="000000"/>
            </w:tcBorders>
          </w:tcPr>
          <w:p>
            <w:pPr/>
          </w:p>
        </w:tc>
        <w:tc>
          <w:tcPr>
            <w:tcW w:w="2622"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20"/>
        </w:sectPr>
      </w:pPr>
    </w:p>
    <w:p>
      <w:pPr>
        <w:spacing w:line="240" w:lineRule="auto" w:before="3"/>
        <w:rPr>
          <w:rFonts w:ascii="宋体" w:hAnsi="宋体" w:cs="宋体" w:eastAsia="宋体" w:hint="default"/>
          <w:b/>
          <w:bCs/>
          <w:sz w:val="29"/>
          <w:szCs w:val="29"/>
        </w:rPr>
      </w:pPr>
    </w:p>
    <w:tbl>
      <w:tblPr>
        <w:tblW w:w="0" w:type="auto"/>
        <w:jc w:val="left"/>
        <w:tblInd w:w="138" w:type="dxa"/>
        <w:tblLayout w:type="fixed"/>
        <w:tblCellMar>
          <w:top w:w="0" w:type="dxa"/>
          <w:left w:w="0" w:type="dxa"/>
          <w:bottom w:w="0" w:type="dxa"/>
          <w:right w:w="0" w:type="dxa"/>
        </w:tblCellMar>
        <w:tblLook w:val="01E0"/>
      </w:tblPr>
      <w:tblGrid>
        <w:gridCol w:w="2269"/>
        <w:gridCol w:w="1844"/>
        <w:gridCol w:w="2834"/>
        <w:gridCol w:w="2622"/>
      </w:tblGrid>
      <w:tr>
        <w:trPr>
          <w:trHeight w:val="415" w:hRule="exact"/>
        </w:trPr>
        <w:tc>
          <w:tcPr>
            <w:tcW w:w="226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第二届董事会第十一次会议</w:t>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hyperlink r:id="rId11">
              <w:r>
                <w:rPr>
                  <w:rFonts w:ascii="宋体"/>
                  <w:sz w:val="18"/>
                </w:rPr>
                <w:t>http://www.cninfo.com.cn</w:t>
              </w:r>
            </w:hyperlink>
          </w:p>
        </w:tc>
        <w:tc>
          <w:tcPr>
            <w:tcW w:w="262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7" w:hRule="exact"/>
        </w:trPr>
        <w:tc>
          <w:tcPr>
            <w:tcW w:w="22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hyperlink r:id="rId11">
              <w:r>
                <w:rPr>
                  <w:rFonts w:ascii="宋体"/>
                  <w:sz w:val="18"/>
                </w:rPr>
                <w:t>http://www.cninfo.com.cn</w:t>
              </w:r>
            </w:hyperlink>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7" w:hRule="exact"/>
        </w:trPr>
        <w:tc>
          <w:tcPr>
            <w:tcW w:w="22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hyperlink r:id="rId11">
              <w:r>
                <w:rPr>
                  <w:rFonts w:ascii="宋体"/>
                  <w:sz w:val="18"/>
                </w:rPr>
                <w:t>http://www.cninfo.com.cn</w:t>
              </w:r>
            </w:hyperlink>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7" w:hRule="exact"/>
        </w:trPr>
        <w:tc>
          <w:tcPr>
            <w:tcW w:w="22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hyperlink r:id="rId11">
              <w:r>
                <w:rPr>
                  <w:rFonts w:ascii="宋体"/>
                  <w:sz w:val="18"/>
                </w:rPr>
                <w:t>http://www.cninfo.com.cn</w:t>
              </w:r>
            </w:hyperlink>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7" w:hRule="exact"/>
        </w:trPr>
        <w:tc>
          <w:tcPr>
            <w:tcW w:w="22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第二届董事会第十五次会议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7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4" w:type="dxa"/>
            <w:tcBorders>
              <w:top w:val="single" w:sz="6" w:space="0" w:color="000000"/>
              <w:left w:val="single" w:sz="6" w:space="0" w:color="000000"/>
              <w:bottom w:val="single" w:sz="6" w:space="0" w:color="000000"/>
              <w:right w:val="single" w:sz="6" w:space="0" w:color="000000"/>
            </w:tcBorders>
          </w:tcPr>
          <w:p>
            <w:pPr/>
          </w:p>
        </w:tc>
        <w:tc>
          <w:tcPr>
            <w:tcW w:w="2622"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26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第二届董事会第十六次会议</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7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hyperlink r:id="rId11">
              <w:r>
                <w:rPr>
                  <w:rFonts w:ascii="宋体"/>
                  <w:sz w:val="18"/>
                </w:rPr>
                <w:t>http://www.cninfo.com.cn</w:t>
              </w:r>
            </w:hyperlink>
          </w:p>
        </w:tc>
        <w:tc>
          <w:tcPr>
            <w:tcW w:w="26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316" w:lineRule="auto" w:before="51"/>
        <w:ind w:left="153" w:right="196" w:firstLine="360"/>
        <w:jc w:val="left"/>
        <w:rPr>
          <w:rFonts w:ascii="宋体" w:hAnsi="宋体" w:cs="宋体" w:eastAsia="宋体" w:hint="default"/>
          <w:sz w:val="18"/>
          <w:szCs w:val="18"/>
        </w:rPr>
      </w:pPr>
      <w:r>
        <w:rPr>
          <w:rFonts w:ascii="宋体" w:hAnsi="宋体" w:cs="宋体" w:eastAsia="宋体" w:hint="default"/>
          <w:spacing w:val="-3"/>
          <w:sz w:val="18"/>
          <w:szCs w:val="18"/>
        </w:rPr>
        <w:t>注：第二届董事会第十次会议仅审议</w:t>
      </w:r>
      <w:r>
        <w:rPr>
          <w:rFonts w:ascii="宋体" w:hAnsi="宋体" w:cs="宋体" w:eastAsia="宋体" w:hint="default"/>
          <w:spacing w:val="-54"/>
          <w:sz w:val="18"/>
          <w:szCs w:val="18"/>
        </w:rPr>
        <w:t> </w:t>
      </w: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年第一季度报告一项议案、第二届董事会第十五次会议仅审议</w:t>
      </w:r>
      <w:r>
        <w:rPr>
          <w:rFonts w:ascii="宋体" w:hAnsi="宋体" w:cs="宋体" w:eastAsia="宋体" w:hint="default"/>
          <w:spacing w:val="-53"/>
          <w:sz w:val="18"/>
          <w:szCs w:val="18"/>
        </w:rPr>
        <w:t> </w:t>
      </w: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年第三季 度报告一项议案，无需披露决议公告。</w:t>
      </w:r>
    </w:p>
    <w:p>
      <w:pPr>
        <w:spacing w:line="240" w:lineRule="auto" w:before="11"/>
        <w:rPr>
          <w:rFonts w:ascii="宋体" w:hAnsi="宋体" w:cs="宋体" w:eastAsia="宋体" w:hint="default"/>
          <w:sz w:val="12"/>
          <w:szCs w:val="12"/>
        </w:rPr>
      </w:pPr>
    </w:p>
    <w:p>
      <w:pPr>
        <w:pStyle w:val="Heading2"/>
        <w:spacing w:line="240" w:lineRule="auto" w:before="0"/>
        <w:ind w:right="102"/>
        <w:jc w:val="left"/>
        <w:rPr>
          <w:b w:val="0"/>
          <w:bCs w:val="0"/>
        </w:rPr>
      </w:pPr>
      <w:bookmarkStart w:name="四、年度报告重大差错责任追究制度的建立与执行情况" w:id="104"/>
      <w:bookmarkEnd w:id="104"/>
      <w:r>
        <w:rPr>
          <w:b w:val="0"/>
          <w:bCs w:val="0"/>
        </w:rPr>
      </w:r>
      <w:r>
        <w:rPr/>
        <w:t>四、年度报告重大差错责任追究制度的建立与执行情况</w:t>
      </w:r>
      <w:r>
        <w:rPr>
          <w:b w:val="0"/>
          <w:bCs w:val="0"/>
        </w:rPr>
      </w:r>
    </w:p>
    <w:p>
      <w:pPr>
        <w:pStyle w:val="BodyText"/>
        <w:spacing w:line="408" w:lineRule="auto" w:before="177"/>
        <w:ind w:right="95" w:firstLine="423"/>
        <w:jc w:val="left"/>
      </w:pPr>
      <w:r>
        <w:rPr>
          <w:spacing w:val="-3"/>
        </w:rPr>
        <w:t>报告期内，公司严格按照《年报信息披露重大差错责任追究制度》的要求规范公司年报信息披露行为，</w:t>
      </w:r>
      <w:r>
        <w:rPr/>
        <w:t> 报告期内未发生重大会计差错更正、重大遗漏信息补充及业绩预告修正等情况。</w:t>
      </w:r>
    </w:p>
    <w:p>
      <w:pPr>
        <w:pStyle w:val="Heading2"/>
        <w:spacing w:line="240" w:lineRule="auto" w:before="23"/>
        <w:ind w:right="102"/>
        <w:jc w:val="left"/>
        <w:rPr>
          <w:b w:val="0"/>
          <w:bCs w:val="0"/>
        </w:rPr>
      </w:pPr>
      <w:bookmarkStart w:name="五、监事会工作情况" w:id="105"/>
      <w:bookmarkEnd w:id="105"/>
      <w:r>
        <w:rPr>
          <w:b w:val="0"/>
          <w:bCs w:val="0"/>
        </w:rPr>
      </w:r>
      <w:r>
        <w:rPr/>
        <w:t>五、监事会工作情况</w:t>
      </w:r>
      <w:r>
        <w:rPr>
          <w:b w:val="0"/>
          <w:bCs w:val="0"/>
        </w:rPr>
      </w:r>
    </w:p>
    <w:p>
      <w:pPr>
        <w:pStyle w:val="BodyText"/>
        <w:spacing w:line="240" w:lineRule="auto" w:before="177"/>
        <w:ind w:right="102"/>
        <w:jc w:val="left"/>
      </w:pPr>
      <w:r>
        <w:rPr/>
        <w:t>监事会在报告期内的监督活动是否发现公司存在风险</w:t>
      </w:r>
    </w:p>
    <w:p>
      <w:pPr>
        <w:spacing w:line="240" w:lineRule="auto" w:before="10"/>
        <w:rPr>
          <w:rFonts w:ascii="宋体" w:hAnsi="宋体" w:cs="宋体" w:eastAsia="宋体" w:hint="default"/>
          <w:sz w:val="14"/>
          <w:szCs w:val="14"/>
        </w:rPr>
      </w:pPr>
    </w:p>
    <w:p>
      <w:pPr>
        <w:pStyle w:val="BodyText"/>
        <w:spacing w:line="408" w:lineRule="auto" w:before="0"/>
        <w:ind w:right="5843"/>
        <w:jc w:val="left"/>
      </w:pPr>
      <w:r>
        <w:rPr/>
        <w:t>□ 是 √ 否 公司监事会对报告期内的监督事项无异议。</w:t>
      </w:r>
    </w:p>
    <w:p>
      <w:pPr>
        <w:spacing w:after="0" w:line="408" w:lineRule="auto"/>
        <w:jc w:val="left"/>
        <w:sectPr>
          <w:pgSz w:w="11910" w:h="16840"/>
          <w:pgMar w:header="747" w:footer="1000" w:top="104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right="150"/>
        <w:jc w:val="center"/>
        <w:rPr>
          <w:b w:val="0"/>
          <w:bCs w:val="0"/>
        </w:rPr>
      </w:pPr>
      <w:bookmarkStart w:name="第九节 财务报告" w:id="106"/>
      <w:bookmarkEnd w:id="106"/>
      <w:r>
        <w:rPr>
          <w:b w:val="0"/>
          <w:bCs w:val="0"/>
        </w:rPr>
      </w:r>
      <w:bookmarkStart w:name="_bookmark8" w:id="107"/>
      <w:bookmarkEnd w:id="107"/>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审计报告" w:id="108"/>
      <w:bookmarkEnd w:id="10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4782"/>
        <w:gridCol w:w="4787"/>
      </w:tblGrid>
      <w:tr>
        <w:trPr>
          <w:trHeight w:val="415" w:hRule="exact"/>
        </w:trPr>
        <w:tc>
          <w:tcPr>
            <w:tcW w:w="4782"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7" w:hRule="exact"/>
        </w:trPr>
        <w:tc>
          <w:tcPr>
            <w:tcW w:w="478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7" w:hRule="exact"/>
        </w:trPr>
        <w:tc>
          <w:tcPr>
            <w:tcW w:w="478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7" w:hRule="exact"/>
        </w:trPr>
        <w:tc>
          <w:tcPr>
            <w:tcW w:w="478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宋体" w:hAnsi="宋体" w:cs="宋体" w:eastAsia="宋体"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2220</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15" w:hRule="exact"/>
        </w:trPr>
        <w:tc>
          <w:tcPr>
            <w:tcW w:w="478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梁烽、叶华</w:t>
            </w:r>
          </w:p>
        </w:tc>
      </w:tr>
    </w:tbl>
    <w:p>
      <w:pPr>
        <w:spacing w:line="240" w:lineRule="auto" w:before="1"/>
        <w:rPr>
          <w:rFonts w:ascii="宋体" w:hAnsi="宋体" w:cs="宋体" w:eastAsia="宋体" w:hint="default"/>
          <w:b/>
          <w:bCs/>
          <w:sz w:val="14"/>
          <w:szCs w:val="14"/>
        </w:rPr>
      </w:pPr>
    </w:p>
    <w:p>
      <w:pPr>
        <w:pStyle w:val="BodyText"/>
        <w:spacing w:line="240" w:lineRule="auto" w:before="35"/>
        <w:ind w:left="151" w:right="150"/>
        <w:jc w:val="center"/>
      </w:pPr>
      <w:r>
        <w:rPr/>
        <w:t>审计报告正文</w:t>
      </w:r>
    </w:p>
    <w:p>
      <w:pPr>
        <w:pStyle w:val="BodyText"/>
        <w:spacing w:line="240" w:lineRule="auto" w:before="115"/>
        <w:ind w:left="0" w:right="149"/>
        <w:jc w:val="right"/>
      </w:pPr>
      <w:r>
        <w:rPr/>
        <w:t>众会字</w:t>
      </w:r>
      <w:r>
        <w:rPr>
          <w:rFonts w:ascii="宋体" w:hAnsi="宋体" w:cs="宋体" w:eastAsia="宋体" w:hint="default"/>
        </w:rPr>
        <w:t>(2015)</w:t>
      </w:r>
      <w:r>
        <w:rPr/>
        <w:t>第</w:t>
      </w:r>
      <w:r>
        <w:rPr>
          <w:rFonts w:ascii="宋体" w:hAnsi="宋体" w:cs="宋体" w:eastAsia="宋体" w:hint="default"/>
        </w:rPr>
        <w:t>2220</w:t>
      </w:r>
      <w:r>
        <w:rPr/>
        <w:t>号</w:t>
      </w:r>
    </w:p>
    <w:p>
      <w:pPr>
        <w:spacing w:line="240" w:lineRule="auto" w:before="13"/>
        <w:rPr>
          <w:rFonts w:ascii="宋体" w:hAnsi="宋体" w:cs="宋体" w:eastAsia="宋体" w:hint="default"/>
          <w:sz w:val="29"/>
          <w:szCs w:val="29"/>
        </w:rPr>
      </w:pPr>
    </w:p>
    <w:p>
      <w:pPr>
        <w:spacing w:line="408" w:lineRule="auto" w:before="35"/>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光一科技股份有限公司全体股东：</w:t>
      </w:r>
      <w:r>
        <w:rPr>
          <w:rFonts w:ascii="宋体" w:hAnsi="宋体" w:cs="宋体" w:eastAsia="宋体" w:hint="default"/>
          <w:b/>
          <w:bCs/>
          <w:w w:val="99"/>
          <w:sz w:val="21"/>
          <w:szCs w:val="21"/>
        </w:rPr>
        <w:t> </w:t>
      </w:r>
      <w:r>
        <w:rPr>
          <w:rFonts w:ascii="宋体" w:hAnsi="宋体" w:cs="宋体" w:eastAsia="宋体" w:hint="default"/>
          <w:spacing w:val="-1"/>
          <w:sz w:val="21"/>
          <w:szCs w:val="21"/>
        </w:rPr>
        <w:t>我们审计了后附的光一科技股份有限公司</w:t>
      </w:r>
      <w:r>
        <w:rPr>
          <w:rFonts w:ascii="宋体" w:hAnsi="宋体" w:cs="宋体" w:eastAsia="宋体" w:hint="default"/>
          <w:spacing w:val="-1"/>
          <w:sz w:val="21"/>
          <w:szCs w:val="21"/>
        </w:rPr>
        <w:t>(</w:t>
      </w:r>
      <w:r>
        <w:rPr>
          <w:rFonts w:ascii="宋体" w:hAnsi="宋体" w:cs="宋体" w:eastAsia="宋体" w:hint="default"/>
          <w:spacing w:val="-1"/>
          <w:sz w:val="21"/>
          <w:szCs w:val="21"/>
        </w:rPr>
        <w:t>以下简称光一公司</w:t>
      </w:r>
      <w:r>
        <w:rPr>
          <w:rFonts w:ascii="宋体" w:hAnsi="宋体" w:cs="宋体" w:eastAsia="宋体" w:hint="default"/>
          <w:spacing w:val="-1"/>
          <w:sz w:val="21"/>
          <w:szCs w:val="21"/>
        </w:rPr>
        <w:t>)</w:t>
      </w:r>
      <w:r>
        <w:rPr>
          <w:rFonts w:ascii="宋体" w:hAnsi="宋体" w:cs="宋体" w:eastAsia="宋体" w:hint="default"/>
          <w:spacing w:val="-1"/>
          <w:sz w:val="21"/>
          <w:szCs w:val="21"/>
        </w:rPr>
        <w:t>财务报表，包括</w:t>
      </w: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日的合并</w:t>
      </w:r>
    </w:p>
    <w:p>
      <w:pPr>
        <w:pStyle w:val="BodyText"/>
        <w:spacing w:line="408" w:lineRule="auto"/>
        <w:ind w:left="154" w:right="0"/>
        <w:jc w:val="left"/>
      </w:pPr>
      <w:r>
        <w:rPr>
          <w:spacing w:val="-1"/>
        </w:rPr>
        <w:t>及公司资产负债表，</w:t>
      </w:r>
      <w:r>
        <w:rPr>
          <w:rFonts w:ascii="宋体" w:hAnsi="宋体" w:cs="宋体" w:eastAsia="宋体" w:hint="default"/>
          <w:spacing w:val="-1"/>
        </w:rPr>
        <w:t>2014</w:t>
      </w:r>
      <w:r>
        <w:rPr>
          <w:spacing w:val="-1"/>
        </w:rPr>
        <w:t>年度的合并及公司利润表、合并及公司现金流量表、合并所有者权益变动表及公</w:t>
      </w:r>
      <w:r>
        <w:rPr>
          <w:spacing w:val="-82"/>
        </w:rPr>
        <w:t> </w:t>
      </w:r>
      <w:r>
        <w:rPr>
          <w:spacing w:val="-82"/>
        </w:rPr>
      </w:r>
      <w:r>
        <w:rPr/>
        <w:t>司所有者权益变动表以及财务报表附注。</w:t>
      </w:r>
    </w:p>
    <w:p>
      <w:pPr>
        <w:spacing w:line="408" w:lineRule="auto" w:before="46"/>
        <w:ind w:left="573" w:right="218" w:hanging="8"/>
        <w:jc w:val="left"/>
        <w:rPr>
          <w:rFonts w:ascii="宋体" w:hAnsi="宋体" w:cs="宋体" w:eastAsia="宋体" w:hint="default"/>
          <w:sz w:val="21"/>
          <w:szCs w:val="21"/>
        </w:rPr>
      </w:pPr>
      <w:r>
        <w:rPr>
          <w:rFonts w:ascii="宋体" w:hAnsi="宋体" w:cs="宋体" w:eastAsia="宋体" w:hint="default"/>
          <w:b/>
          <w:bCs/>
          <w:sz w:val="21"/>
          <w:szCs w:val="21"/>
        </w:rPr>
        <w:t>一、管理层对合并及公司财务报表的责任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编制和公允列报财务报表是光一公司管理层的责任，这种责任包括：</w:t>
      </w:r>
      <w:r>
        <w:rPr>
          <w:rFonts w:ascii="宋体" w:hAnsi="宋体" w:cs="宋体" w:eastAsia="宋体" w:hint="default"/>
          <w:sz w:val="21"/>
          <w:szCs w:val="21"/>
        </w:rPr>
        <w:t>(1)</w:t>
      </w:r>
      <w:r>
        <w:rPr>
          <w:rFonts w:ascii="宋体" w:hAnsi="宋体" w:cs="宋体" w:eastAsia="宋体" w:hint="default"/>
          <w:sz w:val="21"/>
          <w:szCs w:val="21"/>
        </w:rPr>
        <w:t>按照企业会计准则的规定编</w:t>
      </w:r>
    </w:p>
    <w:p>
      <w:pPr>
        <w:pStyle w:val="BodyText"/>
        <w:spacing w:line="408" w:lineRule="auto"/>
        <w:ind w:left="154" w:right="217"/>
        <w:jc w:val="left"/>
      </w:pPr>
      <w:r>
        <w:rPr/>
        <w:t>制财务报表，并使其实现公允反映；</w:t>
      </w:r>
      <w:r>
        <w:rPr>
          <w:rFonts w:ascii="宋体" w:hAnsi="宋体" w:cs="宋体" w:eastAsia="宋体" w:hint="default"/>
        </w:rPr>
        <w:t>(2)</w:t>
      </w:r>
      <w:r>
        <w:rPr/>
        <w:t>设计、执行和维护必要的内部控制，以使财务报表不存在由于舞 弊或错误导致的重大错报。</w:t>
      </w:r>
    </w:p>
    <w:p>
      <w:pPr>
        <w:pStyle w:val="BodyText"/>
        <w:spacing w:line="408" w:lineRule="auto"/>
        <w:ind w:left="574" w:right="0" w:hanging="9"/>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w:t>
      </w:r>
    </w:p>
    <w:p>
      <w:pPr>
        <w:pStyle w:val="BodyText"/>
        <w:spacing w:line="408" w:lineRule="auto"/>
        <w:ind w:left="154"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ind w:left="154" w:right="15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240" w:lineRule="auto"/>
        <w:ind w:left="574" w:right="0"/>
        <w:jc w:val="left"/>
      </w:pPr>
      <w:r>
        <w:rPr/>
        <w:t>我们相信，我们获取的审计证据是充分、适当的，为发表审计意见提供了基础。</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573" w:right="323" w:hanging="8"/>
        <w:jc w:val="left"/>
      </w:pPr>
      <w:r>
        <w:rPr>
          <w:rFonts w:ascii="宋体" w:hAnsi="宋体" w:cs="宋体" w:eastAsia="宋体" w:hint="default"/>
          <w:b/>
          <w:bCs/>
        </w:rPr>
        <w:t>三、审计意见</w:t>
      </w:r>
      <w:r>
        <w:rPr>
          <w:rFonts w:ascii="宋体" w:hAnsi="宋体" w:cs="宋体" w:eastAsia="宋体" w:hint="default"/>
          <w:b/>
          <w:bCs/>
          <w:w w:val="99"/>
        </w:rPr>
        <w:t> </w:t>
      </w:r>
      <w:r>
        <w:rPr/>
        <w:t>我们认为，光一公司财务报表在所有重大方面按照企业会计准则的规定编制，公允反映了光一公司</w:t>
      </w:r>
    </w:p>
    <w:p>
      <w:pPr>
        <w:pStyle w:val="BodyText"/>
        <w:spacing w:line="240" w:lineRule="auto"/>
        <w:ind w:right="0"/>
        <w:jc w:val="left"/>
      </w:pP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2014</w:t>
      </w:r>
      <w:r>
        <w:rPr/>
        <w:t>年度的合并及公司经营成果和合并及公司现金流量。</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3815"/>
        <w:gridCol w:w="2205"/>
        <w:gridCol w:w="630"/>
        <w:gridCol w:w="352"/>
      </w:tblGrid>
      <w:tr>
        <w:trPr>
          <w:trHeight w:val="439" w:hRule="exact"/>
        </w:trPr>
        <w:tc>
          <w:tcPr>
            <w:tcW w:w="38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众华会计师事务所（特殊普通合伙）</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11"/>
              <w:jc w:val="right"/>
              <w:rPr>
                <w:rFonts w:ascii="宋体" w:hAnsi="宋体" w:cs="宋体" w:eastAsia="宋体" w:hint="default"/>
                <w:sz w:val="21"/>
                <w:szCs w:val="21"/>
              </w:rPr>
            </w:pPr>
            <w:r>
              <w:rPr>
                <w:rFonts w:ascii="宋体" w:hAnsi="宋体" w:cs="宋体" w:eastAsia="宋体" w:hint="default"/>
                <w:sz w:val="21"/>
                <w:szCs w:val="21"/>
              </w:rPr>
              <w:t>中国注册会计师</w:t>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1"/>
              <w:jc w:val="right"/>
              <w:rPr>
                <w:rFonts w:ascii="宋体" w:hAnsi="宋体" w:cs="宋体" w:eastAsia="宋体" w:hint="default"/>
                <w:sz w:val="21"/>
                <w:szCs w:val="21"/>
              </w:rPr>
            </w:pPr>
            <w:r>
              <w:rPr>
                <w:rFonts w:ascii="宋体" w:hAnsi="宋体" w:cs="宋体" w:eastAsia="宋体" w:hint="default"/>
                <w:sz w:val="21"/>
                <w:szCs w:val="21"/>
              </w:rPr>
              <w:t>梁</w:t>
            </w:r>
          </w:p>
        </w:tc>
        <w:tc>
          <w:tcPr>
            <w:tcW w:w="35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烽</w:t>
            </w:r>
          </w:p>
        </w:tc>
      </w:tr>
      <w:tr>
        <w:trPr>
          <w:trHeight w:val="439" w:hRule="exact"/>
        </w:trPr>
        <w:tc>
          <w:tcPr>
            <w:tcW w:w="3815" w:type="dxa"/>
            <w:tcBorders>
              <w:top w:val="nil" w:sz="6" w:space="0" w:color="auto"/>
              <w:left w:val="nil" w:sz="6" w:space="0" w:color="auto"/>
              <w:bottom w:val="nil" w:sz="6" w:space="0" w:color="auto"/>
              <w:right w:val="nil" w:sz="6" w:space="0" w:color="auto"/>
            </w:tcBorders>
          </w:tcPr>
          <w:p>
            <w:pP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4"/>
              <w:jc w:val="right"/>
              <w:rPr>
                <w:rFonts w:ascii="宋体" w:hAnsi="宋体" w:cs="宋体" w:eastAsia="宋体" w:hint="default"/>
                <w:sz w:val="21"/>
                <w:szCs w:val="21"/>
              </w:rPr>
            </w:pPr>
            <w:r>
              <w:rPr>
                <w:rFonts w:ascii="宋体" w:hAnsi="宋体" w:cs="宋体" w:eastAsia="宋体" w:hint="default"/>
                <w:spacing w:val="-1"/>
                <w:sz w:val="21"/>
                <w:szCs w:val="21"/>
              </w:rPr>
              <w:t>中国注册会计师</w:t>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hAnsi="宋体" w:cs="宋体" w:eastAsia="宋体" w:hint="default"/>
                <w:sz w:val="21"/>
                <w:szCs w:val="21"/>
              </w:rPr>
              <w:t>叶</w:t>
            </w:r>
          </w:p>
        </w:tc>
        <w:tc>
          <w:tcPr>
            <w:tcW w:w="3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6"/>
              <w:jc w:val="right"/>
              <w:rPr>
                <w:rFonts w:ascii="宋体" w:hAnsi="宋体" w:cs="宋体" w:eastAsia="宋体" w:hint="default"/>
                <w:sz w:val="21"/>
                <w:szCs w:val="21"/>
              </w:rPr>
            </w:pPr>
            <w:r>
              <w:rPr>
                <w:rFonts w:ascii="宋体" w:hAnsi="宋体" w:cs="宋体" w:eastAsia="宋体" w:hint="default"/>
                <w:sz w:val="21"/>
                <w:szCs w:val="21"/>
              </w:rPr>
              <w:t>华</w:t>
            </w:r>
          </w:p>
        </w:tc>
      </w:tr>
    </w:tbl>
    <w:p>
      <w:pPr>
        <w:pStyle w:val="BodyText"/>
        <w:tabs>
          <w:tab w:pos="4353" w:val="left" w:leader="none"/>
        </w:tabs>
        <w:spacing w:line="240" w:lineRule="auto" w:before="93"/>
        <w:ind w:right="0"/>
        <w:jc w:val="left"/>
      </w:pPr>
      <w:r>
        <w:rPr/>
        <w:t>中国，上海</w:t>
        <w:tab/>
        <w:t>二〇一五年四月二十一日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2"/>
        <w:spacing w:line="240" w:lineRule="auto" w:before="0"/>
        <w:ind w:left="154" w:right="0"/>
        <w:jc w:val="left"/>
        <w:rPr>
          <w:b w:val="0"/>
          <w:bCs w:val="0"/>
        </w:rPr>
      </w:pPr>
      <w:bookmarkStart w:name="二、财务报表" w:id="109"/>
      <w:bookmarkEnd w:id="109"/>
      <w:r>
        <w:rPr>
          <w:b w:val="0"/>
          <w:bCs w:val="0"/>
        </w:rPr>
      </w:r>
      <w:r>
        <w:rPr/>
        <w:t>二、财务报表</w:t>
      </w:r>
      <w:r>
        <w:rPr>
          <w:b w:val="0"/>
          <w:bCs w:val="0"/>
        </w:rPr>
      </w:r>
    </w:p>
    <w:p>
      <w:pPr>
        <w:spacing w:line="240" w:lineRule="auto" w:before="6"/>
        <w:rPr>
          <w:rFonts w:ascii="宋体" w:hAnsi="宋体" w:cs="宋体" w:eastAsia="宋体" w:hint="default"/>
          <w:b/>
          <w:bCs/>
          <w:sz w:val="30"/>
          <w:szCs w:val="30"/>
        </w:rPr>
      </w:pPr>
    </w:p>
    <w:p>
      <w:pPr>
        <w:spacing w:line="604" w:lineRule="auto" w:before="0"/>
        <w:ind w:left="154" w:right="6412" w:firstLine="0"/>
        <w:jc w:val="left"/>
        <w:rPr>
          <w:rFonts w:ascii="宋体" w:hAnsi="宋体" w:cs="宋体" w:eastAsia="宋体" w:hint="default"/>
          <w:sz w:val="21"/>
          <w:szCs w:val="21"/>
        </w:rPr>
      </w:pPr>
      <w:r>
        <w:rPr>
          <w:rFonts w:ascii="宋体" w:hAnsi="宋体" w:cs="宋体" w:eastAsia="宋体" w:hint="default"/>
          <w:sz w:val="21"/>
          <w:szCs w:val="21"/>
        </w:rPr>
        <w:t>财务附注中报表的单位为：人民币元 </w:t>
      </w:r>
      <w:bookmarkStart w:name="1、合并资产负债表" w:id="110"/>
      <w:bookmarkEnd w:id="110"/>
      <w:r>
        <w:rPr>
          <w:rFonts w:ascii="宋体" w:hAnsi="宋体" w:cs="宋体" w:eastAsia="宋体" w:hint="default"/>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tabs>
          <w:tab w:pos="9114"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编制单位：光一科技股份有限公司</w:t>
        <w:tab/>
      </w:r>
      <w:r>
        <w:rPr>
          <w:rFonts w:ascii="宋体" w:hAnsi="宋体" w:cs="宋体" w:eastAsia="宋体" w:hint="default"/>
          <w:spacing w:val="-11"/>
          <w:sz w:val="18"/>
          <w:szCs w:val="18"/>
        </w:rPr>
        <w:t>单位：元</w:t>
      </w:r>
    </w:p>
    <w:p>
      <w:pPr>
        <w:spacing w:before="116"/>
        <w:ind w:left="150" w:right="150" w:firstLine="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9"/>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969"/>
        <w:gridCol w:w="3300"/>
        <w:gridCol w:w="3300"/>
      </w:tblGrid>
      <w:tr>
        <w:trPr>
          <w:trHeight w:val="399" w:hRule="exact"/>
        </w:trPr>
        <w:tc>
          <w:tcPr>
            <w:tcW w:w="29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2"/>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376,665,386.10</w:t>
            </w:r>
          </w:p>
        </w:tc>
        <w:tc>
          <w:tcPr>
            <w:tcW w:w="3300"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361,377,372.29</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7,176.57</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8,450,720.00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2,300,000.00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603,335,604.49</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206,552,047.30</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4,715,210.33</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27,928,759.55</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4"/>
              <w:ind w:right="19"/>
              <w:jc w:val="right"/>
              <w:rPr>
                <w:rFonts w:ascii="宋体" w:hAnsi="宋体" w:cs="宋体" w:eastAsia="宋体" w:hint="default"/>
                <w:sz w:val="18"/>
                <w:szCs w:val="18"/>
              </w:rPr>
            </w:pPr>
            <w:r>
              <w:rPr>
                <w:rFonts w:ascii="宋体"/>
                <w:sz w:val="18"/>
              </w:rPr>
              <w:t>579,682.22</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725,792.34</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21" w:hRule="exact"/>
        </w:trPr>
        <w:tc>
          <w:tcPr>
            <w:tcW w:w="2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100,657,233.68</w:t>
            </w:r>
          </w:p>
        </w:tc>
        <w:tc>
          <w:tcPr>
            <w:tcW w:w="33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39,115,035.02</w:t>
            </w:r>
          </w:p>
        </w:tc>
      </w:tr>
    </w:tbl>
    <w:p>
      <w:pPr>
        <w:spacing w:after="0" w:line="240" w:lineRule="auto"/>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2969"/>
        <w:gridCol w:w="3300"/>
        <w:gridCol w:w="3300"/>
      </w:tblGrid>
      <w:tr>
        <w:trPr>
          <w:trHeight w:val="370" w:hRule="exact"/>
        </w:trPr>
        <w:tc>
          <w:tcPr>
            <w:tcW w:w="29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17" w:space="0" w:color="D2D2D2"/>
              <w:left w:val="single" w:sz="14" w:space="0" w:color="D2D2D2"/>
              <w:bottom w:val="single" w:sz="6" w:space="0" w:color="000000"/>
              <w:right w:val="single" w:sz="6" w:space="0" w:color="000000"/>
            </w:tcBorders>
          </w:tcPr>
          <w:p>
            <w:pPr/>
          </w:p>
        </w:tc>
        <w:tc>
          <w:tcPr>
            <w:tcW w:w="3300" w:type="dxa"/>
            <w:tcBorders>
              <w:top w:val="single" w:sz="17" w:space="0" w:color="D2D2D2"/>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84,813,968.80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66,691,475.21</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21,865,619.26</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2,162,210.01</w:t>
            </w:r>
          </w:p>
        </w:tc>
      </w:tr>
      <w:tr>
        <w:trPr>
          <w:trHeight w:val="43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1,201,083,424.88</w:t>
            </w:r>
          </w:p>
        </w:tc>
        <w:tc>
          <w:tcPr>
            <w:tcW w:w="3300"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706,859,868.29</w:t>
            </w:r>
          </w:p>
        </w:tc>
      </w:tr>
      <w:tr>
        <w:trPr>
          <w:trHeight w:val="36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23" w:space="0" w:color="D2D2D2"/>
              <w:left w:val="single" w:sz="14" w:space="0" w:color="D2D2D2"/>
              <w:bottom w:val="single" w:sz="6" w:space="0" w:color="000000"/>
              <w:right w:val="single" w:sz="6" w:space="0" w:color="000000"/>
            </w:tcBorders>
          </w:tcPr>
          <w:p>
            <w:pPr/>
          </w:p>
        </w:tc>
        <w:tc>
          <w:tcPr>
            <w:tcW w:w="3300" w:type="dxa"/>
            <w:tcBorders>
              <w:top w:val="single" w:sz="23" w:space="0" w:color="D2D2D2"/>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700,000.00</w:t>
            </w: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11,069,385.27</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9,762,489.22</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138,314,060.18</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114,210,568.72</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160,258,437.13</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49,943,662.52</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136,774,938.04</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36,290,914.33</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323,305,967.10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10,834,230.27</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513,541.67</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149,128.36</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5,579,880.84</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2,576,084.38</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10,123,503.45</w:t>
            </w: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786,639,713.68</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223,767,077.80</w:t>
            </w:r>
          </w:p>
        </w:tc>
      </w:tr>
      <w:tr>
        <w:trPr>
          <w:trHeight w:val="43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6" w:space="0" w:color="000000"/>
              <w:left w:val="single" w:sz="14" w:space="0" w:color="D2D2D2"/>
              <w:bottom w:val="single" w:sz="17" w:space="0" w:color="D2D2D2"/>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1,987,723,138.56</w:t>
            </w:r>
          </w:p>
        </w:tc>
        <w:tc>
          <w:tcPr>
            <w:tcW w:w="3300" w:type="dxa"/>
            <w:tcBorders>
              <w:top w:val="single" w:sz="6" w:space="0" w:color="000000"/>
              <w:left w:val="single" w:sz="6" w:space="0" w:color="000000"/>
              <w:bottom w:val="single" w:sz="17" w:space="0" w:color="D2D2D2"/>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930,626,946.09</w:t>
            </w:r>
          </w:p>
        </w:tc>
      </w:tr>
      <w:tr>
        <w:trPr>
          <w:trHeight w:val="36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108,000,000.00</w:t>
            </w:r>
          </w:p>
        </w:tc>
        <w:tc>
          <w:tcPr>
            <w:tcW w:w="3300"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78,500,000.00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21" w:hRule="exact"/>
        </w:trPr>
        <w:tc>
          <w:tcPr>
            <w:tcW w:w="2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6" w:space="0" w:color="000000"/>
              <w:left w:val="single" w:sz="14" w:space="0" w:color="D2D2D2"/>
              <w:bottom w:val="single" w:sz="12" w:space="0" w:color="000000"/>
              <w:right w:val="single" w:sz="6" w:space="0" w:color="000000"/>
            </w:tcBorders>
          </w:tcPr>
          <w:p>
            <w:pPr/>
          </w:p>
        </w:tc>
        <w:tc>
          <w:tcPr>
            <w:tcW w:w="3300"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2969"/>
        <w:gridCol w:w="3300"/>
        <w:gridCol w:w="3300"/>
      </w:tblGrid>
      <w:tr>
        <w:trPr>
          <w:trHeight w:val="377" w:hRule="exact"/>
        </w:trPr>
        <w:tc>
          <w:tcPr>
            <w:tcW w:w="29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66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2"/>
              <w:ind w:left="13"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17" w:space="0" w:color="D2D2D2"/>
              <w:left w:val="single" w:sz="14" w:space="0" w:color="D2D2D2"/>
              <w:bottom w:val="single" w:sz="6" w:space="0" w:color="000000"/>
              <w:right w:val="single" w:sz="6" w:space="0" w:color="000000"/>
            </w:tcBorders>
          </w:tcPr>
          <w:p>
            <w:pPr/>
          </w:p>
        </w:tc>
        <w:tc>
          <w:tcPr>
            <w:tcW w:w="3300" w:type="dxa"/>
            <w:tcBorders>
              <w:top w:val="single" w:sz="17" w:space="0" w:color="D2D2D2"/>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34,749,821.02</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27,613,002.65</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224,596,179.23</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109,196,845.14</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5,761,844.69</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3,373,022.38</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10,264,707.18</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8,525,275.61</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17,410,458.78</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7,250,678.19</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15,525,288.00</w:t>
            </w: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113,082,287.59</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2,276,716.31</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37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34"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529,390,586.49</w:t>
            </w:r>
          </w:p>
        </w:tc>
        <w:tc>
          <w:tcPr>
            <w:tcW w:w="3300"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236,735,540.28</w:t>
            </w:r>
          </w:p>
        </w:tc>
      </w:tr>
      <w:tr>
        <w:trPr>
          <w:trHeight w:val="36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9"/>
              <w:jc w:val="right"/>
              <w:rPr>
                <w:rFonts w:ascii="宋体" w:hAnsi="宋体" w:cs="宋体" w:eastAsia="宋体" w:hint="default"/>
                <w:sz w:val="18"/>
                <w:szCs w:val="18"/>
              </w:rPr>
            </w:pPr>
            <w:r>
              <w:rPr>
                <w:rFonts w:ascii="宋体"/>
                <w:sz w:val="18"/>
              </w:rPr>
              <w:t>30,515,796.00</w:t>
            </w:r>
          </w:p>
        </w:tc>
        <w:tc>
          <w:tcPr>
            <w:tcW w:w="3300" w:type="dxa"/>
            <w:tcBorders>
              <w:top w:val="single" w:sz="17" w:space="0" w:color="D2D2D2"/>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21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20,000,000.00</w:t>
            </w: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20,675,000.00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5,332,503.00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7,451,945.14</w:t>
            </w: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21" w:hRule="exact"/>
        </w:trPr>
        <w:tc>
          <w:tcPr>
            <w:tcW w:w="2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4,450,000.00</w:t>
            </w:r>
          </w:p>
        </w:tc>
        <w:tc>
          <w:tcPr>
            <w:tcW w:w="3300"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04.199997pt;margin-top:666.519958pt;width:.1pt;height:15.6pt;mso-position-horizontal-relative:page;mso-position-vertical-relative:page;z-index:-913096" coordorigin="4084,13330" coordsize="2,312">
            <v:shape style="position:absolute;left:4084;top:13330;width:2;height:312" coordorigin="4084,13330" coordsize="0,312" path="m4084,13330l4084,13642e" filled="false" stroked="true" strokeweight="1.08pt" strokecolor="#d2d2d2">
              <v:path arrowok="t"/>
            </v:shape>
            <w10:wrap type="none"/>
          </v:group>
        </w:pict>
      </w:r>
      <w:r>
        <w:rPr/>
        <w:pict>
          <v:group style="position:absolute;margin-left:204.199997pt;margin-top:728.339966pt;width:.1pt;height:15.6pt;mso-position-horizontal-relative:page;mso-position-vertical-relative:page;z-index:-913072" coordorigin="4084,14567" coordsize="2,312">
            <v:shape style="position:absolute;left:4084;top:14567;width:2;height:312" coordorigin="4084,14567" coordsize="0,312" path="m4084,14567l4084,14879e" filled="false" stroked="true" strokeweight="1.08pt" strokecolor="#d2d2d2">
              <v:path arrowok="t"/>
            </v:shape>
            <w10:wrap type="none"/>
          </v:group>
        </w:pict>
      </w:r>
      <w:r>
        <w:rPr/>
        <w:pict>
          <v:group style="position:absolute;margin-left:204.199997pt;margin-top:748.97998pt;width:.1pt;height:15.6pt;mso-position-horizontal-relative:page;mso-position-vertical-relative:page;z-index:-913048" coordorigin="4084,14980" coordsize="2,312">
            <v:shape style="position:absolute;left:4084;top:14980;width:2;height:312" coordorigin="4084,14980" coordsize="0,312" path="m4084,14980l4084,15292e" filled="false" stroked="true" strokeweight="1.08pt" strokecolor="#d2d2d2">
              <v:path arrowok="t"/>
            </v:shape>
            <w10:wrap type="none"/>
          </v:group>
        </w:pict>
      </w:r>
    </w:p>
    <w:p>
      <w:pPr>
        <w:spacing w:line="240" w:lineRule="auto" w:before="1"/>
        <w:rPr>
          <w:rFonts w:ascii="Times New Roman" w:hAnsi="Times New Roman" w:cs="Times New Roman" w:eastAsia="Times New Roman"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2969"/>
        <w:gridCol w:w="3300"/>
        <w:gridCol w:w="3300"/>
      </w:tblGrid>
      <w:tr>
        <w:trPr>
          <w:trHeight w:val="370" w:hRule="exact"/>
        </w:trPr>
        <w:tc>
          <w:tcPr>
            <w:tcW w:w="29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9"/>
              <w:jc w:val="right"/>
              <w:rPr>
                <w:rFonts w:ascii="宋体" w:hAnsi="宋体" w:cs="宋体" w:eastAsia="宋体" w:hint="default"/>
                <w:sz w:val="18"/>
                <w:szCs w:val="18"/>
              </w:rPr>
            </w:pPr>
            <w:r>
              <w:rPr>
                <w:rFonts w:ascii="宋体"/>
                <w:sz w:val="18"/>
              </w:rPr>
              <w:t>83,092,741.14</w:t>
            </w:r>
          </w:p>
        </w:tc>
        <w:tc>
          <w:tcPr>
            <w:tcW w:w="3300"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5,332,503.00</w:t>
            </w:r>
          </w:p>
        </w:tc>
      </w:tr>
      <w:tr>
        <w:trPr>
          <w:trHeight w:val="434"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612,483,327.63</w:t>
            </w:r>
          </w:p>
        </w:tc>
        <w:tc>
          <w:tcPr>
            <w:tcW w:w="3300"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242,068,043.28</w:t>
            </w:r>
          </w:p>
        </w:tc>
      </w:tr>
      <w:tr>
        <w:trPr>
          <w:trHeight w:val="36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161,221,848.00</w:t>
            </w:r>
          </w:p>
        </w:tc>
        <w:tc>
          <w:tcPr>
            <w:tcW w:w="3300"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130,005,000.00</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21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926,883,002.46</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363,890,702.61</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20,423,426.70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17,728,817.66</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187,625,505.35</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167,389,661.85</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1,296,153,782.51</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679,014,182.12</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79,086,028.42</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9,544,720.69</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1,375,239,810.93</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688,558,902.81</w:t>
            </w:r>
          </w:p>
        </w:tc>
      </w:tr>
      <w:tr>
        <w:trPr>
          <w:trHeight w:val="419" w:hRule="exact"/>
        </w:trPr>
        <w:tc>
          <w:tcPr>
            <w:tcW w:w="2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1,987,723,138.56</w:t>
            </w:r>
          </w:p>
        </w:tc>
        <w:tc>
          <w:tcPr>
            <w:tcW w:w="33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930,626,946.09</w:t>
            </w:r>
          </w:p>
        </w:tc>
      </w:tr>
    </w:tbl>
    <w:p>
      <w:pPr>
        <w:spacing w:line="240" w:lineRule="auto" w:before="6"/>
        <w:rPr>
          <w:rFonts w:ascii="Times New Roman" w:hAnsi="Times New Roman" w:cs="Times New Roman" w:eastAsia="Times New Roman" w:hint="default"/>
          <w:sz w:val="7"/>
          <w:szCs w:val="7"/>
        </w:rPr>
      </w:pPr>
    </w:p>
    <w:p>
      <w:pPr>
        <w:tabs>
          <w:tab w:pos="3420" w:val="left" w:leader="none"/>
          <w:tab w:pos="7561" w:val="left" w:leader="none"/>
        </w:tabs>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法定代表人：龙昌明</w:t>
        <w:tab/>
        <w:t>主管会计工作负责人：周振娟</w:t>
        <w:tab/>
        <w:t>会计机构负责人：周振娟</w:t>
      </w:r>
    </w:p>
    <w:p>
      <w:pPr>
        <w:spacing w:line="240" w:lineRule="auto" w:before="12"/>
        <w:rPr>
          <w:rFonts w:ascii="宋体" w:hAnsi="宋体" w:cs="宋体" w:eastAsia="宋体" w:hint="default"/>
          <w:sz w:val="26"/>
          <w:szCs w:val="26"/>
        </w:rPr>
      </w:pPr>
    </w:p>
    <w:p>
      <w:pPr>
        <w:pStyle w:val="Heading4"/>
        <w:spacing w:line="240" w:lineRule="auto"/>
        <w:ind w:left="153" w:right="0"/>
        <w:jc w:val="left"/>
        <w:rPr>
          <w:b w:val="0"/>
          <w:bCs w:val="0"/>
        </w:rPr>
      </w:pPr>
      <w:bookmarkStart w:name="2、母公司资产负债表" w:id="111"/>
      <w:bookmarkEnd w:id="111"/>
      <w:r>
        <w:rPr>
          <w:b w:val="0"/>
          <w:bCs w:val="0"/>
        </w:rPr>
      </w:r>
      <w:r>
        <w:rPr>
          <w:rFonts w:ascii="宋体" w:hAnsi="宋体" w:cs="宋体" w:eastAsia="宋体" w:hint="default"/>
        </w:rPr>
        <w:t>2</w:t>
      </w:r>
      <w:r>
        <w:rPr/>
        <w:t>、母公司资产负债表</w:t>
      </w:r>
      <w:r>
        <w:rPr>
          <w:b w:val="0"/>
          <w:bCs w:val="0"/>
        </w:rPr>
      </w:r>
    </w:p>
    <w:p>
      <w:pPr>
        <w:spacing w:line="240" w:lineRule="auto" w:before="9"/>
        <w:rPr>
          <w:rFonts w:ascii="宋体" w:hAnsi="宋体" w:cs="宋体" w:eastAsia="宋体" w:hint="default"/>
          <w:b/>
          <w:bCs/>
          <w:sz w:val="27"/>
          <w:szCs w:val="27"/>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2969"/>
        <w:gridCol w:w="3300"/>
        <w:gridCol w:w="3300"/>
      </w:tblGrid>
      <w:tr>
        <w:trPr>
          <w:trHeight w:val="398" w:hRule="exact"/>
        </w:trPr>
        <w:tc>
          <w:tcPr>
            <w:tcW w:w="29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9"/>
              <w:jc w:val="right"/>
              <w:rPr>
                <w:rFonts w:ascii="宋体" w:hAnsi="宋体" w:cs="宋体" w:eastAsia="宋体" w:hint="default"/>
                <w:sz w:val="18"/>
                <w:szCs w:val="18"/>
              </w:rPr>
            </w:pPr>
            <w:r>
              <w:rPr>
                <w:rFonts w:ascii="宋体"/>
                <w:sz w:val="18"/>
              </w:rPr>
              <w:t>243,660,196.99</w:t>
            </w:r>
          </w:p>
        </w:tc>
        <w:tc>
          <w:tcPr>
            <w:tcW w:w="3300"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339,627,402.31</w:t>
            </w:r>
          </w:p>
        </w:tc>
      </w:tr>
      <w:tr>
        <w:trPr>
          <w:trHeight w:val="6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500,000.00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2,300,000.00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274,362,572.87</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157,237,865.60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4,291,636.13</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6,094,504.47</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579,682.22</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725,792.34</w:t>
            </w:r>
          </w:p>
        </w:tc>
      </w:tr>
      <w:tr>
        <w:trPr>
          <w:trHeight w:val="419" w:hRule="exact"/>
        </w:trPr>
        <w:tc>
          <w:tcPr>
            <w:tcW w:w="2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6" w:space="0" w:color="000000"/>
              <w:left w:val="single" w:sz="6" w:space="0" w:color="000000"/>
              <w:bottom w:val="single" w:sz="12" w:space="0" w:color="000000"/>
              <w:right w:val="single" w:sz="6" w:space="0" w:color="000000"/>
            </w:tcBorders>
          </w:tcPr>
          <w:p>
            <w:pPr/>
          </w:p>
        </w:tc>
        <w:tc>
          <w:tcPr>
            <w:tcW w:w="3300"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2969"/>
        <w:gridCol w:w="3300"/>
        <w:gridCol w:w="3300"/>
      </w:tblGrid>
      <w:tr>
        <w:trPr>
          <w:trHeight w:val="370" w:hRule="exact"/>
        </w:trPr>
        <w:tc>
          <w:tcPr>
            <w:tcW w:w="29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9"/>
              <w:jc w:val="right"/>
              <w:rPr>
                <w:rFonts w:ascii="宋体" w:hAnsi="宋体" w:cs="宋体" w:eastAsia="宋体" w:hint="default"/>
                <w:sz w:val="18"/>
                <w:szCs w:val="18"/>
              </w:rPr>
            </w:pPr>
            <w:r>
              <w:rPr>
                <w:rFonts w:ascii="宋体"/>
                <w:sz w:val="18"/>
              </w:rPr>
              <w:t>91,077,681.58</w:t>
            </w:r>
          </w:p>
        </w:tc>
        <w:tc>
          <w:tcPr>
            <w:tcW w:w="3300"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72,084,433.76</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34,022,075.98</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27,379,760.00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3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648,493,845.77</w:t>
            </w:r>
          </w:p>
        </w:tc>
        <w:tc>
          <w:tcPr>
            <w:tcW w:w="3300"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605,449,758.48</w:t>
            </w:r>
          </w:p>
        </w:tc>
      </w:tr>
      <w:tr>
        <w:trPr>
          <w:trHeight w:val="36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700,000.00</w:t>
            </w:r>
          </w:p>
        </w:tc>
        <w:tc>
          <w:tcPr>
            <w:tcW w:w="3300" w:type="dxa"/>
            <w:tcBorders>
              <w:top w:val="single" w:sz="23" w:space="0" w:color="D2D2D2"/>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768,109,976.16</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52,138,200.00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6,923,995.36</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7,424,525.08</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13,440,896.94</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14,503,329.24</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142,794,313.08</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49,878,139.55</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25,942,489.57</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26,564,587.33</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513,541.67</w:t>
            </w: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2,559,058.63</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1,781,505.15</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960,984,271.41</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152,290,286.35</w:t>
            </w:r>
          </w:p>
        </w:tc>
      </w:tr>
      <w:tr>
        <w:trPr>
          <w:trHeight w:val="434"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1,609,478,117.18</w:t>
            </w:r>
          </w:p>
        </w:tc>
        <w:tc>
          <w:tcPr>
            <w:tcW w:w="3300"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757,740,044.83</w:t>
            </w:r>
          </w:p>
        </w:tc>
      </w:tr>
      <w:tr>
        <w:trPr>
          <w:trHeight w:val="36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63,000,000.00</w:t>
            </w:r>
          </w:p>
        </w:tc>
        <w:tc>
          <w:tcPr>
            <w:tcW w:w="3300"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30,000,000.00</w:t>
            </w:r>
          </w:p>
        </w:tc>
      </w:tr>
      <w:tr>
        <w:trPr>
          <w:trHeight w:val="6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34,749,821.02</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16,641,644.15</w:t>
            </w:r>
          </w:p>
        </w:tc>
      </w:tr>
      <w:tr>
        <w:trPr>
          <w:trHeight w:val="421" w:hRule="exact"/>
        </w:trPr>
        <w:tc>
          <w:tcPr>
            <w:tcW w:w="2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52,561,375.21</w:t>
            </w:r>
          </w:p>
        </w:tc>
        <w:tc>
          <w:tcPr>
            <w:tcW w:w="33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57,225,545.34</w:t>
            </w:r>
          </w:p>
        </w:tc>
      </w:tr>
    </w:tbl>
    <w:p>
      <w:pPr>
        <w:spacing w:after="0" w:line="240" w:lineRule="auto"/>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2969"/>
        <w:gridCol w:w="3300"/>
        <w:gridCol w:w="3300"/>
      </w:tblGrid>
      <w:tr>
        <w:trPr>
          <w:trHeight w:val="370" w:hRule="exact"/>
        </w:trPr>
        <w:tc>
          <w:tcPr>
            <w:tcW w:w="29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9"/>
              <w:jc w:val="right"/>
              <w:rPr>
                <w:rFonts w:ascii="宋体" w:hAnsi="宋体" w:cs="宋体" w:eastAsia="宋体" w:hint="default"/>
                <w:sz w:val="18"/>
                <w:szCs w:val="18"/>
              </w:rPr>
            </w:pPr>
            <w:r>
              <w:rPr>
                <w:rFonts w:ascii="宋体"/>
                <w:sz w:val="18"/>
              </w:rPr>
              <w:t>2,604,098.54</w:t>
            </w:r>
          </w:p>
        </w:tc>
        <w:tc>
          <w:tcPr>
            <w:tcW w:w="3300"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3,021,880.74</w:t>
            </w: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5,736,426.38</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6,615,212.43</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10,612,112.54</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6,477,122.58</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136,329,841.84</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605,057.51</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3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6" w:space="0" w:color="000000"/>
              <w:left w:val="single" w:sz="14" w:space="0" w:color="D2D2D2"/>
              <w:bottom w:val="single" w:sz="17" w:space="0" w:color="D2D2D2"/>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305,593,675.53</w:t>
            </w:r>
          </w:p>
        </w:tc>
        <w:tc>
          <w:tcPr>
            <w:tcW w:w="3300" w:type="dxa"/>
            <w:tcBorders>
              <w:top w:val="single" w:sz="6" w:space="0" w:color="000000"/>
              <w:left w:val="single" w:sz="6" w:space="0" w:color="000000"/>
              <w:bottom w:val="single" w:sz="17"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120,586,462.75</w:t>
            </w:r>
          </w:p>
        </w:tc>
      </w:tr>
      <w:tr>
        <w:trPr>
          <w:trHeight w:val="36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1"/>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z w:val="18"/>
              </w:rPr>
              <w:t>30,515,796.00</w:t>
            </w:r>
          </w:p>
        </w:tc>
        <w:tc>
          <w:tcPr>
            <w:tcW w:w="3300" w:type="dxa"/>
            <w:tcBorders>
              <w:top w:val="single" w:sz="23" w:space="0" w:color="D2D2D2"/>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21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20,000,000.00</w:t>
            </w: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20,675,000.00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5,332,503.00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71,190,796.00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5,332,503.00</w:t>
            </w:r>
          </w:p>
        </w:tc>
      </w:tr>
      <w:tr>
        <w:trPr>
          <w:trHeight w:val="43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6" w:space="0" w:color="000000"/>
              <w:left w:val="single" w:sz="14" w:space="0" w:color="D2D2D2"/>
              <w:bottom w:val="single" w:sz="17" w:space="0" w:color="D2D2D2"/>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376,784,471.53</w:t>
            </w:r>
          </w:p>
        </w:tc>
        <w:tc>
          <w:tcPr>
            <w:tcW w:w="3300" w:type="dxa"/>
            <w:tcBorders>
              <w:top w:val="single" w:sz="6" w:space="0" w:color="000000"/>
              <w:left w:val="single" w:sz="6" w:space="0" w:color="000000"/>
              <w:bottom w:val="single" w:sz="17" w:space="0" w:color="D2D2D2"/>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125,918,965.75</w:t>
            </w:r>
          </w:p>
        </w:tc>
      </w:tr>
      <w:tr>
        <w:trPr>
          <w:trHeight w:val="36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0"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9"/>
              <w:jc w:val="right"/>
              <w:rPr>
                <w:rFonts w:ascii="宋体" w:hAnsi="宋体" w:cs="宋体" w:eastAsia="宋体" w:hint="default"/>
                <w:sz w:val="18"/>
                <w:szCs w:val="18"/>
              </w:rPr>
            </w:pPr>
            <w:r>
              <w:rPr>
                <w:rFonts w:ascii="宋体"/>
                <w:sz w:val="18"/>
              </w:rPr>
              <w:t>161,221,848.00</w:t>
            </w:r>
          </w:p>
        </w:tc>
        <w:tc>
          <w:tcPr>
            <w:tcW w:w="3300"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130,005,000.00</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21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919,239,030.77</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363,528,902.61</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6" w:space="0" w:color="000000"/>
              <w:left w:val="single" w:sz="14" w:space="0" w:color="D2D2D2"/>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12" w:space="0" w:color="000000"/>
            </w:tcBorders>
          </w:tcPr>
          <w:p>
            <w:pPr/>
          </w:p>
        </w:tc>
      </w:tr>
      <w:tr>
        <w:trPr>
          <w:trHeight w:val="421" w:hRule="exact"/>
        </w:trPr>
        <w:tc>
          <w:tcPr>
            <w:tcW w:w="2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6" w:space="0" w:color="000000"/>
              <w:left w:val="single" w:sz="14" w:space="0" w:color="D2D2D2"/>
              <w:bottom w:val="single" w:sz="12" w:space="0" w:color="000000"/>
              <w:right w:val="single" w:sz="6" w:space="0" w:color="000000"/>
            </w:tcBorders>
          </w:tcPr>
          <w:p>
            <w:pPr/>
          </w:p>
        </w:tc>
        <w:tc>
          <w:tcPr>
            <w:tcW w:w="3300"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62.660004pt;margin-top:676.269958pt;width:132.9pt;height:16.650pt;mso-position-horizontal-relative:page;mso-position-vertical-relative:page;z-index:-913024" coordorigin="5253,13525" coordsize="2658,333">
            <v:group style="position:absolute;left:5263;top:13536;width:2;height:312" coordorigin="5263,13536" coordsize="2,312">
              <v:shape style="position:absolute;left:5263;top:13536;width:2;height:312" coordorigin="5263,13536" coordsize="0,312" path="m5263,13536l5263,13848e" filled="false" stroked="true" strokeweight="1.02pt" strokecolor="#ffffff">
                <v:path arrowok="t"/>
              </v:shape>
            </v:group>
            <v:group style="position:absolute;left:5274;top:13536;width:2638;height:312" coordorigin="5274,13536" coordsize="2638,312">
              <v:shape style="position:absolute;left:5274;top:13536;width:2638;height:312" coordorigin="5274,13536" coordsize="2638,312" path="m5274,13848l7911,13848,7911,13536,5274,13536,5274,13848xe" filled="true" fillcolor="#ffffff" stroked="false">
                <v:path arrowok="t"/>
                <v:fill type="solid"/>
              </v:shape>
            </v:group>
            <w10:wrap type="none"/>
          </v:group>
        </w:pict>
      </w:r>
    </w:p>
    <w:p>
      <w:pPr>
        <w:spacing w:line="240" w:lineRule="auto" w:before="1"/>
        <w:rPr>
          <w:rFonts w:ascii="Times New Roman" w:hAnsi="Times New Roman" w:cs="Times New Roman" w:eastAsia="Times New Roman"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2969"/>
        <w:gridCol w:w="3300"/>
        <w:gridCol w:w="3300"/>
      </w:tblGrid>
      <w:tr>
        <w:trPr>
          <w:trHeight w:val="370" w:hRule="exact"/>
        </w:trPr>
        <w:tc>
          <w:tcPr>
            <w:tcW w:w="29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0"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17" w:space="0" w:color="D2D2D2"/>
              <w:left w:val="single" w:sz="14" w:space="0" w:color="D2D2D2"/>
              <w:bottom w:val="single" w:sz="6" w:space="0" w:color="000000"/>
              <w:right w:val="single" w:sz="6" w:space="0" w:color="000000"/>
            </w:tcBorders>
          </w:tcPr>
          <w:p>
            <w:pPr/>
          </w:p>
        </w:tc>
        <w:tc>
          <w:tcPr>
            <w:tcW w:w="3300" w:type="dxa"/>
            <w:tcBorders>
              <w:top w:val="single" w:sz="17" w:space="0" w:color="D2D2D2"/>
              <w:left w:val="single" w:sz="6" w:space="0" w:color="000000"/>
              <w:bottom w:val="single" w:sz="6" w:space="0" w:color="000000"/>
              <w:right w:val="single" w:sz="12" w:space="0" w:color="000000"/>
            </w:tcBorders>
          </w:tcPr>
          <w:p>
            <w:pPr/>
          </w:p>
        </w:tc>
      </w:tr>
      <w:tr>
        <w:trPr>
          <w:trHeight w:val="413"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20,423,426.70</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17,728,817.66</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131,809,340.18</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120,558,358.81</w:t>
            </w:r>
          </w:p>
        </w:tc>
      </w:tr>
      <w:tr>
        <w:trPr>
          <w:trHeight w:val="412" w:hRule="exact"/>
        </w:trPr>
        <w:tc>
          <w:tcPr>
            <w:tcW w:w="296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1,232,693,645.65</w:t>
            </w:r>
          </w:p>
        </w:tc>
        <w:tc>
          <w:tcPr>
            <w:tcW w:w="33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631,821,079.08</w:t>
            </w:r>
          </w:p>
        </w:tc>
      </w:tr>
      <w:tr>
        <w:trPr>
          <w:trHeight w:val="421" w:hRule="exact"/>
        </w:trPr>
        <w:tc>
          <w:tcPr>
            <w:tcW w:w="29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1,609,478,117.18</w:t>
            </w:r>
          </w:p>
        </w:tc>
        <w:tc>
          <w:tcPr>
            <w:tcW w:w="33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757,740,044.83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12"/>
      <w:bookmarkEnd w:id="112"/>
      <w:r>
        <w:rPr>
          <w:b w:val="0"/>
          <w:bCs w:val="0"/>
        </w:rPr>
      </w:r>
      <w:r>
        <w:rPr>
          <w:rFonts w:ascii="宋体" w:hAnsi="宋体" w:cs="宋体" w:eastAsia="宋体" w:hint="default"/>
        </w:rPr>
        <w:t>3</w:t>
      </w:r>
      <w:r>
        <w:rPr/>
        <w:t>、合并利润表</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113"/>
        <w:gridCol w:w="2693"/>
        <w:gridCol w:w="2763"/>
      </w:tblGrid>
      <w:tr>
        <w:trPr>
          <w:trHeight w:val="370" w:hRule="exact"/>
        </w:trPr>
        <w:tc>
          <w:tcPr>
            <w:tcW w:w="41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88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693"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343,346,895.97</w:t>
            </w:r>
          </w:p>
        </w:tc>
        <w:tc>
          <w:tcPr>
            <w:tcW w:w="2763"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323,440,328.38</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343,346,895.97</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323,440,328.38</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319,764,661.03</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276,118,967.09</w:t>
            </w:r>
          </w:p>
        </w:tc>
      </w:tr>
      <w:tr>
        <w:trPr>
          <w:trHeight w:val="41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231,842,067.72</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213,980,508.87</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3,135,618.45</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3,635,675.98</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17,065,773.48</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16,204,465.68</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62,180,881.17</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47,019,934.01</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124,485.63</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-9,234,088.80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5,415,834.58</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4,512,471.35</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14"/>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tabs>
                <w:tab w:pos="2107" w:val="left" w:leader="none"/>
              </w:tabs>
              <w:spacing w:line="240" w:lineRule="auto" w:before="53"/>
              <w:ind w:left="-142" w:right="18"/>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596.58</w:t>
            </w: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310,149.07</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14"/>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41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693" w:type="dxa"/>
            <w:tcBorders>
              <w:top w:val="single" w:sz="6" w:space="0" w:color="000000"/>
              <w:left w:val="single" w:sz="14" w:space="0" w:color="D2D2D2"/>
              <w:bottom w:val="single" w:sz="12" w:space="0" w:color="000000"/>
              <w:right w:val="single" w:sz="6" w:space="0" w:color="000000"/>
            </w:tcBorders>
          </w:tcPr>
          <w:p>
            <w:pPr/>
          </w:p>
        </w:tc>
        <w:tc>
          <w:tcPr>
            <w:tcW w:w="2763"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4113"/>
        <w:gridCol w:w="2693"/>
        <w:gridCol w:w="2763"/>
      </w:tblGrid>
      <w:tr>
        <w:trPr>
          <w:trHeight w:val="370" w:hRule="exact"/>
        </w:trPr>
        <w:tc>
          <w:tcPr>
            <w:tcW w:w="41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88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693"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23,582,831.52</w:t>
            </w:r>
          </w:p>
        </w:tc>
        <w:tc>
          <w:tcPr>
            <w:tcW w:w="2763"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47,631,510.36</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14,815,503.72</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6,595,079.26</w:t>
            </w:r>
          </w:p>
        </w:tc>
      </w:tr>
      <w:tr>
        <w:trPr>
          <w:trHeight w:val="41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3,080.34</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9,670.10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70,065.94</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122,016.67</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19,550.12</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107,016.67</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38,328,269.30</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54,104,572.95</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8,984,733.80</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6,767,767.10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29,343,535.50</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47,336,805.85</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35,930,952.54</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47,336,805.85</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-6,587,417.04</w:t>
            </w: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9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15"/>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66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9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产的变动</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66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14"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权益法下在被投资单位不能重分类进 损益的其他综合收益中享有的份额</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37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68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1"/>
              <w:ind w:left="13" w:right="114"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权益法下在被投资单位以后将重分类 进损益的其他综合收益中享有的份额</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11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68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9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融资产损益</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9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9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29,343,535.50</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47,336,805.85</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35,930,952.54</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47,336,805.85</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693" w:type="dxa"/>
            <w:tcBorders>
              <w:top w:val="single" w:sz="6" w:space="0" w:color="000000"/>
              <w:left w:val="single" w:sz="14" w:space="0" w:color="D2D2D2"/>
              <w:bottom w:val="single" w:sz="17"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-6,587,417.04</w:t>
            </w:r>
          </w:p>
        </w:tc>
        <w:tc>
          <w:tcPr>
            <w:tcW w:w="2763" w:type="dxa"/>
            <w:tcBorders>
              <w:top w:val="single" w:sz="6" w:space="0" w:color="000000"/>
              <w:left w:val="single" w:sz="6" w:space="0" w:color="000000"/>
              <w:bottom w:val="single" w:sz="17" w:space="0" w:color="D2D2D2"/>
              <w:right w:val="single" w:sz="12" w:space="0" w:color="000000"/>
            </w:tcBorders>
          </w:tcPr>
          <w:p>
            <w:pPr/>
          </w:p>
        </w:tc>
      </w:tr>
      <w:tr>
        <w:trPr>
          <w:trHeight w:val="355"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4"/>
              <w:ind w:left="1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6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6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1"/>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693"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0"/>
              <w:ind w:right="18"/>
              <w:jc w:val="right"/>
              <w:rPr>
                <w:rFonts w:ascii="宋体" w:hAnsi="宋体" w:cs="宋体" w:eastAsia="宋体" w:hint="default"/>
                <w:sz w:val="18"/>
                <w:szCs w:val="18"/>
              </w:rPr>
            </w:pPr>
            <w:r>
              <w:rPr>
                <w:rFonts w:ascii="宋体"/>
                <w:sz w:val="18"/>
              </w:rPr>
              <w:t>0.2764</w:t>
            </w:r>
          </w:p>
        </w:tc>
        <w:tc>
          <w:tcPr>
            <w:tcW w:w="2763"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0"/>
              <w:ind w:right="11"/>
              <w:jc w:val="right"/>
              <w:rPr>
                <w:rFonts w:ascii="宋体" w:hAnsi="宋体" w:cs="宋体" w:eastAsia="宋体" w:hint="default"/>
                <w:sz w:val="18"/>
                <w:szCs w:val="18"/>
              </w:rPr>
            </w:pPr>
            <w:r>
              <w:rPr>
                <w:rFonts w:ascii="宋体"/>
                <w:sz w:val="18"/>
              </w:rPr>
              <w:t>0.36</w:t>
            </w:r>
          </w:p>
        </w:tc>
      </w:tr>
      <w:tr>
        <w:trPr>
          <w:trHeight w:val="419" w:hRule="exact"/>
        </w:trPr>
        <w:tc>
          <w:tcPr>
            <w:tcW w:w="41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693"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0.2764</w:t>
            </w:r>
          </w:p>
        </w:tc>
        <w:tc>
          <w:tcPr>
            <w:tcW w:w="27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0.36</w:t>
            </w:r>
          </w:p>
        </w:tc>
      </w:tr>
    </w:tbl>
    <w:p>
      <w:pPr>
        <w:spacing w:line="240" w:lineRule="auto" w:before="9"/>
        <w:rPr>
          <w:rFonts w:ascii="宋体" w:hAnsi="宋体" w:cs="宋体" w:eastAsia="宋体" w:hint="default"/>
          <w:sz w:val="6"/>
          <w:szCs w:val="6"/>
        </w:rPr>
      </w:pPr>
    </w:p>
    <w:p>
      <w:pPr>
        <w:tabs>
          <w:tab w:pos="3574" w:val="left" w:leader="none"/>
          <w:tab w:pos="7715"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法定代表人：龙昌明</w:t>
        <w:tab/>
        <w:t>主管会计工作负责人：周振娟</w:t>
        <w:tab/>
        <w:t>会计机构负责人：周振娟</w:t>
      </w:r>
    </w:p>
    <w:p>
      <w:pPr>
        <w:spacing w:after="0"/>
        <w:jc w:val="left"/>
        <w:rPr>
          <w:rFonts w:ascii="宋体" w:hAnsi="宋体" w:cs="宋体" w:eastAsia="宋体" w:hint="default"/>
          <w:sz w:val="18"/>
          <w:szCs w:val="18"/>
        </w:rPr>
        <w:sectPr>
          <w:pgSz w:w="11910" w:h="16840"/>
          <w:pgMar w:header="747" w:footer="1000" w:top="1040" w:bottom="1180" w:left="980" w:right="980"/>
        </w:sectPr>
      </w:pPr>
    </w:p>
    <w:p>
      <w:pPr>
        <w:spacing w:line="240" w:lineRule="auto" w:before="5"/>
        <w:rPr>
          <w:rFonts w:ascii="宋体" w:hAnsi="宋体" w:cs="宋体" w:eastAsia="宋体" w:hint="default"/>
          <w:sz w:val="25"/>
          <w:szCs w:val="25"/>
        </w:rPr>
      </w:pPr>
      <w:r>
        <w:rPr/>
        <w:pict>
          <v:group style="position:absolute;margin-left:262.660004pt;margin-top:288.22998pt;width:132.9pt;height:16.650pt;mso-position-horizontal-relative:page;mso-position-vertical-relative:page;z-index:-913000" coordorigin="5253,5765" coordsize="2658,333">
            <v:group style="position:absolute;left:5263;top:5775;width:2;height:312" coordorigin="5263,5775" coordsize="2,312">
              <v:shape style="position:absolute;left:5263;top:5775;width:2;height:312" coordorigin="5263,5775" coordsize="0,312" path="m5263,5775l5263,6087e" filled="false" stroked="true" strokeweight="1.02pt" strokecolor="#ffffff">
                <v:path arrowok="t"/>
              </v:shape>
            </v:group>
            <v:group style="position:absolute;left:5274;top:5775;width:2638;height:312" coordorigin="5274,5775" coordsize="2638,312">
              <v:shape style="position:absolute;left:5274;top:5775;width:2638;height:312" coordorigin="5274,5775" coordsize="2638,312" path="m5274,6087l7911,6087,7911,5775,5274,5775,5274,6087xe" filled="true" fillcolor="#ffffff" stroked="false">
                <v:path arrowok="t"/>
                <v:fill type="solid"/>
              </v:shape>
            </v:group>
            <w10:wrap type="none"/>
          </v:group>
        </w:pict>
      </w:r>
    </w:p>
    <w:p>
      <w:pPr>
        <w:pStyle w:val="Heading4"/>
        <w:spacing w:line="240" w:lineRule="auto" w:before="35"/>
        <w:ind w:left="153" w:right="0"/>
        <w:jc w:val="left"/>
        <w:rPr>
          <w:b w:val="0"/>
          <w:bCs w:val="0"/>
        </w:rPr>
      </w:pPr>
      <w:bookmarkStart w:name="4、母公司利润表" w:id="113"/>
      <w:bookmarkEnd w:id="113"/>
      <w:r>
        <w:rPr>
          <w:b w:val="0"/>
          <w:bCs w:val="0"/>
        </w:rPr>
      </w:r>
      <w:r>
        <w:rPr>
          <w:rFonts w:ascii="宋体" w:hAnsi="宋体" w:cs="宋体" w:eastAsia="宋体" w:hint="default"/>
        </w:rPr>
        <w:t>4</w:t>
      </w:r>
      <w:r>
        <w:rPr/>
        <w:t>、母公司利润表</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113"/>
        <w:gridCol w:w="2693"/>
        <w:gridCol w:w="2763"/>
      </w:tblGrid>
      <w:tr>
        <w:trPr>
          <w:trHeight w:val="370" w:hRule="exact"/>
        </w:trPr>
        <w:tc>
          <w:tcPr>
            <w:tcW w:w="41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left="88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2"/>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693"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337,787,299.51</w:t>
            </w:r>
          </w:p>
        </w:tc>
        <w:tc>
          <w:tcPr>
            <w:tcW w:w="2763"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323,249,952.30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258,322,127.91</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246,569,654.81</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2,345,090.27</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2,804,087.15</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13,477,323.57</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13,380,307.18</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40,438,464.03</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39,603,167.44</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-2,863,147.70</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-9,120,989.88</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5,183,689.81</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4,390,676.25</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14"/>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310,149.07</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14"/>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20,883,751.62</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25,933,198.42</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10,016,560.37</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2,700,800.82</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3,080.34</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9,670.10</w:t>
            </w:r>
          </w:p>
        </w:tc>
      </w:tr>
      <w:tr>
        <w:trPr>
          <w:trHeight w:val="41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37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69,550.12</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121,805.22</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19,550.12</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106,805.22</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30,830,761.87</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28,512,194.02</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3,884,671.46</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3,442,400.93</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693"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26,946,090.41</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25,069,793.09</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15"/>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659"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产的变动</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66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14"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权益法下在被投资单位不能重分类进 损益的其他综合收益中享有的份额</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37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68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2"/>
              <w:ind w:left="13" w:right="114"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权益法下在被投资单位以后将重分类 进损益的其他综合收益中享有的份额</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37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11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68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9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融资产损益</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9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2693"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41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2693" w:type="dxa"/>
            <w:tcBorders>
              <w:top w:val="single" w:sz="6" w:space="0" w:color="000000"/>
              <w:left w:val="single" w:sz="14" w:space="0" w:color="D2D2D2"/>
              <w:bottom w:val="single" w:sz="12" w:space="0" w:color="000000"/>
              <w:right w:val="single" w:sz="6" w:space="0" w:color="000000"/>
            </w:tcBorders>
          </w:tcPr>
          <w:p>
            <w:pPr/>
          </w:p>
        </w:tc>
        <w:tc>
          <w:tcPr>
            <w:tcW w:w="2763"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4113"/>
        <w:gridCol w:w="2693"/>
        <w:gridCol w:w="2763"/>
      </w:tblGrid>
      <w:tr>
        <w:trPr>
          <w:trHeight w:val="370" w:hRule="exact"/>
        </w:trPr>
        <w:tc>
          <w:tcPr>
            <w:tcW w:w="41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88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91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2693" w:type="dxa"/>
            <w:tcBorders>
              <w:top w:val="single" w:sz="17" w:space="0" w:color="D2D2D2"/>
              <w:left w:val="single" w:sz="14" w:space="0" w:color="D2D2D2"/>
              <w:bottom w:val="single" w:sz="6" w:space="0" w:color="000000"/>
              <w:right w:val="single" w:sz="6" w:space="0" w:color="000000"/>
            </w:tcBorders>
          </w:tcPr>
          <w:p>
            <w:pPr/>
          </w:p>
        </w:tc>
        <w:tc>
          <w:tcPr>
            <w:tcW w:w="2763" w:type="dxa"/>
            <w:tcBorders>
              <w:top w:val="single" w:sz="17" w:space="0" w:color="D2D2D2"/>
              <w:left w:val="single" w:sz="6" w:space="0" w:color="000000"/>
              <w:bottom w:val="single" w:sz="6" w:space="0" w:color="000000"/>
              <w:right w:val="single" w:sz="12" w:space="0" w:color="000000"/>
            </w:tcBorders>
          </w:tcPr>
          <w:p>
            <w:pPr/>
          </w:p>
        </w:tc>
      </w:tr>
      <w:tr>
        <w:trPr>
          <w:trHeight w:val="44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693"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3"/>
              <w:ind w:left="1477" w:right="0"/>
              <w:jc w:val="left"/>
              <w:rPr>
                <w:rFonts w:ascii="宋体" w:hAnsi="宋体" w:cs="宋体" w:eastAsia="宋体" w:hint="default"/>
                <w:sz w:val="18"/>
                <w:szCs w:val="18"/>
              </w:rPr>
            </w:pPr>
            <w:r>
              <w:rPr>
                <w:rFonts w:ascii="宋体"/>
                <w:sz w:val="18"/>
              </w:rPr>
              <w:t>26,946,090.41</w:t>
            </w:r>
          </w:p>
        </w:tc>
        <w:tc>
          <w:tcPr>
            <w:tcW w:w="2763"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3"/>
              <w:ind w:left="1559" w:right="0"/>
              <w:jc w:val="left"/>
              <w:rPr>
                <w:rFonts w:ascii="宋体" w:hAnsi="宋体" w:cs="宋体" w:eastAsia="宋体" w:hint="default"/>
                <w:sz w:val="18"/>
                <w:szCs w:val="18"/>
              </w:rPr>
            </w:pPr>
            <w:r>
              <w:rPr>
                <w:rFonts w:ascii="宋体"/>
                <w:sz w:val="18"/>
              </w:rPr>
              <w:t>25,069,793.09</w:t>
            </w:r>
          </w:p>
        </w:tc>
      </w:tr>
      <w:tr>
        <w:trPr>
          <w:trHeight w:val="355"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4"/>
              <w:ind w:left="1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6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6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693" w:type="dxa"/>
            <w:tcBorders>
              <w:top w:val="single" w:sz="23" w:space="0" w:color="D2D2D2"/>
              <w:left w:val="single" w:sz="14" w:space="0" w:color="D2D2D2"/>
              <w:bottom w:val="single" w:sz="6" w:space="0" w:color="000000"/>
              <w:right w:val="single" w:sz="6" w:space="0" w:color="000000"/>
            </w:tcBorders>
          </w:tcPr>
          <w:p>
            <w:pPr/>
          </w:p>
        </w:tc>
        <w:tc>
          <w:tcPr>
            <w:tcW w:w="2763" w:type="dxa"/>
            <w:tcBorders>
              <w:top w:val="single" w:sz="23" w:space="0" w:color="D2D2D2"/>
              <w:left w:val="single" w:sz="6" w:space="0" w:color="000000"/>
              <w:bottom w:val="single" w:sz="6" w:space="0" w:color="000000"/>
              <w:right w:val="single" w:sz="12" w:space="0" w:color="000000"/>
            </w:tcBorders>
          </w:tcPr>
          <w:p>
            <w:pPr/>
          </w:p>
        </w:tc>
      </w:tr>
      <w:tr>
        <w:trPr>
          <w:trHeight w:val="420" w:hRule="exact"/>
        </w:trPr>
        <w:tc>
          <w:tcPr>
            <w:tcW w:w="41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693" w:type="dxa"/>
            <w:tcBorders>
              <w:top w:val="single" w:sz="6" w:space="0" w:color="000000"/>
              <w:left w:val="single" w:sz="14" w:space="0" w:color="D2D2D2"/>
              <w:bottom w:val="single" w:sz="12" w:space="0" w:color="000000"/>
              <w:right w:val="single" w:sz="6" w:space="0" w:color="000000"/>
            </w:tcBorders>
          </w:tcPr>
          <w:p>
            <w:pPr/>
          </w:p>
        </w:tc>
        <w:tc>
          <w:tcPr>
            <w:tcW w:w="276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合并现金流量表" w:id="114"/>
      <w:bookmarkEnd w:id="114"/>
      <w:r>
        <w:rPr>
          <w:b w:val="0"/>
          <w:bCs w:val="0"/>
        </w:rPr>
      </w:r>
      <w:r>
        <w:rPr>
          <w:rFonts w:ascii="宋体" w:hAnsi="宋体" w:cs="宋体" w:eastAsia="宋体" w:hint="default"/>
        </w:rPr>
        <w:t>5</w:t>
      </w:r>
      <w:r>
        <w:rPr/>
        <w:t>、合并现金流量表</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113"/>
        <w:gridCol w:w="2728"/>
        <w:gridCol w:w="2729"/>
      </w:tblGrid>
      <w:tr>
        <w:trPr>
          <w:trHeight w:val="398" w:hRule="exact"/>
        </w:trPr>
        <w:tc>
          <w:tcPr>
            <w:tcW w:w="41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727"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38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2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2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28"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312,796,213.23</w:t>
            </w:r>
          </w:p>
        </w:tc>
        <w:tc>
          <w:tcPr>
            <w:tcW w:w="2729"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308,929,106.51</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015"/>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015"/>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68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2"/>
              <w:ind w:left="13" w:right="115"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 金融资产净增加额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37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5,241,699.32</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3,857,078.44</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117,245,935.96</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41,707,958.28</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435,283,848.51</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354,494,143.23</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265,563,541.51</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205,887,572.94</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015"/>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015"/>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48,230,045.26</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36,060,389.87</w:t>
            </w:r>
          </w:p>
        </w:tc>
      </w:tr>
      <w:tr>
        <w:trPr>
          <w:trHeight w:val="420" w:hRule="exact"/>
        </w:trPr>
        <w:tc>
          <w:tcPr>
            <w:tcW w:w="41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2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21,966,094.16</w:t>
            </w:r>
          </w:p>
        </w:tc>
        <w:tc>
          <w:tcPr>
            <w:tcW w:w="27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32,474,911.38</w:t>
            </w:r>
          </w:p>
        </w:tc>
      </w:tr>
    </w:tbl>
    <w:p>
      <w:pPr>
        <w:spacing w:after="0" w:line="240" w:lineRule="auto"/>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4113"/>
        <w:gridCol w:w="2728"/>
        <w:gridCol w:w="2729"/>
      </w:tblGrid>
      <w:tr>
        <w:trPr>
          <w:trHeight w:val="370" w:hRule="exact"/>
        </w:trPr>
        <w:tc>
          <w:tcPr>
            <w:tcW w:w="41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727"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28"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111,491,227.06</w:t>
            </w:r>
          </w:p>
        </w:tc>
        <w:tc>
          <w:tcPr>
            <w:tcW w:w="2729"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59,643,719.27</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447,250,907.99</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334,066,593.46</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28"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-11,967,059.48</w:t>
            </w:r>
          </w:p>
        </w:tc>
        <w:tc>
          <w:tcPr>
            <w:tcW w:w="2729"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20,427,549.77</w:t>
            </w:r>
          </w:p>
        </w:tc>
      </w:tr>
      <w:tr>
        <w:trPr>
          <w:trHeight w:val="355"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2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2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28"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7,052,800.00</w:t>
            </w:r>
          </w:p>
        </w:tc>
        <w:tc>
          <w:tcPr>
            <w:tcW w:w="2729" w:type="dxa"/>
            <w:tcBorders>
              <w:top w:val="single" w:sz="23" w:space="0" w:color="D2D2D2"/>
              <w:left w:val="single" w:sz="6" w:space="0" w:color="000000"/>
              <w:bottom w:val="single" w:sz="6" w:space="0" w:color="000000"/>
              <w:right w:val="single" w:sz="12" w:space="0" w:color="000000"/>
            </w:tcBorders>
          </w:tcPr>
          <w:p>
            <w:pP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68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1"/>
              <w:ind w:left="13" w:right="20" w:firstLine="36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处置固定资产、无形资产和其他长期资产收回的</w:t>
            </w:r>
            <w:r>
              <w:rPr>
                <w:rFonts w:ascii="宋体" w:hAnsi="宋体" w:cs="宋体" w:eastAsia="宋体" w:hint="default"/>
                <w:sz w:val="18"/>
                <w:szCs w:val="18"/>
              </w:rPr>
              <w:t> 现金净额</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9,614.35</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90,600.00</w:t>
            </w: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295"/>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8,190,908.75</w:t>
            </w: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110,357,377.92</w:t>
            </w: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125,610,701.02</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90,600.00</w:t>
            </w:r>
          </w:p>
        </w:tc>
      </w:tr>
      <w:tr>
        <w:trPr>
          <w:trHeight w:val="68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2"/>
              <w:ind w:left="13" w:right="20" w:firstLine="360"/>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购建固定资产、无形资产和其他长期资产支付的</w:t>
            </w:r>
            <w:r>
              <w:rPr>
                <w:rFonts w:ascii="宋体" w:hAnsi="宋体" w:cs="宋体" w:eastAsia="宋体" w:hint="default"/>
                <w:sz w:val="18"/>
                <w:szCs w:val="18"/>
              </w:rPr>
              <w:t> 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96,917,507.27</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51,619,778.53</w:t>
            </w:r>
          </w:p>
        </w:tc>
      </w:tr>
      <w:tr>
        <w:trPr>
          <w:trHeight w:val="39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700,000.00</w:t>
            </w: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29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16,691,274.62</w:t>
            </w:r>
          </w:p>
        </w:tc>
      </w:tr>
      <w:tr>
        <w:trPr>
          <w:trHeight w:val="41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59,160,000.00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97,617,507.27</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127,471,053.15</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28"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27,993,193.75</w:t>
            </w:r>
          </w:p>
        </w:tc>
        <w:tc>
          <w:tcPr>
            <w:tcW w:w="2729"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-127,380,453.15</w:t>
            </w:r>
          </w:p>
        </w:tc>
      </w:tr>
      <w:tr>
        <w:trPr>
          <w:trHeight w:val="355"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2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29"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728"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2,960,000.00</w:t>
            </w:r>
          </w:p>
        </w:tc>
        <w:tc>
          <w:tcPr>
            <w:tcW w:w="2729" w:type="dxa"/>
            <w:tcBorders>
              <w:top w:val="single" w:sz="23" w:space="0" w:color="D2D2D2"/>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29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2,960,000.00</w:t>
            </w: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115,415,596.00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56,000,000.00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118,375,596.00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56,000,000.00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88,500,000.00</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39,000,000.00</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19,375,303.11</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26,534,622.26</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294"/>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728" w:type="dxa"/>
            <w:tcBorders>
              <w:top w:val="single" w:sz="6" w:space="0" w:color="000000"/>
              <w:left w:val="single" w:sz="14" w:space="0" w:color="D2D2D2"/>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7,786,970.86</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3,181,822.38</w:t>
            </w:r>
          </w:p>
        </w:tc>
      </w:tr>
      <w:tr>
        <w:trPr>
          <w:trHeight w:val="413"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115,662,273.97</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68,716,444.64</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2,713,322.03</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-12,716,444.64</w:t>
            </w:r>
          </w:p>
        </w:tc>
      </w:tr>
      <w:tr>
        <w:trPr>
          <w:trHeight w:val="420" w:hRule="exact"/>
        </w:trPr>
        <w:tc>
          <w:tcPr>
            <w:tcW w:w="41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728" w:type="dxa"/>
            <w:tcBorders>
              <w:top w:val="single" w:sz="6" w:space="0" w:color="000000"/>
              <w:left w:val="single" w:sz="14" w:space="0" w:color="D2D2D2"/>
              <w:bottom w:val="single" w:sz="12" w:space="0" w:color="000000"/>
              <w:right w:val="single" w:sz="6" w:space="0" w:color="000000"/>
            </w:tcBorders>
          </w:tcPr>
          <w:p>
            <w:pPr/>
          </w:p>
        </w:tc>
        <w:tc>
          <w:tcPr>
            <w:tcW w:w="272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4113"/>
        <w:gridCol w:w="2728"/>
        <w:gridCol w:w="2729"/>
      </w:tblGrid>
      <w:tr>
        <w:trPr>
          <w:trHeight w:val="370" w:hRule="exact"/>
        </w:trPr>
        <w:tc>
          <w:tcPr>
            <w:tcW w:w="41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72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2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727"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41"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728"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18,739,456.30</w:t>
            </w:r>
          </w:p>
        </w:tc>
        <w:tc>
          <w:tcPr>
            <w:tcW w:w="2729"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-119,669,348.02</w:t>
            </w:r>
          </w:p>
        </w:tc>
      </w:tr>
      <w:tr>
        <w:trPr>
          <w:trHeight w:val="412" w:hRule="exact"/>
        </w:trPr>
        <w:tc>
          <w:tcPr>
            <w:tcW w:w="41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7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335,837,008.73</w:t>
            </w:r>
          </w:p>
        </w:tc>
        <w:tc>
          <w:tcPr>
            <w:tcW w:w="2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455,506,356.75</w:t>
            </w:r>
          </w:p>
        </w:tc>
      </w:tr>
      <w:tr>
        <w:trPr>
          <w:trHeight w:val="420" w:hRule="exact"/>
        </w:trPr>
        <w:tc>
          <w:tcPr>
            <w:tcW w:w="41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72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354,576,465.03</w:t>
            </w:r>
          </w:p>
        </w:tc>
        <w:tc>
          <w:tcPr>
            <w:tcW w:w="27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335,837,008.73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15"/>
      <w:bookmarkEnd w:id="115"/>
      <w:r>
        <w:rPr>
          <w:b w:val="0"/>
          <w:bCs w:val="0"/>
        </w:rPr>
      </w:r>
      <w:r>
        <w:rPr>
          <w:rFonts w:ascii="宋体" w:hAnsi="宋体" w:cs="宋体" w:eastAsia="宋体" w:hint="default"/>
        </w:rPr>
        <w:t>6</w:t>
      </w:r>
      <w:r>
        <w:rPr/>
        <w:t>、母公司现金流量表</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971"/>
        <w:gridCol w:w="2834"/>
        <w:gridCol w:w="2763"/>
      </w:tblGrid>
      <w:tr>
        <w:trPr>
          <w:trHeight w:val="398" w:hRule="exact"/>
        </w:trPr>
        <w:tc>
          <w:tcPr>
            <w:tcW w:w="39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8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2"/>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3"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3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6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34"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276,782,411.01</w:t>
            </w:r>
          </w:p>
        </w:tc>
        <w:tc>
          <w:tcPr>
            <w:tcW w:w="2763"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308,863,326.51</w:t>
            </w: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215,486.21</w:t>
            </w: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146,913,647.11</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161,447,867.34</w:t>
            </w: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423,911,544.33</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470,311,193.85</w:t>
            </w: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269,028,529.35</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241,901,172.94</w:t>
            </w: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30,204,165.75</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31,674,789.69</w:t>
            </w: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11,266,855.90</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22,467,665.90</w:t>
            </w:r>
          </w:p>
        </w:tc>
      </w:tr>
      <w:tr>
        <w:trPr>
          <w:trHeight w:val="413"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136,055,904.76</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154,122,093.29</w:t>
            </w: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446,555,455.76</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450,165,721.82</w:t>
            </w:r>
          </w:p>
        </w:tc>
      </w:tr>
      <w:tr>
        <w:trPr>
          <w:trHeight w:val="441"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34"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-22,643,911.43</w:t>
            </w:r>
          </w:p>
        </w:tc>
        <w:tc>
          <w:tcPr>
            <w:tcW w:w="2763"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20,145,472.03</w:t>
            </w:r>
          </w:p>
        </w:tc>
      </w:tr>
      <w:tr>
        <w:trPr>
          <w:trHeight w:val="355"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3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6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34"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7,052,800.00</w:t>
            </w:r>
          </w:p>
        </w:tc>
        <w:tc>
          <w:tcPr>
            <w:tcW w:w="2763" w:type="dxa"/>
            <w:tcBorders>
              <w:top w:val="single" w:sz="23" w:space="0" w:color="D2D2D2"/>
              <w:left w:val="single" w:sz="6" w:space="0" w:color="000000"/>
              <w:bottom w:val="single" w:sz="6" w:space="0" w:color="000000"/>
              <w:right w:val="single" w:sz="12" w:space="0" w:color="000000"/>
            </w:tcBorders>
          </w:tcPr>
          <w:p>
            <w:pPr/>
          </w:p>
        </w:tc>
      </w:tr>
      <w:tr>
        <w:trPr>
          <w:trHeight w:val="391"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834"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681"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1"/>
              <w:ind w:left="13" w:right="20"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w:t>
            </w:r>
            <w:r>
              <w:rPr>
                <w:rFonts w:ascii="宋体" w:hAnsi="宋体" w:cs="宋体" w:eastAsia="宋体" w:hint="default"/>
                <w:sz w:val="18"/>
                <w:szCs w:val="18"/>
              </w:rPr>
              <w:t> 的现金净额</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9,530.00</w:t>
            </w: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153"/>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11,250,000.00</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90,560.00</w:t>
            </w: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16,050.00</w:t>
            </w: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391"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18,328,380.00</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90,560.00</w:t>
            </w:r>
          </w:p>
        </w:tc>
      </w:tr>
      <w:tr>
        <w:trPr>
          <w:trHeight w:val="68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32"/>
              <w:ind w:left="13" w:right="20"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w:t>
            </w:r>
            <w:r>
              <w:rPr>
                <w:rFonts w:ascii="宋体" w:hAnsi="宋体" w:cs="宋体" w:eastAsia="宋体" w:hint="default"/>
                <w:sz w:val="18"/>
                <w:szCs w:val="18"/>
              </w:rPr>
              <w:t> 的现金</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94,214,801.77</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43,671,383.89</w:t>
            </w:r>
          </w:p>
        </w:tc>
      </w:tr>
      <w:tr>
        <w:trPr>
          <w:trHeight w:val="391"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37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2"/>
              <w:ind w:right="18"/>
              <w:jc w:val="right"/>
              <w:rPr>
                <w:rFonts w:ascii="宋体" w:hAnsi="宋体" w:cs="宋体" w:eastAsia="宋体" w:hint="default"/>
                <w:sz w:val="18"/>
                <w:szCs w:val="18"/>
              </w:rPr>
            </w:pPr>
            <w:r>
              <w:rPr>
                <w:rFonts w:ascii="宋体"/>
                <w:sz w:val="18"/>
              </w:rPr>
              <w:t>700,000.00</w:t>
            </w: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153"/>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14,440,000.00</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22,500,000.00</w:t>
            </w:r>
          </w:p>
        </w:tc>
      </w:tr>
      <w:tr>
        <w:trPr>
          <w:trHeight w:val="413"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34"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59,160,000.00</w:t>
            </w: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109,354,801.77</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125,331,383.89</w:t>
            </w:r>
          </w:p>
        </w:tc>
      </w:tr>
      <w:tr>
        <w:trPr>
          <w:trHeight w:val="419" w:hRule="exact"/>
        </w:trPr>
        <w:tc>
          <w:tcPr>
            <w:tcW w:w="39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34"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-91,026,421.77</w:t>
            </w:r>
          </w:p>
        </w:tc>
        <w:tc>
          <w:tcPr>
            <w:tcW w:w="27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-125,240,823.89</w:t>
            </w:r>
          </w:p>
        </w:tc>
      </w:tr>
    </w:tbl>
    <w:p>
      <w:pPr>
        <w:spacing w:after="0" w:line="240" w:lineRule="auto"/>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978" w:type="dxa"/>
        <w:tblLayout w:type="fixed"/>
        <w:tblCellMar>
          <w:top w:w="0" w:type="dxa"/>
          <w:left w:w="0" w:type="dxa"/>
          <w:bottom w:w="0" w:type="dxa"/>
          <w:right w:w="0" w:type="dxa"/>
        </w:tblCellMar>
        <w:tblLook w:val="01E0"/>
      </w:tblPr>
      <w:tblGrid>
        <w:gridCol w:w="3971"/>
        <w:gridCol w:w="2834"/>
        <w:gridCol w:w="2763"/>
      </w:tblGrid>
      <w:tr>
        <w:trPr>
          <w:trHeight w:val="398" w:hRule="exact"/>
        </w:trPr>
        <w:tc>
          <w:tcPr>
            <w:tcW w:w="39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8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3"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3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63"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34" w:type="dxa"/>
            <w:tcBorders>
              <w:top w:val="single" w:sz="23" w:space="0" w:color="D2D2D2"/>
              <w:left w:val="single" w:sz="14" w:space="0" w:color="D2D2D2"/>
              <w:bottom w:val="single" w:sz="6" w:space="0" w:color="000000"/>
              <w:right w:val="single" w:sz="6" w:space="0" w:color="000000"/>
            </w:tcBorders>
          </w:tcPr>
          <w:p>
            <w:pPr/>
          </w:p>
        </w:tc>
        <w:tc>
          <w:tcPr>
            <w:tcW w:w="2763" w:type="dxa"/>
            <w:tcBorders>
              <w:top w:val="single" w:sz="23" w:space="0" w:color="D2D2D2"/>
              <w:left w:val="single" w:sz="6" w:space="0" w:color="000000"/>
              <w:bottom w:val="single" w:sz="6" w:space="0" w:color="000000"/>
              <w:right w:val="single" w:sz="12" w:space="0" w:color="000000"/>
            </w:tcBorders>
          </w:tcPr>
          <w:p>
            <w:pPr/>
          </w:p>
        </w:tc>
      </w:tr>
      <w:tr>
        <w:trPr>
          <w:trHeight w:val="413"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81,415,596.00</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55,500,000.00</w:t>
            </w: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34"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834"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81,415,596.00</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55,500,000.00</w:t>
            </w: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40,000,000.00</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38,500,000.00</w:t>
            </w: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16,682,404.41</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26,507,288.91</w:t>
            </w: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7,786,970.86</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3,181,822.38</w:t>
            </w: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64,469,375.27</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68,189,111.29</w:t>
            </w: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16,946,220.73</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-12,689,111.29</w:t>
            </w: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834" w:type="dxa"/>
            <w:tcBorders>
              <w:top w:val="single" w:sz="6" w:space="0" w:color="000000"/>
              <w:left w:val="single" w:sz="14" w:space="0" w:color="D2D2D2"/>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-96,724,112.47</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-117,784,463.15</w:t>
            </w:r>
          </w:p>
        </w:tc>
      </w:tr>
      <w:tr>
        <w:trPr>
          <w:trHeight w:val="412" w:hRule="exact"/>
        </w:trPr>
        <w:tc>
          <w:tcPr>
            <w:tcW w:w="39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834"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323,687,449.94</w:t>
            </w:r>
          </w:p>
        </w:tc>
        <w:tc>
          <w:tcPr>
            <w:tcW w:w="27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441,471,913.09</w:t>
            </w:r>
          </w:p>
        </w:tc>
      </w:tr>
      <w:tr>
        <w:trPr>
          <w:trHeight w:val="420" w:hRule="exact"/>
        </w:trPr>
        <w:tc>
          <w:tcPr>
            <w:tcW w:w="39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34"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226,963,337.47</w:t>
            </w:r>
          </w:p>
        </w:tc>
        <w:tc>
          <w:tcPr>
            <w:tcW w:w="27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323,687,449.94</w:t>
            </w:r>
          </w:p>
        </w:tc>
      </w:tr>
    </w:tbl>
    <w:p>
      <w:pPr>
        <w:spacing w:line="240" w:lineRule="auto" w:before="3"/>
        <w:rPr>
          <w:rFonts w:ascii="宋体" w:hAnsi="宋体" w:cs="宋体" w:eastAsia="宋体" w:hint="default"/>
          <w:sz w:val="19"/>
          <w:szCs w:val="19"/>
        </w:rPr>
      </w:pPr>
    </w:p>
    <w:p>
      <w:pPr>
        <w:pStyle w:val="Heading4"/>
        <w:spacing w:line="240" w:lineRule="auto" w:before="35"/>
        <w:ind w:left="994" w:right="0"/>
        <w:jc w:val="left"/>
        <w:rPr>
          <w:b w:val="0"/>
          <w:bCs w:val="0"/>
        </w:rPr>
      </w:pPr>
      <w:bookmarkStart w:name="7、合并所有者权益变动表" w:id="116"/>
      <w:bookmarkEnd w:id="116"/>
      <w:r>
        <w:rPr>
          <w:b w:val="0"/>
          <w:bCs w:val="0"/>
        </w:rPr>
      </w:r>
      <w:r>
        <w:rPr>
          <w:rFonts w:ascii="宋体" w:hAnsi="宋体" w:cs="宋体" w:eastAsia="宋体" w:hint="default"/>
        </w:rPr>
        <w:t>7</w:t>
      </w:r>
      <w:r>
        <w:rPr/>
        <w:t>、合并所有者权益变动表</w:t>
      </w:r>
      <w:r>
        <w:rPr>
          <w:b w:val="0"/>
          <w:bCs w:val="0"/>
        </w:rPr>
      </w:r>
    </w:p>
    <w:p>
      <w:pPr>
        <w:spacing w:line="240" w:lineRule="auto" w:before="11"/>
        <w:rPr>
          <w:rFonts w:ascii="宋体" w:hAnsi="宋体" w:cs="宋体" w:eastAsia="宋体" w:hint="default"/>
          <w:b/>
          <w:bCs/>
          <w:sz w:val="27"/>
          <w:szCs w:val="27"/>
        </w:rPr>
      </w:pPr>
    </w:p>
    <w:p>
      <w:pPr>
        <w:tabs>
          <w:tab w:pos="9995" w:val="left" w:leader="none"/>
        </w:tabs>
        <w:spacing w:before="0"/>
        <w:ind w:left="994" w:right="0" w:firstLine="0"/>
        <w:jc w:val="left"/>
        <w:rPr>
          <w:rFonts w:ascii="宋体" w:hAnsi="宋体" w:cs="宋体" w:eastAsia="宋体" w:hint="default"/>
          <w:sz w:val="18"/>
          <w:szCs w:val="18"/>
        </w:rPr>
      </w:pPr>
      <w:r>
        <w:rPr>
          <w:rFonts w:ascii="宋体" w:hAnsi="宋体" w:cs="宋体" w:eastAsia="宋体" w:hint="default"/>
          <w:sz w:val="18"/>
          <w:szCs w:val="18"/>
        </w:rPr>
        <w:t>本期金额</w:t>
        <w:tab/>
        <w:t>单位</w:t>
      </w:r>
      <w:r>
        <w:rPr>
          <w:rFonts w:ascii="宋体" w:hAnsi="宋体" w:cs="宋体" w:eastAsia="宋体" w:hint="default"/>
          <w:spacing w:val="-82"/>
          <w:sz w:val="18"/>
          <w:szCs w:val="18"/>
        </w:rPr>
        <w:t>：</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845"/>
        <w:gridCol w:w="1418"/>
        <w:gridCol w:w="284"/>
        <w:gridCol w:w="283"/>
        <w:gridCol w:w="283"/>
        <w:gridCol w:w="1417"/>
        <w:gridCol w:w="285"/>
        <w:gridCol w:w="283"/>
        <w:gridCol w:w="283"/>
        <w:gridCol w:w="1417"/>
        <w:gridCol w:w="356"/>
        <w:gridCol w:w="1418"/>
        <w:gridCol w:w="1277"/>
        <w:gridCol w:w="1524"/>
      </w:tblGrid>
      <w:tr>
        <w:trPr>
          <w:trHeight w:val="335" w:hRule="exact"/>
        </w:trPr>
        <w:tc>
          <w:tcPr>
            <w:tcW w:w="845" w:type="dxa"/>
            <w:vMerge w:val="restart"/>
            <w:tcBorders>
              <w:top w:val="single" w:sz="12" w:space="0" w:color="000000"/>
              <w:left w:val="single" w:sz="12" w:space="0" w:color="000000"/>
              <w:right w:val="single" w:sz="6" w:space="0" w:color="000000"/>
            </w:tcBorders>
            <w:shd w:val="clear" w:color="auto" w:fill="D2D2D2"/>
          </w:tcPr>
          <w:p>
            <w:pPr/>
          </w:p>
        </w:tc>
        <w:tc>
          <w:tcPr>
            <w:tcW w:w="10529" w:type="dxa"/>
            <w:gridSpan w:val="1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8" w:hRule="exact"/>
        </w:trPr>
        <w:tc>
          <w:tcPr>
            <w:tcW w:w="845" w:type="dxa"/>
            <w:vMerge/>
            <w:tcBorders>
              <w:left w:val="single" w:sz="12" w:space="0" w:color="000000"/>
              <w:right w:val="single" w:sz="6" w:space="0" w:color="000000"/>
            </w:tcBorders>
            <w:shd w:val="clear" w:color="auto" w:fill="D2D2D2"/>
          </w:tcPr>
          <w:p>
            <w:pPr/>
          </w:p>
        </w:tc>
        <w:tc>
          <w:tcPr>
            <w:tcW w:w="7728"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6" w:space="0" w:color="000000"/>
              <w:left w:val="single" w:sz="6" w:space="0" w:color="000000"/>
              <w:right w:val="single" w:sz="6" w:space="0" w:color="000000"/>
            </w:tcBorders>
            <w:shd w:val="clear" w:color="auto" w:fill="D2D2D2"/>
          </w:tcPr>
          <w:p>
            <w:pPr/>
          </w:p>
        </w:tc>
        <w:tc>
          <w:tcPr>
            <w:tcW w:w="1524" w:type="dxa"/>
            <w:vMerge w:val="restart"/>
            <w:tcBorders>
              <w:top w:val="single" w:sz="6" w:space="0" w:color="000000"/>
              <w:left w:val="single" w:sz="6" w:space="0" w:color="000000"/>
              <w:right w:val="single" w:sz="12" w:space="0" w:color="000000"/>
            </w:tcBorders>
            <w:shd w:val="clear" w:color="auto" w:fill="D2D2D2"/>
          </w:tcPr>
          <w:p>
            <w:pPr/>
          </w:p>
        </w:tc>
      </w:tr>
      <w:tr>
        <w:trPr>
          <w:trHeight w:val="163" w:hRule="exact"/>
        </w:trPr>
        <w:tc>
          <w:tcPr>
            <w:tcW w:w="845" w:type="dxa"/>
            <w:vMerge/>
            <w:tcBorders>
              <w:left w:val="single" w:sz="12" w:space="0" w:color="000000"/>
              <w:right w:val="single" w:sz="6" w:space="0" w:color="000000"/>
            </w:tcBorders>
            <w:shd w:val="clear" w:color="auto" w:fill="D2D2D2"/>
          </w:tcPr>
          <w:p>
            <w:pPr/>
          </w:p>
        </w:tc>
        <w:tc>
          <w:tcPr>
            <w:tcW w:w="1418" w:type="dxa"/>
            <w:vMerge w:val="restart"/>
            <w:tcBorders>
              <w:top w:val="single" w:sz="6" w:space="0" w:color="000000"/>
              <w:left w:val="single" w:sz="6" w:space="0" w:color="000000"/>
              <w:right w:val="single" w:sz="6" w:space="0" w:color="000000"/>
            </w:tcBorders>
            <w:shd w:val="clear" w:color="auto" w:fill="D2D2D2"/>
          </w:tcPr>
          <w:p>
            <w:pPr/>
          </w:p>
        </w:tc>
        <w:tc>
          <w:tcPr>
            <w:tcW w:w="851"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0"/>
              <w:ind w:left="237" w:right="56"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417" w:type="dxa"/>
            <w:vMerge w:val="restart"/>
            <w:tcBorders>
              <w:top w:val="single" w:sz="6" w:space="0" w:color="000000"/>
              <w:left w:val="single" w:sz="6" w:space="0" w:color="000000"/>
              <w:right w:val="single" w:sz="6" w:space="0" w:color="000000"/>
            </w:tcBorders>
            <w:shd w:val="clear" w:color="auto" w:fill="D2D2D2"/>
          </w:tcPr>
          <w:p>
            <w:pPr/>
          </w:p>
        </w:tc>
        <w:tc>
          <w:tcPr>
            <w:tcW w:w="285" w:type="dxa"/>
            <w:tcBorders>
              <w:top w:val="single" w:sz="6" w:space="0" w:color="000000"/>
              <w:left w:val="single" w:sz="6" w:space="0" w:color="000000"/>
              <w:bottom w:val="nil" w:sz="6" w:space="0" w:color="auto"/>
              <w:right w:val="single" w:sz="6" w:space="0" w:color="000000"/>
            </w:tcBorders>
            <w:shd w:val="clear" w:color="auto" w:fill="D2D2D2"/>
          </w:tcPr>
          <w:p>
            <w:pP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0"/>
              <w:ind w:left="43" w:right="43"/>
              <w:jc w:val="both"/>
              <w:rPr>
                <w:rFonts w:ascii="宋体" w:hAnsi="宋体" w:cs="宋体" w:eastAsia="宋体" w:hint="default"/>
                <w:sz w:val="18"/>
                <w:szCs w:val="18"/>
              </w:rPr>
            </w:pPr>
            <w:r>
              <w:rPr>
                <w:rFonts w:ascii="宋体" w:hAnsi="宋体" w:cs="宋体" w:eastAsia="宋体" w:hint="default"/>
                <w:sz w:val="18"/>
                <w:szCs w:val="18"/>
              </w:rPr>
              <w:t>其 他 综 合 收 益</w:t>
            </w:r>
          </w:p>
        </w:tc>
        <w:tc>
          <w:tcPr>
            <w:tcW w:w="283" w:type="dxa"/>
            <w:vMerge w:val="restart"/>
            <w:tcBorders>
              <w:top w:val="single" w:sz="6" w:space="0" w:color="000000"/>
              <w:left w:val="single" w:sz="6" w:space="0" w:color="000000"/>
              <w:right w:val="single" w:sz="6" w:space="0" w:color="000000"/>
            </w:tcBorders>
            <w:shd w:val="clear" w:color="auto" w:fill="D2D2D2"/>
          </w:tcPr>
          <w:p>
            <w:pPr/>
          </w:p>
        </w:tc>
        <w:tc>
          <w:tcPr>
            <w:tcW w:w="1417" w:type="dxa"/>
            <w:vMerge w:val="restart"/>
            <w:tcBorders>
              <w:top w:val="single" w:sz="6" w:space="0" w:color="000000"/>
              <w:left w:val="single" w:sz="6" w:space="0" w:color="000000"/>
              <w:right w:val="single" w:sz="6" w:space="0" w:color="000000"/>
            </w:tcBorders>
            <w:shd w:val="clear" w:color="auto" w:fill="D2D2D2"/>
          </w:tcPr>
          <w:p>
            <w:pPr/>
          </w:p>
        </w:tc>
        <w:tc>
          <w:tcPr>
            <w:tcW w:w="356"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0"/>
              <w:ind w:left="80" w:right="79"/>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418" w:type="dxa"/>
            <w:vMerge w:val="restart"/>
            <w:tcBorders>
              <w:top w:val="single" w:sz="6" w:space="0" w:color="000000"/>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1524" w:type="dxa"/>
            <w:vMerge/>
            <w:tcBorders>
              <w:left w:val="single" w:sz="6" w:space="0" w:color="000000"/>
              <w:right w:val="single" w:sz="12" w:space="0" w:color="000000"/>
            </w:tcBorders>
            <w:shd w:val="clear" w:color="auto" w:fill="D2D2D2"/>
          </w:tcPr>
          <w:p>
            <w:pPr/>
          </w:p>
        </w:tc>
      </w:tr>
      <w:tr>
        <w:trPr>
          <w:trHeight w:val="156" w:hRule="exact"/>
        </w:trPr>
        <w:tc>
          <w:tcPr>
            <w:tcW w:w="845" w:type="dxa"/>
            <w:vMerge/>
            <w:tcBorders>
              <w:left w:val="single" w:sz="12" w:space="0" w:color="000000"/>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851" w:type="dxa"/>
            <w:gridSpan w:val="3"/>
            <w:vMerge/>
            <w:tcBorders>
              <w:left w:val="single" w:sz="6" w:space="0" w:color="000000"/>
              <w:right w:val="single" w:sz="6" w:space="0" w:color="000000"/>
            </w:tcBorders>
            <w:shd w:val="clear" w:color="auto" w:fill="D2D2D2"/>
          </w:tcPr>
          <w:p>
            <w:pPr/>
          </w:p>
        </w:tc>
        <w:tc>
          <w:tcPr>
            <w:tcW w:w="1417" w:type="dxa"/>
            <w:vMerge/>
            <w:tcBorders>
              <w:left w:val="single" w:sz="6" w:space="0" w:color="000000"/>
              <w:right w:val="single" w:sz="6" w:space="0" w:color="000000"/>
            </w:tcBorders>
            <w:shd w:val="clear" w:color="auto" w:fill="D2D2D2"/>
          </w:tcPr>
          <w:p>
            <w:pPr/>
          </w:p>
        </w:tc>
        <w:tc>
          <w:tcPr>
            <w:tcW w:w="28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44"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316" w:lineRule="auto" w:before="76"/>
              <w:ind w:left="44" w:right="4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bottom w:val="nil" w:sz="6" w:space="0" w:color="auto"/>
              <w:right w:val="single" w:sz="6" w:space="0" w:color="000000"/>
            </w:tcBorders>
            <w:shd w:val="clear" w:color="auto" w:fill="D2D2D2"/>
          </w:tcPr>
          <w:p>
            <w:pPr/>
          </w:p>
        </w:tc>
        <w:tc>
          <w:tcPr>
            <w:tcW w:w="1417" w:type="dxa"/>
            <w:vMerge/>
            <w:tcBorders>
              <w:left w:val="single" w:sz="6" w:space="0" w:color="000000"/>
              <w:right w:val="single" w:sz="6" w:space="0" w:color="000000"/>
            </w:tcBorders>
            <w:shd w:val="clear" w:color="auto" w:fill="D2D2D2"/>
          </w:tcPr>
          <w:p>
            <w:pPr/>
          </w:p>
        </w:tc>
        <w:tc>
          <w:tcPr>
            <w:tcW w:w="356"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1524" w:type="dxa"/>
            <w:vMerge/>
            <w:tcBorders>
              <w:left w:val="single" w:sz="6" w:space="0" w:color="000000"/>
              <w:right w:val="single" w:sz="12" w:space="0" w:color="000000"/>
            </w:tcBorders>
            <w:shd w:val="clear" w:color="auto" w:fill="D2D2D2"/>
          </w:tcPr>
          <w:p>
            <w:pPr/>
          </w:p>
        </w:tc>
      </w:tr>
      <w:tr>
        <w:trPr>
          <w:trHeight w:val="142" w:hRule="exact"/>
        </w:trPr>
        <w:tc>
          <w:tcPr>
            <w:tcW w:w="845" w:type="dxa"/>
            <w:vMerge/>
            <w:tcBorders>
              <w:left w:val="single" w:sz="12" w:space="0" w:color="000000"/>
              <w:bottom w:val="nil" w:sz="6" w:space="0" w:color="auto"/>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851" w:type="dxa"/>
            <w:gridSpan w:val="3"/>
            <w:vMerge/>
            <w:tcBorders>
              <w:left w:val="single" w:sz="6" w:space="0" w:color="000000"/>
              <w:right w:val="single" w:sz="6" w:space="0" w:color="000000"/>
            </w:tcBorders>
            <w:shd w:val="clear" w:color="auto" w:fill="D2D2D2"/>
          </w:tcPr>
          <w:p>
            <w:pPr/>
          </w:p>
        </w:tc>
        <w:tc>
          <w:tcPr>
            <w:tcW w:w="1417" w:type="dxa"/>
            <w:vMerge/>
            <w:tcBorders>
              <w:left w:val="single" w:sz="6" w:space="0" w:color="000000"/>
              <w:right w:val="single" w:sz="6" w:space="0" w:color="000000"/>
            </w:tcBorders>
            <w:shd w:val="clear" w:color="auto" w:fill="D2D2D2"/>
          </w:tcPr>
          <w:p>
            <w:pPr/>
          </w:p>
        </w:tc>
        <w:tc>
          <w:tcPr>
            <w:tcW w:w="285"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0"/>
              <w:ind w:left="44" w:right="42"/>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17" w:type="dxa"/>
            <w:vMerge/>
            <w:tcBorders>
              <w:left w:val="single" w:sz="6" w:space="0" w:color="000000"/>
              <w:right w:val="single" w:sz="6" w:space="0" w:color="000000"/>
            </w:tcBorders>
            <w:shd w:val="clear" w:color="auto" w:fill="D2D2D2"/>
          </w:tcPr>
          <w:p>
            <w:pPr/>
          </w:p>
        </w:tc>
        <w:tc>
          <w:tcPr>
            <w:tcW w:w="356"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1524" w:type="dxa"/>
            <w:vMerge/>
            <w:tcBorders>
              <w:left w:val="single" w:sz="6" w:space="0" w:color="000000"/>
              <w:right w:val="single" w:sz="12" w:space="0" w:color="000000"/>
            </w:tcBorders>
            <w:shd w:val="clear" w:color="auto" w:fill="D2D2D2"/>
          </w:tcPr>
          <w:p>
            <w:pPr/>
          </w:p>
        </w:tc>
      </w:tr>
      <w:tr>
        <w:trPr>
          <w:trHeight w:val="171" w:hRule="exact"/>
        </w:trPr>
        <w:tc>
          <w:tcPr>
            <w:tcW w:w="845"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0"/>
              <w:ind w:left="22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tcBorders>
              <w:left w:val="single" w:sz="6" w:space="0" w:color="000000"/>
              <w:right w:val="single" w:sz="6" w:space="0" w:color="000000"/>
            </w:tcBorders>
            <w:shd w:val="clear" w:color="auto" w:fill="D2D2D2"/>
          </w:tcPr>
          <w:p>
            <w:pPr/>
          </w:p>
        </w:tc>
        <w:tc>
          <w:tcPr>
            <w:tcW w:w="851" w:type="dxa"/>
            <w:gridSpan w:val="3"/>
            <w:vMerge/>
            <w:tcBorders>
              <w:left w:val="single" w:sz="6" w:space="0" w:color="000000"/>
              <w:bottom w:val="single" w:sz="6" w:space="0" w:color="000000"/>
              <w:right w:val="single" w:sz="6" w:space="0" w:color="000000"/>
            </w:tcBorders>
            <w:shd w:val="clear" w:color="auto" w:fill="D2D2D2"/>
          </w:tcPr>
          <w:p>
            <w:pPr/>
          </w:p>
        </w:tc>
        <w:tc>
          <w:tcPr>
            <w:tcW w:w="1417" w:type="dxa"/>
            <w:vMerge/>
            <w:tcBorders>
              <w:left w:val="single" w:sz="6" w:space="0" w:color="000000"/>
              <w:right w:val="single" w:sz="6" w:space="0" w:color="000000"/>
            </w:tcBorders>
            <w:shd w:val="clear" w:color="auto" w:fill="D2D2D2"/>
          </w:tcPr>
          <w:p>
            <w:pPr/>
          </w:p>
        </w:tc>
        <w:tc>
          <w:tcPr>
            <w:tcW w:w="285"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417" w:type="dxa"/>
            <w:vMerge/>
            <w:tcBorders>
              <w:left w:val="single" w:sz="6" w:space="0" w:color="000000"/>
              <w:right w:val="single" w:sz="6" w:space="0" w:color="000000"/>
            </w:tcBorders>
            <w:shd w:val="clear" w:color="auto" w:fill="D2D2D2"/>
          </w:tcPr>
          <w:p>
            <w:pPr/>
          </w:p>
        </w:tc>
        <w:tc>
          <w:tcPr>
            <w:tcW w:w="356"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1524" w:type="dxa"/>
            <w:vMerge/>
            <w:tcBorders>
              <w:left w:val="single" w:sz="6" w:space="0" w:color="000000"/>
              <w:bottom w:val="nil" w:sz="6" w:space="0" w:color="auto"/>
              <w:right w:val="single" w:sz="12" w:space="0" w:color="000000"/>
            </w:tcBorders>
            <w:shd w:val="clear" w:color="auto" w:fill="D2D2D2"/>
          </w:tcPr>
          <w:p>
            <w:pPr/>
          </w:p>
        </w:tc>
      </w:tr>
      <w:tr>
        <w:trPr>
          <w:trHeight w:val="156" w:hRule="exact"/>
        </w:trPr>
        <w:tc>
          <w:tcPr>
            <w:tcW w:w="845" w:type="dxa"/>
            <w:vMerge/>
            <w:tcBorders>
              <w:left w:val="single" w:sz="12" w:space="0" w:color="000000"/>
              <w:bottom w:val="nil" w:sz="6" w:space="0" w:color="auto"/>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284" w:type="dxa"/>
            <w:tcBorders>
              <w:top w:val="single" w:sz="6" w:space="0" w:color="000000"/>
              <w:left w:val="single" w:sz="6" w:space="0" w:color="000000"/>
              <w:bottom w:val="nil" w:sz="6" w:space="0" w:color="auto"/>
              <w:right w:val="single" w:sz="6" w:space="0" w:color="000000"/>
            </w:tcBorders>
            <w:shd w:val="clear" w:color="auto" w:fill="D2D2D2"/>
          </w:tcPr>
          <w:p>
            <w:pPr/>
          </w:p>
        </w:tc>
        <w:tc>
          <w:tcPr>
            <w:tcW w:w="283" w:type="dxa"/>
            <w:tcBorders>
              <w:top w:val="single" w:sz="6" w:space="0" w:color="000000"/>
              <w:left w:val="single" w:sz="6" w:space="0" w:color="000000"/>
              <w:bottom w:val="nil" w:sz="6" w:space="0" w:color="auto"/>
              <w:right w:val="single" w:sz="6" w:space="0" w:color="000000"/>
            </w:tcBorders>
            <w:shd w:val="clear" w:color="auto" w:fill="D2D2D2"/>
          </w:tcPr>
          <w:p>
            <w:pPr/>
          </w:p>
        </w:tc>
        <w:tc>
          <w:tcPr>
            <w:tcW w:w="283" w:type="dxa"/>
            <w:vMerge w:val="restart"/>
            <w:tcBorders>
              <w:top w:val="single" w:sz="6" w:space="0" w:color="000000"/>
              <w:left w:val="single" w:sz="6" w:space="0" w:color="000000"/>
              <w:right w:val="single" w:sz="6" w:space="0" w:color="000000"/>
            </w:tcBorders>
            <w:shd w:val="clear" w:color="auto" w:fill="D2D2D2"/>
          </w:tcPr>
          <w:p>
            <w:pPr/>
          </w:p>
        </w:tc>
        <w:tc>
          <w:tcPr>
            <w:tcW w:w="1417" w:type="dxa"/>
            <w:vMerge/>
            <w:tcBorders>
              <w:left w:val="single" w:sz="6" w:space="0" w:color="000000"/>
              <w:bottom w:val="nil" w:sz="6" w:space="0" w:color="auto"/>
              <w:right w:val="single" w:sz="6" w:space="0" w:color="000000"/>
            </w:tcBorders>
            <w:shd w:val="clear" w:color="auto" w:fill="D2D2D2"/>
          </w:tcPr>
          <w:p>
            <w:pPr/>
          </w:p>
        </w:tc>
        <w:tc>
          <w:tcPr>
            <w:tcW w:w="285"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417" w:type="dxa"/>
            <w:vMerge/>
            <w:tcBorders>
              <w:left w:val="single" w:sz="6" w:space="0" w:color="000000"/>
              <w:bottom w:val="nil" w:sz="6" w:space="0" w:color="auto"/>
              <w:right w:val="single" w:sz="6" w:space="0" w:color="000000"/>
            </w:tcBorders>
            <w:shd w:val="clear" w:color="auto" w:fill="D2D2D2"/>
          </w:tcPr>
          <w:p>
            <w:pPr/>
          </w:p>
        </w:tc>
        <w:tc>
          <w:tcPr>
            <w:tcW w:w="356"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
              <w:ind w:left="9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24"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3"/>
              <w:ind w:left="1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57" w:hRule="exact"/>
        </w:trPr>
        <w:tc>
          <w:tcPr>
            <w:tcW w:w="845" w:type="dxa"/>
            <w:vMerge w:val="restart"/>
            <w:tcBorders>
              <w:top w:val="nil" w:sz="6" w:space="0" w:color="auto"/>
              <w:left w:val="single" w:sz="12"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84"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9"/>
              <w:ind w:left="44" w:right="4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9"/>
              <w:ind w:left="43" w:right="4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vMerge/>
            <w:tcBorders>
              <w:left w:val="single" w:sz="6" w:space="0" w:color="000000"/>
              <w:bottom w:val="nil" w:sz="6" w:space="0" w:color="auto"/>
              <w:right w:val="single" w:sz="6" w:space="0" w:color="000000"/>
            </w:tcBorders>
            <w:shd w:val="clear" w:color="auto" w:fill="D2D2D2"/>
          </w:tcPr>
          <w:p>
            <w:pPr/>
          </w:p>
        </w:tc>
        <w:tc>
          <w:tcPr>
            <w:tcW w:w="141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34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5"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41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34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56" w:type="dxa"/>
            <w:vMerge/>
            <w:tcBorders>
              <w:left w:val="single" w:sz="6"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25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6" w:space="0" w:color="000000"/>
              <w:bottom w:val="nil" w:sz="6" w:space="0" w:color="auto"/>
              <w:right w:val="single" w:sz="6" w:space="0" w:color="000000"/>
            </w:tcBorders>
            <w:shd w:val="clear" w:color="auto" w:fill="D2D2D2"/>
          </w:tcPr>
          <w:p>
            <w:pPr/>
          </w:p>
        </w:tc>
        <w:tc>
          <w:tcPr>
            <w:tcW w:w="1524" w:type="dxa"/>
            <w:vMerge/>
            <w:tcBorders>
              <w:left w:val="single" w:sz="6" w:space="0" w:color="000000"/>
              <w:bottom w:val="nil" w:sz="6" w:space="0" w:color="auto"/>
              <w:right w:val="single" w:sz="12" w:space="0" w:color="000000"/>
            </w:tcBorders>
            <w:shd w:val="clear" w:color="auto" w:fill="D2D2D2"/>
          </w:tcPr>
          <w:p>
            <w:pPr/>
          </w:p>
        </w:tc>
      </w:tr>
      <w:tr>
        <w:trPr>
          <w:trHeight w:val="155" w:hRule="exact"/>
        </w:trPr>
        <w:tc>
          <w:tcPr>
            <w:tcW w:w="845" w:type="dxa"/>
            <w:vMerge/>
            <w:tcBorders>
              <w:left w:val="single" w:sz="12"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8"/>
              <w:ind w:left="44" w:right="42"/>
              <w:jc w:val="left"/>
              <w:rPr>
                <w:rFonts w:ascii="宋体" w:hAnsi="宋体" w:cs="宋体" w:eastAsia="宋体" w:hint="default"/>
                <w:sz w:val="18"/>
                <w:szCs w:val="18"/>
              </w:rPr>
            </w:pPr>
            <w:r>
              <w:rPr>
                <w:rFonts w:ascii="宋体" w:hAnsi="宋体" w:cs="宋体" w:eastAsia="宋体" w:hint="default"/>
                <w:sz w:val="18"/>
                <w:szCs w:val="18"/>
              </w:rPr>
              <w:t>其 他</w:t>
            </w:r>
          </w:p>
        </w:tc>
        <w:tc>
          <w:tcPr>
            <w:tcW w:w="1417" w:type="dxa"/>
            <w:vMerge/>
            <w:tcBorders>
              <w:left w:val="single" w:sz="6" w:space="0" w:color="000000"/>
              <w:bottom w:val="nil" w:sz="6" w:space="0" w:color="auto"/>
              <w:right w:val="single" w:sz="6" w:space="0" w:color="000000"/>
            </w:tcBorders>
            <w:shd w:val="clear" w:color="auto" w:fill="D2D2D2"/>
          </w:tcPr>
          <w:p>
            <w:pPr/>
          </w:p>
        </w:tc>
        <w:tc>
          <w:tcPr>
            <w:tcW w:w="285"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417" w:type="dxa"/>
            <w:vMerge/>
            <w:tcBorders>
              <w:left w:val="single" w:sz="6" w:space="0" w:color="000000"/>
              <w:bottom w:val="nil" w:sz="6" w:space="0" w:color="auto"/>
              <w:right w:val="single" w:sz="6" w:space="0" w:color="000000"/>
            </w:tcBorders>
            <w:shd w:val="clear" w:color="auto" w:fill="D2D2D2"/>
          </w:tcPr>
          <w:p>
            <w:pPr/>
          </w:p>
        </w:tc>
        <w:tc>
          <w:tcPr>
            <w:tcW w:w="356"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
        </w:tc>
        <w:tc>
          <w:tcPr>
            <w:tcW w:w="1524" w:type="dxa"/>
            <w:vMerge w:val="restart"/>
            <w:tcBorders>
              <w:top w:val="nil" w:sz="6" w:space="0" w:color="auto"/>
              <w:left w:val="single" w:sz="6" w:space="0" w:color="000000"/>
              <w:right w:val="single" w:sz="12" w:space="0" w:color="000000"/>
            </w:tcBorders>
            <w:shd w:val="clear" w:color="auto" w:fill="D2D2D2"/>
          </w:tcPr>
          <w:p>
            <w:pPr/>
          </w:p>
        </w:tc>
      </w:tr>
      <w:tr>
        <w:trPr>
          <w:trHeight w:val="472" w:hRule="exact"/>
        </w:trPr>
        <w:tc>
          <w:tcPr>
            <w:tcW w:w="845" w:type="dxa"/>
            <w:vMerge/>
            <w:tcBorders>
              <w:left w:val="single" w:sz="12"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bottom w:val="nil" w:sz="6" w:space="0" w:color="auto"/>
              <w:right w:val="single" w:sz="6" w:space="0" w:color="000000"/>
            </w:tcBorders>
            <w:shd w:val="clear" w:color="auto" w:fill="D2D2D2"/>
          </w:tcPr>
          <w:p>
            <w:pPr/>
          </w:p>
        </w:tc>
        <w:tc>
          <w:tcPr>
            <w:tcW w:w="1417" w:type="dxa"/>
            <w:vMerge w:val="restart"/>
            <w:tcBorders>
              <w:top w:val="nil" w:sz="6" w:space="0" w:color="auto"/>
              <w:left w:val="single" w:sz="6" w:space="0" w:color="000000"/>
              <w:right w:val="single" w:sz="6" w:space="0" w:color="000000"/>
            </w:tcBorders>
            <w:shd w:val="clear" w:color="auto" w:fill="D2D2D2"/>
          </w:tcPr>
          <w:p>
            <w:pPr/>
          </w:p>
        </w:tc>
        <w:tc>
          <w:tcPr>
            <w:tcW w:w="285"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bottom w:val="nil" w:sz="6" w:space="0" w:color="auto"/>
              <w:right w:val="single" w:sz="6" w:space="0" w:color="000000"/>
            </w:tcBorders>
            <w:shd w:val="clear" w:color="auto" w:fill="D2D2D2"/>
          </w:tcPr>
          <w:p>
            <w:pPr/>
          </w:p>
        </w:tc>
        <w:tc>
          <w:tcPr>
            <w:tcW w:w="1417" w:type="dxa"/>
            <w:vMerge w:val="restart"/>
            <w:tcBorders>
              <w:top w:val="nil" w:sz="6" w:space="0" w:color="auto"/>
              <w:left w:val="single" w:sz="6" w:space="0" w:color="000000"/>
              <w:right w:val="single" w:sz="6" w:space="0" w:color="000000"/>
            </w:tcBorders>
            <w:shd w:val="clear" w:color="auto" w:fill="D2D2D2"/>
          </w:tcPr>
          <w:p>
            <w:pPr/>
          </w:p>
        </w:tc>
        <w:tc>
          <w:tcPr>
            <w:tcW w:w="356" w:type="dxa"/>
            <w:vMerge/>
            <w:tcBorders>
              <w:left w:val="single" w:sz="6"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1524" w:type="dxa"/>
            <w:vMerge/>
            <w:tcBorders>
              <w:left w:val="single" w:sz="6" w:space="0" w:color="000000"/>
              <w:right w:val="single" w:sz="12" w:space="0" w:color="000000"/>
            </w:tcBorders>
            <w:shd w:val="clear" w:color="auto" w:fill="D2D2D2"/>
          </w:tcPr>
          <w:p>
            <w:pPr/>
          </w:p>
        </w:tc>
      </w:tr>
      <w:tr>
        <w:trPr>
          <w:trHeight w:val="155" w:hRule="exact"/>
        </w:trPr>
        <w:tc>
          <w:tcPr>
            <w:tcW w:w="845" w:type="dxa"/>
            <w:vMerge/>
            <w:tcBorders>
              <w:left w:val="single" w:sz="12" w:space="0" w:color="000000"/>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284" w:type="dxa"/>
            <w:vMerge/>
            <w:tcBorders>
              <w:left w:val="single" w:sz="6" w:space="0" w:color="000000"/>
              <w:bottom w:val="nil" w:sz="6" w:space="0" w:color="auto"/>
              <w:right w:val="single" w:sz="6" w:space="0" w:color="000000"/>
            </w:tcBorders>
            <w:shd w:val="clear" w:color="auto" w:fill="D2D2D2"/>
          </w:tcPr>
          <w:p>
            <w:pPr/>
          </w:p>
        </w:tc>
        <w:tc>
          <w:tcPr>
            <w:tcW w:w="283" w:type="dxa"/>
            <w:vMerge/>
            <w:tcBorders>
              <w:left w:val="single" w:sz="6" w:space="0" w:color="000000"/>
              <w:bottom w:val="nil" w:sz="6" w:space="0" w:color="auto"/>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
        </w:tc>
        <w:tc>
          <w:tcPr>
            <w:tcW w:w="1417" w:type="dxa"/>
            <w:vMerge/>
            <w:tcBorders>
              <w:left w:val="single" w:sz="6" w:space="0" w:color="000000"/>
              <w:right w:val="single" w:sz="6" w:space="0" w:color="000000"/>
            </w:tcBorders>
            <w:shd w:val="clear" w:color="auto" w:fill="D2D2D2"/>
          </w:tcPr>
          <w:p>
            <w:pPr/>
          </w:p>
        </w:tc>
        <w:tc>
          <w:tcPr>
            <w:tcW w:w="285" w:type="dxa"/>
            <w:vMerge/>
            <w:tcBorders>
              <w:left w:val="single" w:sz="6" w:space="0" w:color="000000"/>
              <w:bottom w:val="nil" w:sz="6" w:space="0" w:color="auto"/>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
        </w:tc>
        <w:tc>
          <w:tcPr>
            <w:tcW w:w="1417" w:type="dxa"/>
            <w:vMerge/>
            <w:tcBorders>
              <w:left w:val="single" w:sz="6" w:space="0" w:color="000000"/>
              <w:right w:val="single" w:sz="6" w:space="0" w:color="000000"/>
            </w:tcBorders>
            <w:shd w:val="clear" w:color="auto" w:fill="D2D2D2"/>
          </w:tcPr>
          <w:p>
            <w:pPr/>
          </w:p>
        </w:tc>
        <w:tc>
          <w:tcPr>
            <w:tcW w:w="356"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right w:val="single" w:sz="6" w:space="0" w:color="000000"/>
            </w:tcBorders>
            <w:shd w:val="clear" w:color="auto" w:fill="D2D2D2"/>
          </w:tcPr>
          <w:p>
            <w:pPr/>
          </w:p>
        </w:tc>
        <w:tc>
          <w:tcPr>
            <w:tcW w:w="1524" w:type="dxa"/>
            <w:vMerge/>
            <w:tcBorders>
              <w:left w:val="single" w:sz="6" w:space="0" w:color="000000"/>
              <w:right w:val="single" w:sz="12" w:space="0" w:color="000000"/>
            </w:tcBorders>
            <w:shd w:val="clear" w:color="auto" w:fill="D2D2D2"/>
          </w:tcPr>
          <w:p>
            <w:pPr/>
          </w:p>
        </w:tc>
      </w:tr>
      <w:tr>
        <w:trPr>
          <w:trHeight w:val="160" w:hRule="exact"/>
        </w:trPr>
        <w:tc>
          <w:tcPr>
            <w:tcW w:w="845" w:type="dxa"/>
            <w:vMerge/>
            <w:tcBorders>
              <w:left w:val="single" w:sz="12"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6" w:space="0" w:color="000000"/>
            </w:tcBorders>
            <w:shd w:val="clear" w:color="auto" w:fill="D2D2D2"/>
          </w:tcPr>
          <w:p>
            <w:pPr/>
          </w:p>
        </w:tc>
        <w:tc>
          <w:tcPr>
            <w:tcW w:w="284" w:type="dxa"/>
            <w:tcBorders>
              <w:top w:val="nil" w:sz="6" w:space="0" w:color="auto"/>
              <w:left w:val="single" w:sz="6" w:space="0" w:color="000000"/>
              <w:bottom w:val="single" w:sz="6" w:space="0" w:color="000000"/>
              <w:right w:val="single" w:sz="6" w:space="0" w:color="000000"/>
            </w:tcBorders>
            <w:shd w:val="clear" w:color="auto" w:fill="D2D2D2"/>
          </w:tcPr>
          <w:p>
            <w:pPr/>
          </w:p>
        </w:tc>
        <w:tc>
          <w:tcPr>
            <w:tcW w:w="283" w:type="dxa"/>
            <w:tcBorders>
              <w:top w:val="nil" w:sz="6" w:space="0" w:color="auto"/>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1417" w:type="dxa"/>
            <w:vMerge/>
            <w:tcBorders>
              <w:left w:val="single" w:sz="6" w:space="0" w:color="000000"/>
              <w:bottom w:val="single" w:sz="6" w:space="0" w:color="000000"/>
              <w:right w:val="single" w:sz="6" w:space="0" w:color="000000"/>
            </w:tcBorders>
            <w:shd w:val="clear" w:color="auto" w:fill="D2D2D2"/>
          </w:tcPr>
          <w:p>
            <w:pPr/>
          </w:p>
        </w:tc>
        <w:tc>
          <w:tcPr>
            <w:tcW w:w="285" w:type="dxa"/>
            <w:tcBorders>
              <w:top w:val="nil" w:sz="6" w:space="0" w:color="auto"/>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1417" w:type="dxa"/>
            <w:vMerge/>
            <w:tcBorders>
              <w:left w:val="single" w:sz="6" w:space="0" w:color="000000"/>
              <w:bottom w:val="single" w:sz="6" w:space="0" w:color="000000"/>
              <w:right w:val="single" w:sz="6" w:space="0" w:color="000000"/>
            </w:tcBorders>
            <w:shd w:val="clear" w:color="auto" w:fill="D2D2D2"/>
          </w:tcPr>
          <w:p>
            <w:pPr/>
          </w:p>
        </w:tc>
        <w:tc>
          <w:tcPr>
            <w:tcW w:w="356" w:type="dxa"/>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1524" w:type="dxa"/>
            <w:vMerge/>
            <w:tcBorders>
              <w:left w:val="single" w:sz="6" w:space="0" w:color="000000"/>
              <w:bottom w:val="single" w:sz="6" w:space="0" w:color="000000"/>
              <w:right w:val="single" w:sz="12" w:space="0" w:color="000000"/>
            </w:tcBorders>
            <w:shd w:val="clear" w:color="auto" w:fill="D2D2D2"/>
          </w:tcPr>
          <w:p>
            <w:pPr/>
          </w:p>
        </w:tc>
      </w:tr>
      <w:tr>
        <w:trPr>
          <w:trHeight w:val="640" w:hRule="exact"/>
        </w:trPr>
        <w:tc>
          <w:tcPr>
            <w:tcW w:w="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6" w:right="95"/>
              <w:jc w:val="left"/>
              <w:rPr>
                <w:rFonts w:ascii="宋体" w:hAnsi="宋体" w:cs="宋体" w:eastAsia="宋体" w:hint="default"/>
                <w:sz w:val="18"/>
                <w:szCs w:val="18"/>
              </w:rPr>
            </w:pPr>
            <w:r>
              <w:rPr>
                <w:rFonts w:ascii="宋体" w:hAnsi="宋体" w:cs="宋体" w:eastAsia="宋体" w:hint="default"/>
                <w:sz w:val="18"/>
                <w:szCs w:val="18"/>
              </w:rPr>
              <w:t>一、上年 期末余额</w:t>
            </w:r>
          </w:p>
        </w:tc>
        <w:tc>
          <w:tcPr>
            <w:tcW w:w="1418"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left"/>
              <w:rPr>
                <w:rFonts w:ascii="宋体" w:hAnsi="宋体" w:cs="宋体" w:eastAsia="宋体" w:hint="default"/>
                <w:sz w:val="18"/>
                <w:szCs w:val="18"/>
              </w:rPr>
            </w:pPr>
            <w:r>
              <w:rPr>
                <w:rFonts w:ascii="宋体"/>
                <w:sz w:val="18"/>
              </w:rPr>
              <w:t>130,005,000.00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363,890,702.61</w:t>
            </w: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2" w:right="0"/>
              <w:jc w:val="left"/>
              <w:rPr>
                <w:rFonts w:ascii="宋体" w:hAnsi="宋体" w:cs="宋体" w:eastAsia="宋体" w:hint="default"/>
                <w:sz w:val="18"/>
                <w:szCs w:val="18"/>
              </w:rPr>
            </w:pPr>
            <w:r>
              <w:rPr>
                <w:rFonts w:ascii="宋体"/>
                <w:sz w:val="18"/>
              </w:rPr>
              <w:t>17,728,817.66</w:t>
            </w: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167,389,661.85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2" w:right="0"/>
              <w:jc w:val="left"/>
              <w:rPr>
                <w:rFonts w:ascii="宋体" w:hAnsi="宋体" w:cs="宋体" w:eastAsia="宋体" w:hint="default"/>
                <w:sz w:val="18"/>
                <w:szCs w:val="18"/>
              </w:rPr>
            </w:pPr>
            <w:r>
              <w:rPr>
                <w:rFonts w:ascii="宋体"/>
                <w:sz w:val="18"/>
              </w:rPr>
              <w:t>9,544,720.69</w:t>
            </w:r>
          </w:p>
        </w:tc>
        <w:tc>
          <w:tcPr>
            <w:tcW w:w="15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7" w:right="0"/>
              <w:jc w:val="left"/>
              <w:rPr>
                <w:rFonts w:ascii="宋体" w:hAnsi="宋体" w:cs="宋体" w:eastAsia="宋体" w:hint="default"/>
                <w:sz w:val="18"/>
                <w:szCs w:val="18"/>
              </w:rPr>
            </w:pPr>
            <w:r>
              <w:rPr>
                <w:rFonts w:ascii="宋体"/>
                <w:sz w:val="18"/>
              </w:rPr>
              <w:t>688,558,902.81</w:t>
            </w:r>
          </w:p>
        </w:tc>
      </w:tr>
      <w:tr>
        <w:trPr>
          <w:trHeight w:val="950" w:hRule="exact"/>
        </w:trPr>
        <w:tc>
          <w:tcPr>
            <w:tcW w:w="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6" w:right="95" w:firstLine="360"/>
              <w:jc w:val="both"/>
              <w:rPr>
                <w:rFonts w:ascii="宋体" w:hAnsi="宋体" w:cs="宋体" w:eastAsia="宋体" w:hint="default"/>
                <w:sz w:val="18"/>
                <w:szCs w:val="18"/>
              </w:rPr>
            </w:pPr>
            <w:r>
              <w:rPr>
                <w:rFonts w:ascii="宋体" w:hAnsi="宋体" w:cs="宋体" w:eastAsia="宋体" w:hint="default"/>
                <w:sz w:val="18"/>
                <w:szCs w:val="18"/>
              </w:rPr>
              <w:t>加： 会计政策 变更</w:t>
            </w:r>
          </w:p>
        </w:tc>
        <w:tc>
          <w:tcPr>
            <w:tcW w:w="1418" w:type="dxa"/>
            <w:tcBorders>
              <w:top w:val="single" w:sz="6" w:space="0" w:color="000000"/>
              <w:left w:val="single" w:sz="8"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84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11"/>
              <w:ind w:left="6" w:right="95"/>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1418" w:type="dxa"/>
            <w:tcBorders>
              <w:top w:val="single" w:sz="6" w:space="0" w:color="000000"/>
              <w:left w:val="single" w:sz="8" w:space="0" w:color="D2D2D2"/>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12" w:space="0" w:color="000000"/>
            </w:tcBorders>
          </w:tcPr>
          <w:p>
            <w:pPr/>
          </w:p>
        </w:tc>
      </w:tr>
      <w:tr>
        <w:trPr>
          <w:trHeight w:val="958" w:hRule="exact"/>
        </w:trPr>
        <w:tc>
          <w:tcPr>
            <w:tcW w:w="84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10"/>
              <w:ind w:left="6" w:right="95"/>
              <w:jc w:val="both"/>
              <w:rPr>
                <w:rFonts w:ascii="宋体" w:hAnsi="宋体" w:cs="宋体" w:eastAsia="宋体" w:hint="default"/>
                <w:sz w:val="18"/>
                <w:szCs w:val="18"/>
              </w:rPr>
            </w:pPr>
            <w:r>
              <w:rPr>
                <w:rFonts w:ascii="宋体" w:hAnsi="宋体" w:cs="宋体" w:eastAsia="宋体" w:hint="default"/>
                <w:sz w:val="18"/>
                <w:szCs w:val="18"/>
              </w:rPr>
              <w:t>同一控制 下企业合 并</w:t>
            </w:r>
          </w:p>
        </w:tc>
        <w:tc>
          <w:tcPr>
            <w:tcW w:w="1418" w:type="dxa"/>
            <w:tcBorders>
              <w:top w:val="single" w:sz="6" w:space="0" w:color="000000"/>
              <w:left w:val="single" w:sz="8" w:space="0" w:color="D2D2D2"/>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
        </w:tc>
        <w:tc>
          <w:tcPr>
            <w:tcW w:w="285"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
        </w:tc>
        <w:tc>
          <w:tcPr>
            <w:tcW w:w="356"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1524"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140" w:right="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851"/>
        <w:gridCol w:w="1418"/>
        <w:gridCol w:w="284"/>
        <w:gridCol w:w="283"/>
        <w:gridCol w:w="283"/>
        <w:gridCol w:w="1417"/>
        <w:gridCol w:w="285"/>
        <w:gridCol w:w="283"/>
        <w:gridCol w:w="283"/>
        <w:gridCol w:w="1417"/>
        <w:gridCol w:w="356"/>
        <w:gridCol w:w="1418"/>
        <w:gridCol w:w="1277"/>
        <w:gridCol w:w="1524"/>
      </w:tblGrid>
      <w:tr>
        <w:trPr>
          <w:trHeight w:val="334" w:hRule="exact"/>
        </w:trPr>
        <w:tc>
          <w:tcPr>
            <w:tcW w:w="8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12" w:space="0" w:color="000000"/>
              <w:left w:val="single" w:sz="6" w:space="0" w:color="000000"/>
              <w:bottom w:val="single" w:sz="6" w:space="0" w:color="000000"/>
              <w:right w:val="single" w:sz="6" w:space="0" w:color="000000"/>
            </w:tcBorders>
          </w:tcPr>
          <w:p>
            <w:pPr/>
          </w:p>
        </w:tc>
        <w:tc>
          <w:tcPr>
            <w:tcW w:w="284"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6" w:space="0" w:color="000000"/>
            </w:tcBorders>
          </w:tcPr>
          <w:p>
            <w:pPr/>
          </w:p>
        </w:tc>
        <w:tc>
          <w:tcPr>
            <w:tcW w:w="285"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6" w:space="0" w:color="000000"/>
            </w:tcBorders>
          </w:tcPr>
          <w:p>
            <w:pPr/>
          </w:p>
        </w:tc>
        <w:tc>
          <w:tcPr>
            <w:tcW w:w="356"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1524" w:type="dxa"/>
            <w:tcBorders>
              <w:top w:val="single" w:sz="12" w:space="0" w:color="000000"/>
              <w:left w:val="single" w:sz="6" w:space="0" w:color="000000"/>
              <w:bottom w:val="single" w:sz="6" w:space="0" w:color="000000"/>
              <w:right w:val="single" w:sz="12" w:space="0" w:color="000000"/>
            </w:tcBorders>
          </w:tcPr>
          <w:p>
            <w:pPr/>
          </w:p>
        </w:tc>
      </w:tr>
      <w:tr>
        <w:trPr>
          <w:trHeight w:val="63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95"/>
              <w:jc w:val="left"/>
              <w:rPr>
                <w:rFonts w:ascii="宋体" w:hAnsi="宋体" w:cs="宋体" w:eastAsia="宋体" w:hint="default"/>
                <w:sz w:val="18"/>
                <w:szCs w:val="18"/>
              </w:rPr>
            </w:pPr>
            <w:r>
              <w:rPr>
                <w:rFonts w:ascii="宋体" w:hAnsi="宋体" w:cs="宋体" w:eastAsia="宋体" w:hint="default"/>
                <w:sz w:val="18"/>
                <w:szCs w:val="18"/>
              </w:rPr>
              <w:t>二、本年 期初余额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130,005,000.00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363,890,702.61</w:t>
            </w: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17,728,817.66</w:t>
            </w: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center"/>
              <w:rPr>
                <w:rFonts w:ascii="宋体" w:hAnsi="宋体" w:cs="宋体" w:eastAsia="宋体" w:hint="default"/>
                <w:sz w:val="18"/>
                <w:szCs w:val="18"/>
              </w:rPr>
            </w:pPr>
            <w:r>
              <w:rPr>
                <w:rFonts w:ascii="宋体"/>
                <w:sz w:val="18"/>
              </w:rPr>
              <w:t>167,389,661.85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9,544,720.69</w:t>
            </w:r>
          </w:p>
        </w:tc>
        <w:tc>
          <w:tcPr>
            <w:tcW w:w="15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688,558,902.81</w:t>
            </w:r>
          </w:p>
        </w:tc>
      </w:tr>
      <w:tr>
        <w:trPr>
          <w:trHeight w:val="188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95"/>
              <w:jc w:val="left"/>
              <w:rPr>
                <w:rFonts w:ascii="宋体" w:hAnsi="宋体" w:cs="宋体" w:eastAsia="宋体" w:hint="default"/>
                <w:sz w:val="18"/>
                <w:szCs w:val="18"/>
              </w:rPr>
            </w:pPr>
            <w:r>
              <w:rPr>
                <w:rFonts w:ascii="宋体" w:hAnsi="宋体" w:cs="宋体" w:eastAsia="宋体" w:hint="default"/>
                <w:sz w:val="18"/>
                <w:szCs w:val="18"/>
              </w:rPr>
              <w:t>三、本期 增减变动 金额（减 少以 “－”号 填列）</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31,216,848.00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562,992,299.85</w:t>
            </w: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2,694,609.04</w:t>
            </w: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91" w:right="0"/>
              <w:jc w:val="center"/>
              <w:rPr>
                <w:rFonts w:ascii="宋体" w:hAnsi="宋体" w:cs="宋体" w:eastAsia="宋体" w:hint="default"/>
                <w:sz w:val="18"/>
                <w:szCs w:val="18"/>
              </w:rPr>
            </w:pPr>
            <w:r>
              <w:rPr>
                <w:rFonts w:ascii="宋体"/>
                <w:sz w:val="18"/>
              </w:rPr>
              <w:t>20,235,843.50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69,541,307.73</w:t>
            </w:r>
          </w:p>
        </w:tc>
        <w:tc>
          <w:tcPr>
            <w:tcW w:w="15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686,680,908.12</w:t>
            </w:r>
          </w:p>
        </w:tc>
      </w:tr>
      <w:tr>
        <w:trPr>
          <w:trHeight w:val="95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95"/>
              <w:jc w:val="both"/>
              <w:rPr>
                <w:rFonts w:ascii="宋体" w:hAnsi="宋体" w:cs="宋体" w:eastAsia="宋体" w:hint="default"/>
                <w:sz w:val="18"/>
                <w:szCs w:val="18"/>
              </w:rPr>
            </w:pPr>
            <w:r>
              <w:rPr>
                <w:rFonts w:ascii="宋体" w:hAnsi="宋体" w:cs="宋体" w:eastAsia="宋体" w:hint="default"/>
                <w:sz w:val="18"/>
                <w:szCs w:val="18"/>
              </w:rPr>
              <w:t>（一）综 合收益总 额</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91" w:right="0"/>
              <w:jc w:val="center"/>
              <w:rPr>
                <w:rFonts w:ascii="宋体" w:hAnsi="宋体" w:cs="宋体" w:eastAsia="宋体" w:hint="default"/>
                <w:sz w:val="18"/>
                <w:szCs w:val="18"/>
              </w:rPr>
            </w:pPr>
            <w:r>
              <w:rPr>
                <w:rFonts w:ascii="宋体"/>
                <w:sz w:val="18"/>
              </w:rPr>
              <w:t>35,930,952.54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
              <w:jc w:val="right"/>
              <w:rPr>
                <w:rFonts w:ascii="宋体" w:hAnsi="宋体" w:cs="宋体" w:eastAsia="宋体" w:hint="default"/>
                <w:sz w:val="18"/>
                <w:szCs w:val="18"/>
              </w:rPr>
            </w:pPr>
            <w:r>
              <w:rPr>
                <w:rFonts w:ascii="宋体"/>
                <w:sz w:val="18"/>
              </w:rPr>
              <w:t>-6,587,417.04</w:t>
            </w:r>
          </w:p>
        </w:tc>
        <w:tc>
          <w:tcPr>
            <w:tcW w:w="15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1"/>
              <w:jc w:val="right"/>
              <w:rPr>
                <w:rFonts w:ascii="宋体" w:hAnsi="宋体" w:cs="宋体" w:eastAsia="宋体" w:hint="default"/>
                <w:sz w:val="18"/>
                <w:szCs w:val="18"/>
              </w:rPr>
            </w:pPr>
            <w:r>
              <w:rPr>
                <w:rFonts w:ascii="宋体"/>
                <w:sz w:val="18"/>
              </w:rPr>
              <w:t>29,343,535.50</w:t>
            </w:r>
          </w:p>
        </w:tc>
      </w:tr>
      <w:tr>
        <w:trPr>
          <w:trHeight w:val="126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95"/>
              <w:jc w:val="both"/>
              <w:rPr>
                <w:rFonts w:ascii="宋体" w:hAnsi="宋体" w:cs="宋体" w:eastAsia="宋体" w:hint="default"/>
                <w:sz w:val="18"/>
                <w:szCs w:val="18"/>
              </w:rPr>
            </w:pPr>
            <w:r>
              <w:rPr>
                <w:rFonts w:ascii="宋体" w:hAnsi="宋体" w:cs="宋体" w:eastAsia="宋体" w:hint="default"/>
                <w:sz w:val="18"/>
                <w:szCs w:val="18"/>
              </w:rPr>
              <w:t>（二）所 有者投入 和减少资 本</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宋体" w:hAnsi="宋体" w:cs="宋体" w:eastAsia="宋体" w:hint="default"/>
                <w:sz w:val="18"/>
                <w:szCs w:val="18"/>
              </w:rPr>
            </w:pPr>
            <w:r>
              <w:rPr>
                <w:rFonts w:ascii="宋体"/>
                <w:sz w:val="18"/>
              </w:rPr>
              <w:t>31,216,848.00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宋体" w:hAnsi="宋体" w:cs="宋体" w:eastAsia="宋体" w:hint="default"/>
                <w:sz w:val="18"/>
                <w:szCs w:val="18"/>
              </w:rPr>
            </w:pPr>
            <w:r>
              <w:rPr>
                <w:rFonts w:ascii="宋体"/>
                <w:sz w:val="18"/>
              </w:rPr>
              <w:t>555,710,128.16</w:t>
            </w: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宋体" w:hAnsi="宋体" w:cs="宋体" w:eastAsia="宋体" w:hint="default"/>
                <w:sz w:val="18"/>
                <w:szCs w:val="18"/>
              </w:rPr>
            </w:pPr>
            <w:r>
              <w:rPr>
                <w:rFonts w:ascii="宋体"/>
                <w:sz w:val="18"/>
              </w:rPr>
              <w:t>76,128,724.77</w:t>
            </w:r>
          </w:p>
        </w:tc>
        <w:tc>
          <w:tcPr>
            <w:tcW w:w="15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663,055,700.93</w:t>
            </w:r>
          </w:p>
        </w:tc>
      </w:tr>
      <w:tr>
        <w:trPr>
          <w:trHeight w:val="95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．股东投</w:t>
            </w:r>
            <w:r>
              <w:rPr>
                <w:rFonts w:ascii="宋体" w:hAnsi="宋体" w:cs="宋体" w:eastAsia="宋体" w:hint="default"/>
                <w:sz w:val="18"/>
                <w:szCs w:val="18"/>
              </w:rPr>
              <w:t> 入的普通 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
              <w:jc w:val="right"/>
              <w:rPr>
                <w:rFonts w:ascii="宋体" w:hAnsi="宋体" w:cs="宋体" w:eastAsia="宋体" w:hint="default"/>
                <w:sz w:val="18"/>
                <w:szCs w:val="18"/>
              </w:rPr>
            </w:pPr>
            <w:r>
              <w:rPr>
                <w:rFonts w:ascii="宋体"/>
                <w:sz w:val="18"/>
              </w:rPr>
              <w:t>31,216,848.00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
              <w:jc w:val="right"/>
              <w:rPr>
                <w:rFonts w:ascii="宋体" w:hAnsi="宋体" w:cs="宋体" w:eastAsia="宋体" w:hint="default"/>
                <w:sz w:val="18"/>
                <w:szCs w:val="18"/>
              </w:rPr>
            </w:pPr>
            <w:r>
              <w:rPr>
                <w:rFonts w:ascii="宋体"/>
                <w:sz w:val="18"/>
              </w:rPr>
              <w:t>555,710,128.16</w:t>
            </w: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
              <w:jc w:val="right"/>
              <w:rPr>
                <w:rFonts w:ascii="宋体" w:hAnsi="宋体" w:cs="宋体" w:eastAsia="宋体" w:hint="default"/>
                <w:sz w:val="18"/>
                <w:szCs w:val="18"/>
              </w:rPr>
            </w:pPr>
            <w:r>
              <w:rPr>
                <w:rFonts w:ascii="宋体"/>
                <w:sz w:val="18"/>
              </w:rPr>
              <w:t>79,715,304.98</w:t>
            </w:r>
          </w:p>
        </w:tc>
        <w:tc>
          <w:tcPr>
            <w:tcW w:w="15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1"/>
              <w:jc w:val="right"/>
              <w:rPr>
                <w:rFonts w:ascii="宋体" w:hAnsi="宋体" w:cs="宋体" w:eastAsia="宋体" w:hint="default"/>
                <w:sz w:val="18"/>
                <w:szCs w:val="18"/>
              </w:rPr>
            </w:pPr>
            <w:r>
              <w:rPr>
                <w:rFonts w:ascii="宋体"/>
                <w:sz w:val="18"/>
              </w:rPr>
              <w:t>666,642,281.14</w:t>
            </w:r>
          </w:p>
        </w:tc>
      </w:tr>
      <w:tr>
        <w:trPr>
          <w:trHeight w:val="126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w:t>
            </w:r>
            <w:r>
              <w:rPr>
                <w:rFonts w:ascii="宋体" w:hAnsi="宋体" w:cs="宋体" w:eastAsia="宋体" w:hint="default"/>
                <w:sz w:val="18"/>
                <w:szCs w:val="18"/>
              </w:rPr>
              <w:t> 益工具持 有者投入 资本</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12" w:space="0" w:color="000000"/>
            </w:tcBorders>
          </w:tcPr>
          <w:p>
            <w:pPr/>
          </w:p>
        </w:tc>
      </w:tr>
      <w:tr>
        <w:trPr>
          <w:trHeight w:val="1262"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w:t>
            </w:r>
            <w:r>
              <w:rPr>
                <w:rFonts w:ascii="宋体" w:hAnsi="宋体" w:cs="宋体" w:eastAsia="宋体" w:hint="default"/>
                <w:sz w:val="18"/>
                <w:szCs w:val="18"/>
              </w:rPr>
              <w:t> 付计入所 有者权益 的金额</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
              <w:jc w:val="right"/>
              <w:rPr>
                <w:rFonts w:ascii="宋体" w:hAnsi="宋体" w:cs="宋体" w:eastAsia="宋体" w:hint="default"/>
                <w:sz w:val="18"/>
                <w:szCs w:val="18"/>
              </w:rPr>
            </w:pPr>
            <w:r>
              <w:rPr>
                <w:rFonts w:ascii="宋体"/>
                <w:sz w:val="18"/>
              </w:rPr>
              <w:t>-3,586,580.21</w:t>
            </w:r>
          </w:p>
        </w:tc>
        <w:tc>
          <w:tcPr>
            <w:tcW w:w="15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-3,586,580.21</w:t>
            </w:r>
          </w:p>
        </w:tc>
      </w:tr>
      <w:tr>
        <w:trPr>
          <w:trHeight w:val="63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95"/>
              <w:jc w:val="left"/>
              <w:rPr>
                <w:rFonts w:ascii="宋体" w:hAnsi="宋体" w:cs="宋体" w:eastAsia="宋体" w:hint="default"/>
                <w:sz w:val="18"/>
                <w:szCs w:val="18"/>
              </w:rPr>
            </w:pPr>
            <w:r>
              <w:rPr>
                <w:rFonts w:ascii="宋体" w:hAnsi="宋体" w:cs="宋体" w:eastAsia="宋体" w:hint="default"/>
                <w:sz w:val="18"/>
                <w:szCs w:val="18"/>
              </w:rPr>
              <w:t>（三）利 润分配</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2,694,609.04</w:t>
            </w: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center"/>
              <w:rPr>
                <w:rFonts w:ascii="宋体" w:hAnsi="宋体" w:cs="宋体" w:eastAsia="宋体" w:hint="default"/>
                <w:sz w:val="18"/>
                <w:szCs w:val="18"/>
              </w:rPr>
            </w:pPr>
            <w:r>
              <w:rPr>
                <w:rFonts w:ascii="宋体"/>
                <w:sz w:val="18"/>
              </w:rPr>
              <w:t>-15,695,109.04</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-13,000,500.00</w:t>
            </w:r>
          </w:p>
        </w:tc>
      </w:tr>
      <w:tr>
        <w:trPr>
          <w:trHeight w:val="64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．提取盈</w:t>
            </w:r>
            <w:r>
              <w:rPr>
                <w:rFonts w:ascii="宋体" w:hAnsi="宋体" w:cs="宋体" w:eastAsia="宋体" w:hint="default"/>
                <w:sz w:val="18"/>
                <w:szCs w:val="18"/>
              </w:rPr>
              <w:t> 余公积</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2,694,609.04</w:t>
            </w: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91" w:right="0"/>
              <w:jc w:val="center"/>
              <w:rPr>
                <w:rFonts w:ascii="宋体" w:hAnsi="宋体" w:cs="宋体" w:eastAsia="宋体" w:hint="default"/>
                <w:sz w:val="18"/>
                <w:szCs w:val="18"/>
              </w:rPr>
            </w:pPr>
            <w:r>
              <w:rPr>
                <w:rFonts w:ascii="宋体"/>
                <w:sz w:val="18"/>
              </w:rPr>
              <w:t>-2,694,609.04</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．提取一</w:t>
            </w:r>
            <w:r>
              <w:rPr>
                <w:rFonts w:ascii="宋体" w:hAnsi="宋体" w:cs="宋体" w:eastAsia="宋体" w:hint="default"/>
                <w:sz w:val="18"/>
                <w:szCs w:val="18"/>
              </w:rPr>
              <w:t> 般风险准 备</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12" w:space="0" w:color="000000"/>
            </w:tcBorders>
          </w:tcPr>
          <w:p>
            <w:pPr/>
          </w:p>
        </w:tc>
      </w:tr>
      <w:tr>
        <w:trPr>
          <w:trHeight w:val="126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．对所有</w:t>
            </w:r>
            <w:r>
              <w:rPr>
                <w:rFonts w:ascii="宋体" w:hAnsi="宋体" w:cs="宋体" w:eastAsia="宋体" w:hint="default"/>
                <w:sz w:val="18"/>
                <w:szCs w:val="18"/>
              </w:rPr>
              <w:t> 者（或股 东）的分 配</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1" w:right="0"/>
              <w:jc w:val="center"/>
              <w:rPr>
                <w:rFonts w:ascii="宋体" w:hAnsi="宋体" w:cs="宋体" w:eastAsia="宋体" w:hint="default"/>
                <w:sz w:val="18"/>
                <w:szCs w:val="18"/>
              </w:rPr>
            </w:pPr>
            <w:r>
              <w:rPr>
                <w:rFonts w:ascii="宋体"/>
                <w:sz w:val="18"/>
              </w:rPr>
              <w:t>-13,000,500.00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-13,000,500.00</w:t>
            </w:r>
          </w:p>
        </w:tc>
      </w:tr>
      <w:tr>
        <w:trPr>
          <w:trHeight w:val="327"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12" w:space="0" w:color="000000"/>
            </w:tcBorders>
          </w:tcPr>
          <w:p>
            <w:pPr/>
          </w:p>
        </w:tc>
      </w:tr>
      <w:tr>
        <w:trPr>
          <w:trHeight w:val="959" w:hRule="exact"/>
        </w:trPr>
        <w:tc>
          <w:tcPr>
            <w:tcW w:w="8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11"/>
              <w:ind w:left="13" w:right="95"/>
              <w:jc w:val="both"/>
              <w:rPr>
                <w:rFonts w:ascii="宋体" w:hAnsi="宋体" w:cs="宋体" w:eastAsia="宋体" w:hint="default"/>
                <w:sz w:val="18"/>
                <w:szCs w:val="18"/>
              </w:rPr>
            </w:pPr>
            <w:r>
              <w:rPr>
                <w:rFonts w:ascii="宋体" w:hAnsi="宋体" w:cs="宋体" w:eastAsia="宋体" w:hint="default"/>
                <w:sz w:val="18"/>
                <w:szCs w:val="18"/>
              </w:rPr>
              <w:t>（四）所 有者权益 内部结转</w:t>
            </w:r>
          </w:p>
        </w:tc>
        <w:tc>
          <w:tcPr>
            <w:tcW w:w="1418" w:type="dxa"/>
            <w:tcBorders>
              <w:top w:val="single" w:sz="6" w:space="0" w:color="000000"/>
              <w:left w:val="single" w:sz="6" w:space="0" w:color="000000"/>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
        </w:tc>
        <w:tc>
          <w:tcPr>
            <w:tcW w:w="285"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
        </w:tc>
        <w:tc>
          <w:tcPr>
            <w:tcW w:w="356"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1524"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140" w:right="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851"/>
        <w:gridCol w:w="1418"/>
        <w:gridCol w:w="284"/>
        <w:gridCol w:w="283"/>
        <w:gridCol w:w="283"/>
        <w:gridCol w:w="1417"/>
        <w:gridCol w:w="285"/>
        <w:gridCol w:w="283"/>
        <w:gridCol w:w="283"/>
        <w:gridCol w:w="1417"/>
        <w:gridCol w:w="356"/>
        <w:gridCol w:w="1418"/>
        <w:gridCol w:w="1277"/>
        <w:gridCol w:w="1524"/>
      </w:tblGrid>
      <w:tr>
        <w:trPr>
          <w:trHeight w:val="1270" w:hRule="exact"/>
        </w:trPr>
        <w:tc>
          <w:tcPr>
            <w:tcW w:w="8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w:t>
            </w:r>
            <w:r>
              <w:rPr>
                <w:rFonts w:ascii="宋体" w:hAnsi="宋体" w:cs="宋体" w:eastAsia="宋体" w:hint="default"/>
                <w:sz w:val="18"/>
                <w:szCs w:val="18"/>
              </w:rPr>
              <w:t> 积转增资 本（或股 本）</w:t>
            </w:r>
          </w:p>
        </w:tc>
        <w:tc>
          <w:tcPr>
            <w:tcW w:w="1418" w:type="dxa"/>
            <w:tcBorders>
              <w:top w:val="single" w:sz="12" w:space="0" w:color="000000"/>
              <w:left w:val="single" w:sz="6" w:space="0" w:color="000000"/>
              <w:bottom w:val="single" w:sz="6" w:space="0" w:color="000000"/>
              <w:right w:val="single" w:sz="6" w:space="0" w:color="000000"/>
            </w:tcBorders>
          </w:tcPr>
          <w:p>
            <w:pPr/>
          </w:p>
        </w:tc>
        <w:tc>
          <w:tcPr>
            <w:tcW w:w="284"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6" w:space="0" w:color="000000"/>
            </w:tcBorders>
          </w:tcPr>
          <w:p>
            <w:pPr/>
          </w:p>
        </w:tc>
        <w:tc>
          <w:tcPr>
            <w:tcW w:w="285"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6" w:space="0" w:color="000000"/>
            </w:tcBorders>
          </w:tcPr>
          <w:p>
            <w:pPr/>
          </w:p>
        </w:tc>
        <w:tc>
          <w:tcPr>
            <w:tcW w:w="356"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1524" w:type="dxa"/>
            <w:tcBorders>
              <w:top w:val="single" w:sz="12" w:space="0" w:color="000000"/>
              <w:left w:val="single" w:sz="6" w:space="0" w:color="000000"/>
              <w:bottom w:val="single" w:sz="6" w:space="0" w:color="000000"/>
              <w:right w:val="single" w:sz="12" w:space="0" w:color="000000"/>
            </w:tcBorders>
          </w:tcPr>
          <w:p>
            <w:pPr/>
          </w:p>
        </w:tc>
      </w:tr>
      <w:tr>
        <w:trPr>
          <w:trHeight w:val="1263"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w:t>
            </w:r>
            <w:r>
              <w:rPr>
                <w:rFonts w:ascii="宋体" w:hAnsi="宋体" w:cs="宋体" w:eastAsia="宋体" w:hint="default"/>
                <w:sz w:val="18"/>
                <w:szCs w:val="18"/>
              </w:rPr>
              <w:t> 积转增资 本（或股 本）</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12" w:space="0" w:color="000000"/>
            </w:tcBorders>
          </w:tcPr>
          <w:p>
            <w:pPr/>
          </w:p>
        </w:tc>
      </w:tr>
      <w:tr>
        <w:trPr>
          <w:trHeight w:val="952"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w:t>
            </w:r>
            <w:r>
              <w:rPr>
                <w:rFonts w:ascii="宋体" w:hAnsi="宋体" w:cs="宋体" w:eastAsia="宋体" w:hint="default"/>
                <w:sz w:val="18"/>
                <w:szCs w:val="18"/>
              </w:rPr>
              <w:t> 积弥补亏 损</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95"/>
              <w:jc w:val="left"/>
              <w:rPr>
                <w:rFonts w:ascii="宋体" w:hAnsi="宋体" w:cs="宋体" w:eastAsia="宋体" w:hint="default"/>
                <w:sz w:val="18"/>
                <w:szCs w:val="18"/>
              </w:rPr>
            </w:pPr>
            <w:r>
              <w:rPr>
                <w:rFonts w:ascii="宋体" w:hAnsi="宋体" w:cs="宋体" w:eastAsia="宋体" w:hint="default"/>
                <w:sz w:val="18"/>
                <w:szCs w:val="18"/>
              </w:rPr>
              <w:t>（五）专 项储备</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．本期提</w:t>
            </w:r>
            <w:r>
              <w:rPr>
                <w:rFonts w:ascii="宋体" w:hAnsi="宋体" w:cs="宋体" w:eastAsia="宋体" w:hint="default"/>
                <w:sz w:val="18"/>
                <w:szCs w:val="18"/>
              </w:rPr>
              <w:t> 取</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．本期使</w:t>
            </w:r>
            <w:r>
              <w:rPr>
                <w:rFonts w:ascii="宋体" w:hAnsi="宋体" w:cs="宋体" w:eastAsia="宋体" w:hint="default"/>
                <w:sz w:val="18"/>
                <w:szCs w:val="18"/>
              </w:rPr>
              <w:t> 用</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95"/>
              <w:jc w:val="left"/>
              <w:rPr>
                <w:rFonts w:ascii="宋体" w:hAnsi="宋体" w:cs="宋体" w:eastAsia="宋体" w:hint="default"/>
                <w:sz w:val="18"/>
                <w:szCs w:val="18"/>
              </w:rPr>
            </w:pPr>
            <w:r>
              <w:rPr>
                <w:rFonts w:ascii="宋体" w:hAnsi="宋体" w:cs="宋体" w:eastAsia="宋体" w:hint="default"/>
                <w:sz w:val="18"/>
                <w:szCs w:val="18"/>
              </w:rPr>
              <w:t>（六）其 他</w:t>
            </w: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7,282,171.69</w:t>
            </w:r>
          </w:p>
        </w:tc>
        <w:tc>
          <w:tcPr>
            <w:tcW w:w="285"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35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7,282,171.69</w:t>
            </w:r>
          </w:p>
        </w:tc>
      </w:tr>
      <w:tr>
        <w:trPr>
          <w:trHeight w:val="648" w:hRule="exact"/>
        </w:trPr>
        <w:tc>
          <w:tcPr>
            <w:tcW w:w="8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11"/>
              <w:ind w:left="13" w:right="95"/>
              <w:jc w:val="left"/>
              <w:rPr>
                <w:rFonts w:ascii="宋体" w:hAnsi="宋体" w:cs="宋体" w:eastAsia="宋体" w:hint="default"/>
                <w:sz w:val="18"/>
                <w:szCs w:val="18"/>
              </w:rPr>
            </w:pPr>
            <w:r>
              <w:rPr>
                <w:rFonts w:ascii="宋体" w:hAnsi="宋体" w:cs="宋体" w:eastAsia="宋体" w:hint="default"/>
                <w:sz w:val="18"/>
                <w:szCs w:val="18"/>
              </w:rPr>
              <w:t>四、本期 期末余额</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161,221,848.00</w:t>
            </w: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926,883,002.46</w:t>
            </w:r>
          </w:p>
        </w:tc>
        <w:tc>
          <w:tcPr>
            <w:tcW w:w="285"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12" w:right="0"/>
              <w:jc w:val="left"/>
              <w:rPr>
                <w:rFonts w:ascii="宋体" w:hAnsi="宋体" w:cs="宋体" w:eastAsia="宋体" w:hint="default"/>
                <w:sz w:val="18"/>
                <w:szCs w:val="18"/>
              </w:rPr>
            </w:pPr>
            <w:r>
              <w:rPr>
                <w:rFonts w:ascii="宋体"/>
                <w:sz w:val="18"/>
              </w:rPr>
              <w:t>20,423,426.70</w:t>
            </w:r>
          </w:p>
        </w:tc>
        <w:tc>
          <w:tcPr>
            <w:tcW w:w="356"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187,625,505.35</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72" w:right="0"/>
              <w:jc w:val="left"/>
              <w:rPr>
                <w:rFonts w:ascii="宋体" w:hAnsi="宋体" w:cs="宋体" w:eastAsia="宋体" w:hint="default"/>
                <w:sz w:val="18"/>
                <w:szCs w:val="18"/>
              </w:rPr>
            </w:pPr>
            <w:r>
              <w:rPr>
                <w:rFonts w:ascii="宋体"/>
                <w:sz w:val="18"/>
              </w:rPr>
              <w:t>79,086,028.42</w:t>
            </w:r>
          </w:p>
        </w:tc>
        <w:tc>
          <w:tcPr>
            <w:tcW w:w="152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1,375,239,810.93</w:t>
            </w:r>
          </w:p>
        </w:tc>
      </w:tr>
    </w:tbl>
    <w:p>
      <w:pPr>
        <w:tabs>
          <w:tab w:pos="9635" w:val="left" w:leader="none"/>
        </w:tabs>
        <w:spacing w:before="51"/>
        <w:ind w:left="994" w:right="0" w:firstLine="0"/>
        <w:jc w:val="left"/>
        <w:rPr>
          <w:rFonts w:ascii="宋体" w:hAnsi="宋体" w:cs="宋体" w:eastAsia="宋体" w:hint="default"/>
          <w:sz w:val="18"/>
          <w:szCs w:val="18"/>
        </w:rPr>
      </w:pPr>
      <w:r>
        <w:rPr>
          <w:rFonts w:ascii="宋体" w:hAnsi="宋体" w:cs="宋体" w:eastAsia="宋体" w:hint="default"/>
          <w:sz w:val="18"/>
          <w:szCs w:val="18"/>
        </w:rPr>
        <w:t>上期金额</w:t>
        <w:tab/>
        <w:t>单位：元</w:t>
      </w:r>
    </w:p>
    <w:p>
      <w:pPr>
        <w:spacing w:line="240" w:lineRule="auto" w:before="1"/>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851"/>
        <w:gridCol w:w="1419"/>
        <w:gridCol w:w="260"/>
        <w:gridCol w:w="306"/>
        <w:gridCol w:w="283"/>
        <w:gridCol w:w="1418"/>
        <w:gridCol w:w="284"/>
        <w:gridCol w:w="283"/>
        <w:gridCol w:w="283"/>
        <w:gridCol w:w="1418"/>
        <w:gridCol w:w="425"/>
        <w:gridCol w:w="1419"/>
        <w:gridCol w:w="1274"/>
        <w:gridCol w:w="1418"/>
      </w:tblGrid>
      <w:tr>
        <w:trPr>
          <w:trHeight w:val="335" w:hRule="exact"/>
        </w:trPr>
        <w:tc>
          <w:tcPr>
            <w:tcW w:w="851" w:type="dxa"/>
            <w:vMerge w:val="restart"/>
            <w:tcBorders>
              <w:top w:val="single" w:sz="12" w:space="0" w:color="000000"/>
              <w:left w:val="single" w:sz="12" w:space="0" w:color="000000"/>
              <w:right w:val="single" w:sz="6" w:space="0" w:color="000000"/>
            </w:tcBorders>
            <w:shd w:val="clear" w:color="auto" w:fill="D2D2D2"/>
          </w:tcPr>
          <w:p>
            <w:pPr/>
          </w:p>
        </w:tc>
        <w:tc>
          <w:tcPr>
            <w:tcW w:w="10491" w:type="dxa"/>
            <w:gridSpan w:val="1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851" w:type="dxa"/>
            <w:vMerge/>
            <w:tcBorders>
              <w:left w:val="single" w:sz="12" w:space="0" w:color="000000"/>
              <w:right w:val="single" w:sz="6" w:space="0" w:color="000000"/>
            </w:tcBorders>
            <w:shd w:val="clear" w:color="auto" w:fill="D2D2D2"/>
          </w:tcPr>
          <w:p>
            <w:pPr/>
          </w:p>
        </w:tc>
        <w:tc>
          <w:tcPr>
            <w:tcW w:w="7799"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4" w:type="dxa"/>
            <w:vMerge w:val="restart"/>
            <w:tcBorders>
              <w:top w:val="single" w:sz="6" w:space="0" w:color="000000"/>
              <w:left w:val="single" w:sz="6" w:space="0" w:color="000000"/>
              <w:right w:val="single" w:sz="6" w:space="0" w:color="000000"/>
            </w:tcBorders>
            <w:shd w:val="clear" w:color="auto" w:fill="D2D2D2"/>
          </w:tcPr>
          <w:p>
            <w:pPr/>
          </w:p>
        </w:tc>
        <w:tc>
          <w:tcPr>
            <w:tcW w:w="1418" w:type="dxa"/>
            <w:vMerge w:val="restart"/>
            <w:tcBorders>
              <w:top w:val="single" w:sz="6" w:space="0" w:color="000000"/>
              <w:left w:val="single" w:sz="6" w:space="0" w:color="000000"/>
              <w:right w:val="single" w:sz="12" w:space="0" w:color="000000"/>
            </w:tcBorders>
            <w:shd w:val="clear" w:color="auto" w:fill="D2D2D2"/>
          </w:tcPr>
          <w:p>
            <w:pPr/>
          </w:p>
        </w:tc>
      </w:tr>
      <w:tr>
        <w:trPr>
          <w:trHeight w:val="164" w:hRule="exact"/>
        </w:trPr>
        <w:tc>
          <w:tcPr>
            <w:tcW w:w="851" w:type="dxa"/>
            <w:vMerge/>
            <w:tcBorders>
              <w:left w:val="single" w:sz="12" w:space="0" w:color="000000"/>
              <w:right w:val="single" w:sz="6" w:space="0" w:color="000000"/>
            </w:tcBorders>
            <w:shd w:val="clear" w:color="auto" w:fill="D2D2D2"/>
          </w:tcPr>
          <w:p>
            <w:pPr/>
          </w:p>
        </w:tc>
        <w:tc>
          <w:tcPr>
            <w:tcW w:w="1419" w:type="dxa"/>
            <w:vMerge w:val="restart"/>
            <w:tcBorders>
              <w:top w:val="single" w:sz="6" w:space="0" w:color="000000"/>
              <w:left w:val="single" w:sz="6" w:space="0" w:color="000000"/>
              <w:right w:val="single" w:sz="6" w:space="0" w:color="000000"/>
            </w:tcBorders>
            <w:shd w:val="clear" w:color="auto" w:fill="D2D2D2"/>
          </w:tcPr>
          <w:p>
            <w:pPr/>
          </w:p>
        </w:tc>
        <w:tc>
          <w:tcPr>
            <w:tcW w:w="850"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1"/>
              <w:ind w:left="237" w:right="55"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418" w:type="dxa"/>
            <w:vMerge w:val="restart"/>
            <w:tcBorders>
              <w:top w:val="single" w:sz="6" w:space="0" w:color="000000"/>
              <w:left w:val="single" w:sz="6" w:space="0" w:color="000000"/>
              <w:right w:val="single" w:sz="6" w:space="0" w:color="000000"/>
            </w:tcBorders>
            <w:shd w:val="clear" w:color="auto" w:fill="D2D2D2"/>
          </w:tcPr>
          <w:p>
            <w:pPr/>
          </w:p>
        </w:tc>
        <w:tc>
          <w:tcPr>
            <w:tcW w:w="284" w:type="dxa"/>
            <w:tcBorders>
              <w:top w:val="single" w:sz="6" w:space="0" w:color="000000"/>
              <w:left w:val="single" w:sz="6" w:space="0" w:color="000000"/>
              <w:bottom w:val="nil" w:sz="6" w:space="0" w:color="auto"/>
              <w:right w:val="single" w:sz="6" w:space="0" w:color="000000"/>
            </w:tcBorders>
            <w:shd w:val="clear" w:color="auto" w:fill="D2D2D2"/>
          </w:tcPr>
          <w:p>
            <w:pP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1"/>
              <w:ind w:left="44" w:right="42"/>
              <w:jc w:val="both"/>
              <w:rPr>
                <w:rFonts w:ascii="宋体" w:hAnsi="宋体" w:cs="宋体" w:eastAsia="宋体" w:hint="default"/>
                <w:sz w:val="18"/>
                <w:szCs w:val="18"/>
              </w:rPr>
            </w:pPr>
            <w:r>
              <w:rPr>
                <w:rFonts w:ascii="宋体" w:hAnsi="宋体" w:cs="宋体" w:eastAsia="宋体" w:hint="default"/>
                <w:sz w:val="18"/>
                <w:szCs w:val="18"/>
              </w:rPr>
              <w:t>其 他 综 合 收 益</w:t>
            </w:r>
          </w:p>
        </w:tc>
        <w:tc>
          <w:tcPr>
            <w:tcW w:w="283" w:type="dxa"/>
            <w:vMerge w:val="restart"/>
            <w:tcBorders>
              <w:top w:val="single" w:sz="6" w:space="0" w:color="000000"/>
              <w:left w:val="single" w:sz="6" w:space="0" w:color="000000"/>
              <w:right w:val="single" w:sz="6" w:space="0" w:color="000000"/>
            </w:tcBorders>
            <w:shd w:val="clear" w:color="auto" w:fill="D2D2D2"/>
          </w:tcPr>
          <w:p>
            <w:pPr/>
          </w:p>
        </w:tc>
        <w:tc>
          <w:tcPr>
            <w:tcW w:w="1418" w:type="dxa"/>
            <w:vMerge w:val="restart"/>
            <w:tcBorders>
              <w:top w:val="single" w:sz="6" w:space="0" w:color="000000"/>
              <w:left w:val="single" w:sz="6" w:space="0" w:color="000000"/>
              <w:right w:val="single" w:sz="6" w:space="0" w:color="000000"/>
            </w:tcBorders>
            <w:shd w:val="clear" w:color="auto" w:fill="D2D2D2"/>
          </w:tcPr>
          <w:p>
            <w:pPr/>
          </w:p>
        </w:tc>
        <w:tc>
          <w:tcPr>
            <w:tcW w:w="425" w:type="dxa"/>
            <w:vMerge w:val="restart"/>
            <w:tcBorders>
              <w:top w:val="single" w:sz="6" w:space="0" w:color="000000"/>
              <w:left w:val="single" w:sz="6" w:space="0" w:color="000000"/>
              <w:right w:val="single" w:sz="6" w:space="0" w:color="000000"/>
            </w:tcBorders>
            <w:shd w:val="clear" w:color="auto" w:fill="D2D2D2"/>
          </w:tcPr>
          <w:p>
            <w:pPr/>
          </w:p>
        </w:tc>
        <w:tc>
          <w:tcPr>
            <w:tcW w:w="1419" w:type="dxa"/>
            <w:vMerge w:val="restart"/>
            <w:tcBorders>
              <w:top w:val="single" w:sz="6" w:space="0" w:color="000000"/>
              <w:left w:val="single" w:sz="6" w:space="0" w:color="000000"/>
              <w:right w:val="single" w:sz="6" w:space="0" w:color="000000"/>
            </w:tcBorders>
            <w:shd w:val="clear" w:color="auto" w:fill="D2D2D2"/>
          </w:tcPr>
          <w:p>
            <w:pPr/>
          </w:p>
        </w:tc>
        <w:tc>
          <w:tcPr>
            <w:tcW w:w="1274"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12" w:space="0" w:color="000000"/>
            </w:tcBorders>
            <w:shd w:val="clear" w:color="auto" w:fill="D2D2D2"/>
          </w:tcPr>
          <w:p>
            <w:pPr/>
          </w:p>
        </w:tc>
      </w:tr>
      <w:tr>
        <w:trPr>
          <w:trHeight w:val="156" w:hRule="exact"/>
        </w:trPr>
        <w:tc>
          <w:tcPr>
            <w:tcW w:w="851" w:type="dxa"/>
            <w:vMerge/>
            <w:tcBorders>
              <w:left w:val="single" w:sz="12" w:space="0" w:color="000000"/>
              <w:right w:val="single" w:sz="6" w:space="0" w:color="000000"/>
            </w:tcBorders>
            <w:shd w:val="clear" w:color="auto" w:fill="D2D2D2"/>
          </w:tcPr>
          <w:p>
            <w:pPr/>
          </w:p>
        </w:tc>
        <w:tc>
          <w:tcPr>
            <w:tcW w:w="1419" w:type="dxa"/>
            <w:vMerge/>
            <w:tcBorders>
              <w:left w:val="single" w:sz="6" w:space="0" w:color="000000"/>
              <w:right w:val="single" w:sz="6" w:space="0" w:color="000000"/>
            </w:tcBorders>
            <w:shd w:val="clear" w:color="auto" w:fill="D2D2D2"/>
          </w:tcPr>
          <w:p>
            <w:pPr/>
          </w:p>
        </w:tc>
        <w:tc>
          <w:tcPr>
            <w:tcW w:w="850" w:type="dxa"/>
            <w:gridSpan w:val="3"/>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2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4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316" w:lineRule="auto" w:before="76"/>
              <w:ind w:left="43" w:right="43"/>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bottom w:val="nil" w:sz="6" w:space="0" w:color="auto"/>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419" w:type="dxa"/>
            <w:vMerge/>
            <w:tcBorders>
              <w:left w:val="single" w:sz="6" w:space="0" w:color="000000"/>
              <w:right w:val="single" w:sz="6" w:space="0" w:color="000000"/>
            </w:tcBorders>
            <w:shd w:val="clear" w:color="auto" w:fill="D2D2D2"/>
          </w:tcPr>
          <w:p>
            <w:pPr/>
          </w:p>
        </w:tc>
        <w:tc>
          <w:tcPr>
            <w:tcW w:w="1274"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12" w:space="0" w:color="000000"/>
            </w:tcBorders>
            <w:shd w:val="clear" w:color="auto" w:fill="D2D2D2"/>
          </w:tcPr>
          <w:p>
            <w:pPr/>
          </w:p>
        </w:tc>
      </w:tr>
      <w:tr>
        <w:trPr>
          <w:trHeight w:val="148" w:hRule="exact"/>
        </w:trPr>
        <w:tc>
          <w:tcPr>
            <w:tcW w:w="851" w:type="dxa"/>
            <w:vMerge/>
            <w:tcBorders>
              <w:left w:val="single" w:sz="12" w:space="0" w:color="000000"/>
              <w:bottom w:val="nil" w:sz="6" w:space="0" w:color="auto"/>
              <w:right w:val="single" w:sz="6" w:space="0" w:color="000000"/>
            </w:tcBorders>
            <w:shd w:val="clear" w:color="auto" w:fill="D2D2D2"/>
          </w:tcPr>
          <w:p>
            <w:pPr/>
          </w:p>
        </w:tc>
        <w:tc>
          <w:tcPr>
            <w:tcW w:w="1419" w:type="dxa"/>
            <w:vMerge/>
            <w:tcBorders>
              <w:left w:val="single" w:sz="6" w:space="0" w:color="000000"/>
              <w:right w:val="single" w:sz="6" w:space="0" w:color="000000"/>
            </w:tcBorders>
            <w:shd w:val="clear" w:color="auto" w:fill="D2D2D2"/>
          </w:tcPr>
          <w:p>
            <w:pPr/>
          </w:p>
        </w:tc>
        <w:tc>
          <w:tcPr>
            <w:tcW w:w="850" w:type="dxa"/>
            <w:gridSpan w:val="3"/>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0"/>
              <w:ind w:left="44" w:right="42"/>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18" w:type="dxa"/>
            <w:vMerge/>
            <w:tcBorders>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419" w:type="dxa"/>
            <w:vMerge/>
            <w:tcBorders>
              <w:left w:val="single" w:sz="6" w:space="0" w:color="000000"/>
              <w:right w:val="single" w:sz="6" w:space="0" w:color="000000"/>
            </w:tcBorders>
            <w:shd w:val="clear" w:color="auto" w:fill="D2D2D2"/>
          </w:tcPr>
          <w:p>
            <w:pPr/>
          </w:p>
        </w:tc>
        <w:tc>
          <w:tcPr>
            <w:tcW w:w="1274"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12" w:space="0" w:color="000000"/>
            </w:tcBorders>
            <w:shd w:val="clear" w:color="auto" w:fill="D2D2D2"/>
          </w:tcPr>
          <w:p>
            <w:pPr/>
          </w:p>
        </w:tc>
      </w:tr>
      <w:tr>
        <w:trPr>
          <w:trHeight w:val="163" w:hRule="exact"/>
        </w:trPr>
        <w:tc>
          <w:tcPr>
            <w:tcW w:w="851"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2"/>
              <w:ind w:left="23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19" w:type="dxa"/>
            <w:vMerge/>
            <w:tcBorders>
              <w:left w:val="single" w:sz="6" w:space="0" w:color="000000"/>
              <w:right w:val="single" w:sz="6" w:space="0" w:color="000000"/>
            </w:tcBorders>
            <w:shd w:val="clear" w:color="auto" w:fill="D2D2D2"/>
          </w:tcPr>
          <w:p>
            <w:pPr/>
          </w:p>
        </w:tc>
        <w:tc>
          <w:tcPr>
            <w:tcW w:w="850" w:type="dxa"/>
            <w:gridSpan w:val="3"/>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8"/>
              <w:ind w:left="23" w:right="2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419" w:type="dxa"/>
            <w:vMerge/>
            <w:tcBorders>
              <w:left w:val="single" w:sz="6" w:space="0" w:color="000000"/>
              <w:right w:val="single" w:sz="6" w:space="0" w:color="000000"/>
            </w:tcBorders>
            <w:shd w:val="clear" w:color="auto" w:fill="D2D2D2"/>
          </w:tcPr>
          <w:p>
            <w:pPr/>
          </w:p>
        </w:tc>
        <w:tc>
          <w:tcPr>
            <w:tcW w:w="1274" w:type="dxa"/>
            <w:vMerge/>
            <w:tcBorders>
              <w:left w:val="single" w:sz="6" w:space="0" w:color="000000"/>
              <w:bottom w:val="nil" w:sz="6" w:space="0" w:color="auto"/>
              <w:right w:val="single" w:sz="6" w:space="0" w:color="000000"/>
            </w:tcBorders>
            <w:shd w:val="clear" w:color="auto" w:fill="D2D2D2"/>
          </w:tcPr>
          <w:p>
            <w:pPr/>
          </w:p>
        </w:tc>
        <w:tc>
          <w:tcPr>
            <w:tcW w:w="1418" w:type="dxa"/>
            <w:vMerge/>
            <w:tcBorders>
              <w:left w:val="single" w:sz="6" w:space="0" w:color="000000"/>
              <w:bottom w:val="nil" w:sz="6" w:space="0" w:color="auto"/>
              <w:right w:val="single" w:sz="12" w:space="0" w:color="000000"/>
            </w:tcBorders>
            <w:shd w:val="clear" w:color="auto" w:fill="D2D2D2"/>
          </w:tcPr>
          <w:p>
            <w:pPr/>
          </w:p>
        </w:tc>
      </w:tr>
      <w:tr>
        <w:trPr>
          <w:trHeight w:val="157" w:hRule="exact"/>
        </w:trPr>
        <w:tc>
          <w:tcPr>
            <w:tcW w:w="851" w:type="dxa"/>
            <w:vMerge/>
            <w:tcBorders>
              <w:left w:val="single" w:sz="12" w:space="0" w:color="000000"/>
              <w:bottom w:val="nil" w:sz="6" w:space="0" w:color="auto"/>
              <w:right w:val="single" w:sz="6" w:space="0" w:color="000000"/>
            </w:tcBorders>
            <w:shd w:val="clear" w:color="auto" w:fill="D2D2D2"/>
          </w:tcPr>
          <w:p>
            <w:pPr/>
          </w:p>
        </w:tc>
        <w:tc>
          <w:tcPr>
            <w:tcW w:w="1419" w:type="dxa"/>
            <w:vMerge/>
            <w:tcBorders>
              <w:left w:val="single" w:sz="6" w:space="0" w:color="000000"/>
              <w:bottom w:val="nil" w:sz="6" w:space="0" w:color="auto"/>
              <w:right w:val="single" w:sz="6" w:space="0" w:color="000000"/>
            </w:tcBorders>
            <w:shd w:val="clear" w:color="auto" w:fill="D2D2D2"/>
          </w:tcPr>
          <w:p>
            <w:pPr/>
          </w:p>
        </w:tc>
        <w:tc>
          <w:tcPr>
            <w:tcW w:w="260" w:type="dxa"/>
            <w:tcBorders>
              <w:top w:val="single" w:sz="6" w:space="0" w:color="000000"/>
              <w:left w:val="single" w:sz="6" w:space="0" w:color="000000"/>
              <w:bottom w:val="nil" w:sz="6" w:space="0" w:color="auto"/>
              <w:right w:val="single" w:sz="6" w:space="0" w:color="000000"/>
            </w:tcBorders>
            <w:shd w:val="clear" w:color="auto" w:fill="D2D2D2"/>
          </w:tcPr>
          <w:p>
            <w:pPr/>
          </w:p>
        </w:tc>
        <w:tc>
          <w:tcPr>
            <w:tcW w:w="306" w:type="dxa"/>
            <w:tcBorders>
              <w:top w:val="single" w:sz="6" w:space="0" w:color="000000"/>
              <w:left w:val="single" w:sz="6" w:space="0" w:color="000000"/>
              <w:bottom w:val="nil" w:sz="6" w:space="0" w:color="auto"/>
              <w:right w:val="single" w:sz="6" w:space="0" w:color="000000"/>
            </w:tcBorders>
            <w:shd w:val="clear" w:color="auto" w:fill="D2D2D2"/>
          </w:tcPr>
          <w:p>
            <w:pPr/>
          </w:p>
        </w:tc>
        <w:tc>
          <w:tcPr>
            <w:tcW w:w="283" w:type="dxa"/>
            <w:vMerge w:val="restart"/>
            <w:tcBorders>
              <w:top w:val="single" w:sz="6" w:space="0" w:color="000000"/>
              <w:left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419" w:type="dxa"/>
            <w:vMerge/>
            <w:tcBorders>
              <w:left w:val="single" w:sz="6" w:space="0" w:color="000000"/>
              <w:bottom w:val="nil" w:sz="6" w:space="0" w:color="auto"/>
              <w:right w:val="single" w:sz="6" w:space="0" w:color="000000"/>
            </w:tcBorders>
            <w:shd w:val="clear" w:color="auto" w:fill="D2D2D2"/>
          </w:tcPr>
          <w:p>
            <w:pPr/>
          </w:p>
        </w:tc>
        <w:tc>
          <w:tcPr>
            <w:tcW w:w="127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
              <w:ind w:left="9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8"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2"/>
              <w:ind w:left="7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55" w:hRule="exact"/>
        </w:trPr>
        <w:tc>
          <w:tcPr>
            <w:tcW w:w="851" w:type="dxa"/>
            <w:vMerge w:val="restart"/>
            <w:tcBorders>
              <w:top w:val="nil" w:sz="6" w:space="0" w:color="auto"/>
              <w:left w:val="single" w:sz="12" w:space="0" w:color="000000"/>
              <w:right w:val="single" w:sz="6" w:space="0" w:color="000000"/>
            </w:tcBorders>
            <w:shd w:val="clear" w:color="auto" w:fill="D2D2D2"/>
          </w:tcPr>
          <w:p>
            <w:pPr/>
          </w:p>
        </w:tc>
        <w:tc>
          <w:tcPr>
            <w:tcW w:w="141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60"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7"/>
              <w:ind w:left="32" w:right="3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06"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7"/>
              <w:ind w:left="56" w:right="5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vMerge/>
            <w:tcBorders>
              <w:left w:val="single" w:sz="6" w:space="0" w:color="000000"/>
              <w:bottom w:val="nil" w:sz="6" w:space="0" w:color="auto"/>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6" w:space="0" w:color="000000"/>
              <w:right w:val="single" w:sz="6" w:space="0" w:color="000000"/>
            </w:tcBorders>
            <w:shd w:val="clear" w:color="auto" w:fill="D2D2D2"/>
          </w:tcPr>
          <w:p>
            <w:pPr/>
          </w:p>
        </w:tc>
        <w:tc>
          <w:tcPr>
            <w:tcW w:w="141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25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vMerge/>
            <w:tcBorders>
              <w:left w:val="single" w:sz="6" w:space="0" w:color="000000"/>
              <w:bottom w:val="nil" w:sz="6" w:space="0" w:color="auto"/>
              <w:right w:val="single" w:sz="6" w:space="0" w:color="000000"/>
            </w:tcBorders>
            <w:shd w:val="clear" w:color="auto" w:fill="D2D2D2"/>
          </w:tcPr>
          <w:p>
            <w:pPr/>
          </w:p>
        </w:tc>
        <w:tc>
          <w:tcPr>
            <w:tcW w:w="1418" w:type="dxa"/>
            <w:vMerge/>
            <w:tcBorders>
              <w:left w:val="single" w:sz="6" w:space="0" w:color="000000"/>
              <w:bottom w:val="nil" w:sz="6" w:space="0" w:color="auto"/>
              <w:right w:val="single" w:sz="12" w:space="0" w:color="000000"/>
            </w:tcBorders>
            <w:shd w:val="clear" w:color="auto" w:fill="D2D2D2"/>
          </w:tcPr>
          <w:p>
            <w:pPr/>
          </w:p>
        </w:tc>
      </w:tr>
      <w:tr>
        <w:trPr>
          <w:trHeight w:val="157" w:hRule="exact"/>
        </w:trPr>
        <w:tc>
          <w:tcPr>
            <w:tcW w:w="851" w:type="dxa"/>
            <w:vMerge/>
            <w:tcBorders>
              <w:left w:val="single" w:sz="12" w:space="0" w:color="000000"/>
              <w:right w:val="single" w:sz="6" w:space="0" w:color="000000"/>
            </w:tcBorders>
            <w:shd w:val="clear" w:color="auto" w:fill="D2D2D2"/>
          </w:tcPr>
          <w:p>
            <w:pPr/>
          </w:p>
        </w:tc>
        <w:tc>
          <w:tcPr>
            <w:tcW w:w="1419" w:type="dxa"/>
            <w:vMerge/>
            <w:tcBorders>
              <w:left w:val="single" w:sz="6" w:space="0" w:color="000000"/>
              <w:bottom w:val="nil" w:sz="6" w:space="0" w:color="auto"/>
              <w:right w:val="single" w:sz="6" w:space="0" w:color="000000"/>
            </w:tcBorders>
            <w:shd w:val="clear" w:color="auto" w:fill="D2D2D2"/>
          </w:tcPr>
          <w:p>
            <w:pPr/>
          </w:p>
        </w:tc>
        <w:tc>
          <w:tcPr>
            <w:tcW w:w="260" w:type="dxa"/>
            <w:vMerge/>
            <w:tcBorders>
              <w:left w:val="single" w:sz="6" w:space="0" w:color="000000"/>
              <w:right w:val="single" w:sz="6" w:space="0" w:color="000000"/>
            </w:tcBorders>
            <w:shd w:val="clear" w:color="auto" w:fill="D2D2D2"/>
          </w:tcPr>
          <w:p>
            <w:pPr/>
          </w:p>
        </w:tc>
        <w:tc>
          <w:tcPr>
            <w:tcW w:w="306" w:type="dxa"/>
            <w:vMerge/>
            <w:tcBorders>
              <w:left w:val="single" w:sz="6" w:space="0" w:color="000000"/>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8"/>
              <w:ind w:left="44" w:right="42"/>
              <w:jc w:val="left"/>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tcBorders>
              <w:left w:val="single" w:sz="6" w:space="0" w:color="000000"/>
              <w:bottom w:val="nil" w:sz="6" w:space="0" w:color="auto"/>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419" w:type="dxa"/>
            <w:vMerge/>
            <w:tcBorders>
              <w:left w:val="single" w:sz="6" w:space="0" w:color="000000"/>
              <w:bottom w:val="nil" w:sz="6" w:space="0" w:color="auto"/>
              <w:right w:val="single" w:sz="6" w:space="0" w:color="000000"/>
            </w:tcBorders>
            <w:shd w:val="clear" w:color="auto" w:fill="D2D2D2"/>
          </w:tcPr>
          <w:p>
            <w:pPr/>
          </w:p>
        </w:tc>
        <w:tc>
          <w:tcPr>
            <w:tcW w:w="1274" w:type="dxa"/>
            <w:vMerge w:val="restart"/>
            <w:tcBorders>
              <w:top w:val="nil" w:sz="6" w:space="0" w:color="auto"/>
              <w:left w:val="single" w:sz="6"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12" w:space="0" w:color="000000"/>
            </w:tcBorders>
            <w:shd w:val="clear" w:color="auto" w:fill="D2D2D2"/>
          </w:tcPr>
          <w:p>
            <w:pPr/>
          </w:p>
        </w:tc>
      </w:tr>
      <w:tr>
        <w:trPr>
          <w:trHeight w:val="312" w:hRule="exact"/>
        </w:trPr>
        <w:tc>
          <w:tcPr>
            <w:tcW w:w="851" w:type="dxa"/>
            <w:vMerge/>
            <w:tcBorders>
              <w:left w:val="single" w:sz="12" w:space="0" w:color="000000"/>
              <w:right w:val="single" w:sz="6" w:space="0" w:color="000000"/>
            </w:tcBorders>
            <w:shd w:val="clear" w:color="auto" w:fill="D2D2D2"/>
          </w:tcPr>
          <w:p>
            <w:pPr/>
          </w:p>
        </w:tc>
        <w:tc>
          <w:tcPr>
            <w:tcW w:w="1419" w:type="dxa"/>
            <w:vMerge w:val="restart"/>
            <w:tcBorders>
              <w:top w:val="nil" w:sz="6" w:space="0" w:color="auto"/>
              <w:left w:val="single" w:sz="6" w:space="0" w:color="000000"/>
              <w:right w:val="single" w:sz="6" w:space="0" w:color="000000"/>
            </w:tcBorders>
            <w:shd w:val="clear" w:color="auto" w:fill="D2D2D2"/>
          </w:tcPr>
          <w:p>
            <w:pPr/>
          </w:p>
        </w:tc>
        <w:tc>
          <w:tcPr>
            <w:tcW w:w="260" w:type="dxa"/>
            <w:vMerge/>
            <w:tcBorders>
              <w:left w:val="single" w:sz="6" w:space="0" w:color="000000"/>
              <w:right w:val="single" w:sz="6" w:space="0" w:color="000000"/>
            </w:tcBorders>
            <w:shd w:val="clear" w:color="auto" w:fill="D2D2D2"/>
          </w:tcPr>
          <w:p>
            <w:pPr/>
          </w:p>
        </w:tc>
        <w:tc>
          <w:tcPr>
            <w:tcW w:w="306"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
        </w:tc>
        <w:tc>
          <w:tcPr>
            <w:tcW w:w="425" w:type="dxa"/>
            <w:vMerge/>
            <w:tcBorders>
              <w:left w:val="single" w:sz="6" w:space="0" w:color="000000"/>
              <w:bottom w:val="nil" w:sz="6" w:space="0" w:color="auto"/>
              <w:right w:val="single" w:sz="6" w:space="0" w:color="000000"/>
            </w:tcBorders>
            <w:shd w:val="clear" w:color="auto" w:fill="D2D2D2"/>
          </w:tcPr>
          <w:p>
            <w:pPr/>
          </w:p>
        </w:tc>
        <w:tc>
          <w:tcPr>
            <w:tcW w:w="1419" w:type="dxa"/>
            <w:vMerge w:val="restart"/>
            <w:tcBorders>
              <w:top w:val="nil" w:sz="6" w:space="0" w:color="auto"/>
              <w:left w:val="single" w:sz="6" w:space="0" w:color="000000"/>
              <w:right w:val="single" w:sz="6" w:space="0" w:color="000000"/>
            </w:tcBorders>
            <w:shd w:val="clear" w:color="auto" w:fill="D2D2D2"/>
          </w:tcPr>
          <w:p>
            <w:pPr/>
          </w:p>
        </w:tc>
        <w:tc>
          <w:tcPr>
            <w:tcW w:w="1274"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12" w:space="0" w:color="000000"/>
            </w:tcBorders>
            <w:shd w:val="clear" w:color="auto" w:fill="D2D2D2"/>
          </w:tcPr>
          <w:p>
            <w:pPr/>
          </w:p>
        </w:tc>
      </w:tr>
      <w:tr>
        <w:trPr>
          <w:trHeight w:val="160" w:hRule="exact"/>
        </w:trPr>
        <w:tc>
          <w:tcPr>
            <w:tcW w:w="851" w:type="dxa"/>
            <w:vMerge/>
            <w:tcBorders>
              <w:left w:val="single" w:sz="12" w:space="0" w:color="000000"/>
              <w:right w:val="single" w:sz="6" w:space="0" w:color="000000"/>
            </w:tcBorders>
            <w:shd w:val="clear" w:color="auto" w:fill="D2D2D2"/>
          </w:tcPr>
          <w:p>
            <w:pPr/>
          </w:p>
        </w:tc>
        <w:tc>
          <w:tcPr>
            <w:tcW w:w="1419" w:type="dxa"/>
            <w:vMerge/>
            <w:tcBorders>
              <w:left w:val="single" w:sz="6" w:space="0" w:color="000000"/>
              <w:right w:val="single" w:sz="6" w:space="0" w:color="000000"/>
            </w:tcBorders>
            <w:shd w:val="clear" w:color="auto" w:fill="D2D2D2"/>
          </w:tcPr>
          <w:p>
            <w:pPr/>
          </w:p>
        </w:tc>
        <w:tc>
          <w:tcPr>
            <w:tcW w:w="260" w:type="dxa"/>
            <w:vMerge/>
            <w:tcBorders>
              <w:left w:val="single" w:sz="6" w:space="0" w:color="000000"/>
              <w:right w:val="single" w:sz="6" w:space="0" w:color="000000"/>
            </w:tcBorders>
            <w:shd w:val="clear" w:color="auto" w:fill="D2D2D2"/>
          </w:tcPr>
          <w:p>
            <w:pPr/>
          </w:p>
        </w:tc>
        <w:tc>
          <w:tcPr>
            <w:tcW w:w="306" w:type="dxa"/>
            <w:vMerge/>
            <w:tcBorders>
              <w:left w:val="single" w:sz="6" w:space="0" w:color="000000"/>
              <w:right w:val="single" w:sz="6" w:space="0" w:color="000000"/>
            </w:tcBorders>
            <w:shd w:val="clear" w:color="auto" w:fill="D2D2D2"/>
          </w:tcPr>
          <w:p>
            <w:pPr/>
          </w:p>
        </w:tc>
        <w:tc>
          <w:tcPr>
            <w:tcW w:w="283" w:type="dxa"/>
            <w:vMerge/>
            <w:tcBorders>
              <w:left w:val="single" w:sz="6" w:space="0" w:color="000000"/>
              <w:bottom w:val="nil" w:sz="6" w:space="0" w:color="auto"/>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284"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bottom w:val="nil" w:sz="6" w:space="0" w:color="auto"/>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425" w:type="dxa"/>
            <w:vMerge w:val="restart"/>
            <w:tcBorders>
              <w:top w:val="nil" w:sz="6" w:space="0" w:color="auto"/>
              <w:left w:val="single" w:sz="6" w:space="0" w:color="000000"/>
              <w:right w:val="single" w:sz="6" w:space="0" w:color="000000"/>
            </w:tcBorders>
            <w:shd w:val="clear" w:color="auto" w:fill="D2D2D2"/>
          </w:tcPr>
          <w:p>
            <w:pPr/>
          </w:p>
        </w:tc>
        <w:tc>
          <w:tcPr>
            <w:tcW w:w="1419" w:type="dxa"/>
            <w:vMerge/>
            <w:tcBorders>
              <w:left w:val="single" w:sz="6" w:space="0" w:color="000000"/>
              <w:right w:val="single" w:sz="6" w:space="0" w:color="000000"/>
            </w:tcBorders>
            <w:shd w:val="clear" w:color="auto" w:fill="D2D2D2"/>
          </w:tcPr>
          <w:p>
            <w:pPr/>
          </w:p>
        </w:tc>
        <w:tc>
          <w:tcPr>
            <w:tcW w:w="1274"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12" w:space="0" w:color="000000"/>
            </w:tcBorders>
            <w:shd w:val="clear" w:color="auto" w:fill="D2D2D2"/>
          </w:tcPr>
          <w:p>
            <w:pPr/>
          </w:p>
        </w:tc>
      </w:tr>
      <w:tr>
        <w:trPr>
          <w:trHeight w:val="156" w:hRule="exact"/>
        </w:trPr>
        <w:tc>
          <w:tcPr>
            <w:tcW w:w="851" w:type="dxa"/>
            <w:vMerge/>
            <w:tcBorders>
              <w:left w:val="single" w:sz="12" w:space="0" w:color="000000"/>
              <w:right w:val="single" w:sz="6" w:space="0" w:color="000000"/>
            </w:tcBorders>
            <w:shd w:val="clear" w:color="auto" w:fill="D2D2D2"/>
          </w:tcPr>
          <w:p>
            <w:pPr/>
          </w:p>
        </w:tc>
        <w:tc>
          <w:tcPr>
            <w:tcW w:w="1419" w:type="dxa"/>
            <w:vMerge/>
            <w:tcBorders>
              <w:left w:val="single" w:sz="6" w:space="0" w:color="000000"/>
              <w:right w:val="single" w:sz="6" w:space="0" w:color="000000"/>
            </w:tcBorders>
            <w:shd w:val="clear" w:color="auto" w:fill="D2D2D2"/>
          </w:tcPr>
          <w:p>
            <w:pPr/>
          </w:p>
        </w:tc>
        <w:tc>
          <w:tcPr>
            <w:tcW w:w="260" w:type="dxa"/>
            <w:vMerge/>
            <w:tcBorders>
              <w:left w:val="single" w:sz="6" w:space="0" w:color="000000"/>
              <w:bottom w:val="nil" w:sz="6" w:space="0" w:color="auto"/>
              <w:right w:val="single" w:sz="6" w:space="0" w:color="000000"/>
            </w:tcBorders>
            <w:shd w:val="clear" w:color="auto" w:fill="D2D2D2"/>
          </w:tcPr>
          <w:p>
            <w:pPr/>
          </w:p>
        </w:tc>
        <w:tc>
          <w:tcPr>
            <w:tcW w:w="306" w:type="dxa"/>
            <w:vMerge/>
            <w:tcBorders>
              <w:left w:val="single" w:sz="6" w:space="0" w:color="000000"/>
              <w:bottom w:val="nil" w:sz="6" w:space="0" w:color="auto"/>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284" w:type="dxa"/>
            <w:vMerge/>
            <w:tcBorders>
              <w:left w:val="single" w:sz="6" w:space="0" w:color="000000"/>
              <w:bottom w:val="nil" w:sz="6" w:space="0" w:color="auto"/>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425" w:type="dxa"/>
            <w:vMerge/>
            <w:tcBorders>
              <w:left w:val="single" w:sz="6" w:space="0" w:color="000000"/>
              <w:right w:val="single" w:sz="6" w:space="0" w:color="000000"/>
            </w:tcBorders>
            <w:shd w:val="clear" w:color="auto" w:fill="D2D2D2"/>
          </w:tcPr>
          <w:p>
            <w:pPr/>
          </w:p>
        </w:tc>
        <w:tc>
          <w:tcPr>
            <w:tcW w:w="1419" w:type="dxa"/>
            <w:vMerge/>
            <w:tcBorders>
              <w:left w:val="single" w:sz="6" w:space="0" w:color="000000"/>
              <w:right w:val="single" w:sz="6" w:space="0" w:color="000000"/>
            </w:tcBorders>
            <w:shd w:val="clear" w:color="auto" w:fill="D2D2D2"/>
          </w:tcPr>
          <w:p>
            <w:pPr/>
          </w:p>
        </w:tc>
        <w:tc>
          <w:tcPr>
            <w:tcW w:w="1274"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12" w:space="0" w:color="000000"/>
            </w:tcBorders>
            <w:shd w:val="clear" w:color="auto" w:fill="D2D2D2"/>
          </w:tcPr>
          <w:p>
            <w:pPr/>
          </w:p>
        </w:tc>
      </w:tr>
      <w:tr>
        <w:trPr>
          <w:trHeight w:val="160" w:hRule="exact"/>
        </w:trPr>
        <w:tc>
          <w:tcPr>
            <w:tcW w:w="851" w:type="dxa"/>
            <w:vMerge/>
            <w:tcBorders>
              <w:left w:val="single" w:sz="12" w:space="0" w:color="000000"/>
              <w:bottom w:val="single" w:sz="6" w:space="0" w:color="000000"/>
              <w:right w:val="single" w:sz="6" w:space="0" w:color="000000"/>
            </w:tcBorders>
            <w:shd w:val="clear" w:color="auto" w:fill="D2D2D2"/>
          </w:tcPr>
          <w:p>
            <w:pPr/>
          </w:p>
        </w:tc>
        <w:tc>
          <w:tcPr>
            <w:tcW w:w="1419" w:type="dxa"/>
            <w:vMerge/>
            <w:tcBorders>
              <w:left w:val="single" w:sz="6" w:space="0" w:color="000000"/>
              <w:bottom w:val="single" w:sz="6" w:space="0" w:color="000000"/>
              <w:right w:val="single" w:sz="6" w:space="0" w:color="000000"/>
            </w:tcBorders>
            <w:shd w:val="clear" w:color="auto" w:fill="D2D2D2"/>
          </w:tcPr>
          <w:p>
            <w:pPr/>
          </w:p>
        </w:tc>
        <w:tc>
          <w:tcPr>
            <w:tcW w:w="260" w:type="dxa"/>
            <w:tcBorders>
              <w:top w:val="nil" w:sz="6" w:space="0" w:color="auto"/>
              <w:left w:val="single" w:sz="6" w:space="0" w:color="000000"/>
              <w:bottom w:val="single" w:sz="6" w:space="0" w:color="000000"/>
              <w:right w:val="single" w:sz="6" w:space="0" w:color="000000"/>
            </w:tcBorders>
            <w:shd w:val="clear" w:color="auto" w:fill="D2D2D2"/>
          </w:tcPr>
          <w:p>
            <w:pPr/>
          </w:p>
        </w:tc>
        <w:tc>
          <w:tcPr>
            <w:tcW w:w="306" w:type="dxa"/>
            <w:tcBorders>
              <w:top w:val="nil" w:sz="6" w:space="0" w:color="auto"/>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6" w:space="0" w:color="000000"/>
            </w:tcBorders>
            <w:shd w:val="clear" w:color="auto" w:fill="D2D2D2"/>
          </w:tcPr>
          <w:p>
            <w:pPr/>
          </w:p>
        </w:tc>
        <w:tc>
          <w:tcPr>
            <w:tcW w:w="284" w:type="dxa"/>
            <w:tcBorders>
              <w:top w:val="nil" w:sz="6" w:space="0" w:color="auto"/>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6" w:space="0" w:color="000000"/>
            </w:tcBorders>
            <w:shd w:val="clear" w:color="auto" w:fill="D2D2D2"/>
          </w:tcPr>
          <w:p>
            <w:pPr/>
          </w:p>
        </w:tc>
        <w:tc>
          <w:tcPr>
            <w:tcW w:w="425" w:type="dxa"/>
            <w:vMerge/>
            <w:tcBorders>
              <w:left w:val="single" w:sz="6" w:space="0" w:color="000000"/>
              <w:bottom w:val="single" w:sz="6" w:space="0" w:color="000000"/>
              <w:right w:val="single" w:sz="6" w:space="0" w:color="000000"/>
            </w:tcBorders>
            <w:shd w:val="clear" w:color="auto" w:fill="D2D2D2"/>
          </w:tcPr>
          <w:p>
            <w:pPr/>
          </w:p>
        </w:tc>
        <w:tc>
          <w:tcPr>
            <w:tcW w:w="1419" w:type="dxa"/>
            <w:vMerge/>
            <w:tcBorders>
              <w:left w:val="single" w:sz="6" w:space="0" w:color="000000"/>
              <w:bottom w:val="single" w:sz="6" w:space="0" w:color="000000"/>
              <w:right w:val="single" w:sz="6" w:space="0" w:color="000000"/>
            </w:tcBorders>
            <w:shd w:val="clear" w:color="auto" w:fill="D2D2D2"/>
          </w:tcPr>
          <w:p>
            <w:pPr/>
          </w:p>
        </w:tc>
        <w:tc>
          <w:tcPr>
            <w:tcW w:w="1274" w:type="dxa"/>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12" w:space="0" w:color="000000"/>
            </w:tcBorders>
            <w:shd w:val="clear" w:color="auto" w:fill="D2D2D2"/>
          </w:tcPr>
          <w:p>
            <w:pPr/>
          </w:p>
        </w:tc>
      </w:tr>
      <w:tr>
        <w:trPr>
          <w:trHeight w:val="63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95"/>
              <w:jc w:val="left"/>
              <w:rPr>
                <w:rFonts w:ascii="宋体" w:hAnsi="宋体" w:cs="宋体" w:eastAsia="宋体" w:hint="default"/>
                <w:sz w:val="18"/>
                <w:szCs w:val="18"/>
              </w:rPr>
            </w:pPr>
            <w:r>
              <w:rPr>
                <w:rFonts w:ascii="宋体" w:hAnsi="宋体" w:cs="宋体" w:eastAsia="宋体" w:hint="default"/>
                <w:sz w:val="18"/>
                <w:szCs w:val="18"/>
              </w:rPr>
              <w:t>一、上年 期末余额</w:t>
            </w:r>
          </w:p>
        </w:tc>
        <w:tc>
          <w:tcPr>
            <w:tcW w:w="141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2" w:right="0"/>
              <w:jc w:val="left"/>
              <w:rPr>
                <w:rFonts w:ascii="宋体" w:hAnsi="宋体" w:cs="宋体" w:eastAsia="宋体" w:hint="default"/>
                <w:sz w:val="18"/>
                <w:szCs w:val="18"/>
              </w:rPr>
            </w:pPr>
            <w:r>
              <w:rPr>
                <w:rFonts w:ascii="宋体"/>
                <w:sz w:val="18"/>
              </w:rPr>
              <w:t>86,670,000.00</w:t>
            </w: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407,225,702.61</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2" w:right="0"/>
              <w:jc w:val="left"/>
              <w:rPr>
                <w:rFonts w:ascii="宋体" w:hAnsi="宋体" w:cs="宋体" w:eastAsia="宋体" w:hint="default"/>
                <w:sz w:val="18"/>
                <w:szCs w:val="18"/>
              </w:rPr>
            </w:pPr>
            <w:r>
              <w:rPr>
                <w:rFonts w:ascii="宋体"/>
                <w:sz w:val="18"/>
              </w:rPr>
              <w:t>15,221,838.35</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148,560,835.31</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657,678,376.27</w:t>
            </w:r>
          </w:p>
        </w:tc>
      </w:tr>
      <w:tr>
        <w:trPr>
          <w:trHeight w:val="952"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95" w:firstLine="360"/>
              <w:jc w:val="both"/>
              <w:rPr>
                <w:rFonts w:ascii="宋体" w:hAnsi="宋体" w:cs="宋体" w:eastAsia="宋体" w:hint="default"/>
                <w:sz w:val="18"/>
                <w:szCs w:val="18"/>
              </w:rPr>
            </w:pPr>
            <w:r>
              <w:rPr>
                <w:rFonts w:ascii="宋体" w:hAnsi="宋体" w:cs="宋体" w:eastAsia="宋体" w:hint="default"/>
                <w:sz w:val="18"/>
                <w:szCs w:val="18"/>
              </w:rPr>
              <w:t>加： 会计政策 变更</w:t>
            </w:r>
          </w:p>
        </w:tc>
        <w:tc>
          <w:tcPr>
            <w:tcW w:w="1419" w:type="dxa"/>
            <w:tcBorders>
              <w:top w:val="single" w:sz="6" w:space="0" w:color="000000"/>
              <w:left w:val="single" w:sz="14" w:space="0" w:color="D2D2D2"/>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3" w:right="95"/>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1419" w:type="dxa"/>
            <w:tcBorders>
              <w:top w:val="single" w:sz="6" w:space="0" w:color="000000"/>
              <w:left w:val="single" w:sz="14" w:space="0" w:color="D2D2D2"/>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1272" w:hRule="exact"/>
        </w:trPr>
        <w:tc>
          <w:tcPr>
            <w:tcW w:w="8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13" w:right="95"/>
              <w:jc w:val="both"/>
              <w:rPr>
                <w:rFonts w:ascii="宋体" w:hAnsi="宋体" w:cs="宋体" w:eastAsia="宋体" w:hint="default"/>
                <w:sz w:val="18"/>
                <w:szCs w:val="18"/>
              </w:rPr>
            </w:pPr>
            <w:r>
              <w:rPr>
                <w:rFonts w:ascii="宋体" w:hAnsi="宋体" w:cs="宋体" w:eastAsia="宋体" w:hint="default"/>
                <w:sz w:val="18"/>
                <w:szCs w:val="18"/>
              </w:rPr>
              <w:t>同一控制 下企业合 并</w:t>
            </w:r>
          </w:p>
        </w:tc>
        <w:tc>
          <w:tcPr>
            <w:tcW w:w="1419" w:type="dxa"/>
            <w:tcBorders>
              <w:top w:val="single" w:sz="6" w:space="0" w:color="000000"/>
              <w:left w:val="single" w:sz="14" w:space="0" w:color="D2D2D2"/>
              <w:bottom w:val="single" w:sz="12" w:space="0" w:color="000000"/>
              <w:right w:val="single" w:sz="6" w:space="0" w:color="000000"/>
            </w:tcBorders>
          </w:tcPr>
          <w:p>
            <w:pPr/>
          </w:p>
        </w:tc>
        <w:tc>
          <w:tcPr>
            <w:tcW w:w="260" w:type="dxa"/>
            <w:tcBorders>
              <w:top w:val="single" w:sz="6" w:space="0" w:color="000000"/>
              <w:left w:val="single" w:sz="6" w:space="0" w:color="000000"/>
              <w:bottom w:val="single" w:sz="12" w:space="0" w:color="000000"/>
              <w:right w:val="single" w:sz="6" w:space="0" w:color="000000"/>
            </w:tcBorders>
          </w:tcPr>
          <w:p>
            <w:pPr/>
          </w:p>
        </w:tc>
        <w:tc>
          <w:tcPr>
            <w:tcW w:w="306"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140" w:right="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851"/>
        <w:gridCol w:w="1419"/>
        <w:gridCol w:w="260"/>
        <w:gridCol w:w="306"/>
        <w:gridCol w:w="283"/>
        <w:gridCol w:w="1418"/>
        <w:gridCol w:w="284"/>
        <w:gridCol w:w="283"/>
        <w:gridCol w:w="283"/>
        <w:gridCol w:w="1418"/>
        <w:gridCol w:w="425"/>
        <w:gridCol w:w="1419"/>
        <w:gridCol w:w="1274"/>
        <w:gridCol w:w="1418"/>
      </w:tblGrid>
      <w:tr>
        <w:trPr>
          <w:trHeight w:val="646" w:hRule="exact"/>
        </w:trPr>
        <w:tc>
          <w:tcPr>
            <w:tcW w:w="8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12" w:space="0" w:color="000000"/>
              <w:left w:val="single" w:sz="6" w:space="0" w:color="000000"/>
              <w:bottom w:val="single" w:sz="6" w:space="0" w:color="000000"/>
              <w:right w:val="single" w:sz="6" w:space="0" w:color="000000"/>
            </w:tcBorders>
          </w:tcPr>
          <w:p>
            <w:pPr/>
          </w:p>
        </w:tc>
        <w:tc>
          <w:tcPr>
            <w:tcW w:w="260" w:type="dxa"/>
            <w:tcBorders>
              <w:top w:val="single" w:sz="12" w:space="0" w:color="000000"/>
              <w:left w:val="single" w:sz="6" w:space="0" w:color="000000"/>
              <w:bottom w:val="single" w:sz="6" w:space="0" w:color="000000"/>
              <w:right w:val="single" w:sz="6" w:space="0" w:color="000000"/>
            </w:tcBorders>
          </w:tcPr>
          <w:p>
            <w:pPr/>
          </w:p>
        </w:tc>
        <w:tc>
          <w:tcPr>
            <w:tcW w:w="306"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284"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419" w:type="dxa"/>
            <w:tcBorders>
              <w:top w:val="single" w:sz="12" w:space="0" w:color="000000"/>
              <w:left w:val="single" w:sz="6" w:space="0" w:color="000000"/>
              <w:bottom w:val="single" w:sz="6" w:space="0" w:color="000000"/>
              <w:right w:val="single" w:sz="6" w:space="0" w:color="000000"/>
            </w:tcBorders>
          </w:tcPr>
          <w:p>
            <w:pPr/>
          </w:p>
        </w:tc>
        <w:tc>
          <w:tcPr>
            <w:tcW w:w="1274"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12" w:space="0" w:color="000000"/>
            </w:tcBorders>
          </w:tcPr>
          <w:p>
            <w:pPr/>
          </w:p>
        </w:tc>
      </w:tr>
      <w:tr>
        <w:trPr>
          <w:trHeight w:val="63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95"/>
              <w:jc w:val="left"/>
              <w:rPr>
                <w:rFonts w:ascii="宋体" w:hAnsi="宋体" w:cs="宋体" w:eastAsia="宋体" w:hint="default"/>
                <w:sz w:val="18"/>
                <w:szCs w:val="18"/>
              </w:rPr>
            </w:pPr>
            <w:r>
              <w:rPr>
                <w:rFonts w:ascii="宋体" w:hAnsi="宋体" w:cs="宋体" w:eastAsia="宋体" w:hint="default"/>
                <w:sz w:val="18"/>
                <w:szCs w:val="18"/>
              </w:rPr>
              <w:t>二、本年 期初余额</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86,670,000.00</w:t>
            </w: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407,225,702.61</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15,221,838.35</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148,560,835.31</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657,678,376.27</w:t>
            </w:r>
          </w:p>
        </w:tc>
      </w:tr>
      <w:tr>
        <w:trPr>
          <w:trHeight w:val="188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2"/>
              <w:ind w:left="13" w:right="95"/>
              <w:jc w:val="left"/>
              <w:rPr>
                <w:rFonts w:ascii="宋体" w:hAnsi="宋体" w:cs="宋体" w:eastAsia="宋体" w:hint="default"/>
                <w:sz w:val="18"/>
                <w:szCs w:val="18"/>
              </w:rPr>
            </w:pPr>
            <w:r>
              <w:rPr>
                <w:rFonts w:ascii="宋体" w:hAnsi="宋体" w:cs="宋体" w:eastAsia="宋体" w:hint="default"/>
                <w:sz w:val="18"/>
                <w:szCs w:val="18"/>
              </w:rPr>
              <w:t>三、本期 增减变动 金额（减 少以 “－”号 填列）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43,335,000.00</w:t>
            </w: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-43,335,000.00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2,506,979.31</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18,828,826.54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59" w:right="0"/>
              <w:jc w:val="left"/>
              <w:rPr>
                <w:rFonts w:ascii="宋体" w:hAnsi="宋体" w:cs="宋体" w:eastAsia="宋体" w:hint="default"/>
                <w:sz w:val="18"/>
                <w:szCs w:val="18"/>
              </w:rPr>
            </w:pPr>
            <w:r>
              <w:rPr>
                <w:rFonts w:ascii="宋体"/>
                <w:sz w:val="18"/>
              </w:rPr>
              <w:t>9,544,720.69</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30,880,526.54</w:t>
            </w:r>
          </w:p>
        </w:tc>
      </w:tr>
      <w:tr>
        <w:trPr>
          <w:trHeight w:val="95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95"/>
              <w:jc w:val="both"/>
              <w:rPr>
                <w:rFonts w:ascii="宋体" w:hAnsi="宋体" w:cs="宋体" w:eastAsia="宋体" w:hint="default"/>
                <w:sz w:val="18"/>
                <w:szCs w:val="18"/>
              </w:rPr>
            </w:pPr>
            <w:r>
              <w:rPr>
                <w:rFonts w:ascii="宋体" w:hAnsi="宋体" w:cs="宋体" w:eastAsia="宋体" w:hint="default"/>
                <w:sz w:val="18"/>
                <w:szCs w:val="18"/>
              </w:rPr>
              <w:t>（一）综 合收益总 额</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1"/>
              <w:jc w:val="right"/>
              <w:rPr>
                <w:rFonts w:ascii="宋体" w:hAnsi="宋体" w:cs="宋体" w:eastAsia="宋体" w:hint="default"/>
                <w:sz w:val="18"/>
                <w:szCs w:val="18"/>
              </w:rPr>
            </w:pPr>
            <w:r>
              <w:rPr>
                <w:rFonts w:ascii="宋体"/>
                <w:sz w:val="18"/>
              </w:rPr>
              <w:t>47,336,805.85</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1"/>
              <w:jc w:val="right"/>
              <w:rPr>
                <w:rFonts w:ascii="宋体" w:hAnsi="宋体" w:cs="宋体" w:eastAsia="宋体" w:hint="default"/>
                <w:sz w:val="18"/>
                <w:szCs w:val="18"/>
              </w:rPr>
            </w:pPr>
            <w:r>
              <w:rPr>
                <w:rFonts w:ascii="宋体"/>
                <w:sz w:val="18"/>
              </w:rPr>
              <w:t>47,336,805.85</w:t>
            </w:r>
          </w:p>
        </w:tc>
      </w:tr>
      <w:tr>
        <w:trPr>
          <w:trHeight w:val="126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95"/>
              <w:jc w:val="both"/>
              <w:rPr>
                <w:rFonts w:ascii="宋体" w:hAnsi="宋体" w:cs="宋体" w:eastAsia="宋体" w:hint="default"/>
                <w:sz w:val="18"/>
                <w:szCs w:val="18"/>
              </w:rPr>
            </w:pPr>
            <w:r>
              <w:rPr>
                <w:rFonts w:ascii="宋体" w:hAnsi="宋体" w:cs="宋体" w:eastAsia="宋体" w:hint="default"/>
                <w:sz w:val="18"/>
                <w:szCs w:val="18"/>
              </w:rPr>
              <w:t>（二）所 有者投入 和减少资 本</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．股东投</w:t>
            </w:r>
            <w:r>
              <w:rPr>
                <w:rFonts w:ascii="宋体" w:hAnsi="宋体" w:cs="宋体" w:eastAsia="宋体" w:hint="default"/>
                <w:sz w:val="18"/>
                <w:szCs w:val="18"/>
              </w:rPr>
              <w:t> 入的普通 股</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126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w:t>
            </w:r>
            <w:r>
              <w:rPr>
                <w:rFonts w:ascii="宋体" w:hAnsi="宋体" w:cs="宋体" w:eastAsia="宋体" w:hint="default"/>
                <w:sz w:val="18"/>
                <w:szCs w:val="18"/>
              </w:rPr>
              <w:t> 益工具持 有者投入 资本</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1262"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w:t>
            </w:r>
            <w:r>
              <w:rPr>
                <w:rFonts w:ascii="宋体" w:hAnsi="宋体" w:cs="宋体" w:eastAsia="宋体" w:hint="default"/>
                <w:sz w:val="18"/>
                <w:szCs w:val="18"/>
              </w:rPr>
              <w:t> 付计入所 有者权益 的金额</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95"/>
              <w:jc w:val="left"/>
              <w:rPr>
                <w:rFonts w:ascii="宋体" w:hAnsi="宋体" w:cs="宋体" w:eastAsia="宋体" w:hint="default"/>
                <w:sz w:val="18"/>
                <w:szCs w:val="18"/>
              </w:rPr>
            </w:pPr>
            <w:r>
              <w:rPr>
                <w:rFonts w:ascii="宋体" w:hAnsi="宋体" w:cs="宋体" w:eastAsia="宋体" w:hint="default"/>
                <w:sz w:val="18"/>
                <w:szCs w:val="18"/>
              </w:rPr>
              <w:t>（三）利 润分配</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2,506,979.31</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-28,507,979.31</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-26,001,000.00</w:t>
            </w:r>
          </w:p>
        </w:tc>
      </w:tr>
      <w:tr>
        <w:trPr>
          <w:trHeight w:val="64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．提取盈</w:t>
            </w:r>
            <w:r>
              <w:rPr>
                <w:rFonts w:ascii="宋体" w:hAnsi="宋体" w:cs="宋体" w:eastAsia="宋体" w:hint="default"/>
                <w:sz w:val="18"/>
                <w:szCs w:val="18"/>
              </w:rPr>
              <w:t> 余公积</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2,506,979.31</w:t>
            </w: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-2,506,979.31</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．提取一</w:t>
            </w:r>
            <w:r>
              <w:rPr>
                <w:rFonts w:ascii="宋体" w:hAnsi="宋体" w:cs="宋体" w:eastAsia="宋体" w:hint="default"/>
                <w:sz w:val="18"/>
                <w:szCs w:val="18"/>
              </w:rPr>
              <w:t> 般风险准 备</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126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．对所有</w:t>
            </w:r>
            <w:r>
              <w:rPr>
                <w:rFonts w:ascii="宋体" w:hAnsi="宋体" w:cs="宋体" w:eastAsia="宋体" w:hint="default"/>
                <w:sz w:val="18"/>
                <w:szCs w:val="18"/>
              </w:rPr>
              <w:t> 者（或股 东）的分 配</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z w:val="18"/>
              </w:rPr>
              <w:t>-26,001,000.00</w:t>
            </w: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-26,001,000.00</w:t>
            </w:r>
          </w:p>
        </w:tc>
      </w:tr>
      <w:tr>
        <w:trPr>
          <w:trHeight w:val="32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647" w:hRule="exact"/>
        </w:trPr>
        <w:tc>
          <w:tcPr>
            <w:tcW w:w="8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11"/>
              <w:ind w:left="13" w:right="95"/>
              <w:jc w:val="left"/>
              <w:rPr>
                <w:rFonts w:ascii="宋体" w:hAnsi="宋体" w:cs="宋体" w:eastAsia="宋体" w:hint="default"/>
                <w:sz w:val="18"/>
                <w:szCs w:val="18"/>
              </w:rPr>
            </w:pPr>
            <w:r>
              <w:rPr>
                <w:rFonts w:ascii="宋体" w:hAnsi="宋体" w:cs="宋体" w:eastAsia="宋体" w:hint="default"/>
                <w:sz w:val="18"/>
                <w:szCs w:val="18"/>
              </w:rPr>
              <w:t>（四）所 有者权益</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43,335,000.00</w:t>
            </w:r>
          </w:p>
        </w:tc>
        <w:tc>
          <w:tcPr>
            <w:tcW w:w="260" w:type="dxa"/>
            <w:tcBorders>
              <w:top w:val="single" w:sz="6" w:space="0" w:color="000000"/>
              <w:left w:val="single" w:sz="6" w:space="0" w:color="000000"/>
              <w:bottom w:val="single" w:sz="12" w:space="0" w:color="000000"/>
              <w:right w:val="single" w:sz="6" w:space="0" w:color="000000"/>
            </w:tcBorders>
          </w:tcPr>
          <w:p>
            <w:pPr/>
          </w:p>
        </w:tc>
        <w:tc>
          <w:tcPr>
            <w:tcW w:w="306"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-43,335,000.00</w:t>
            </w: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160" w:right="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851"/>
        <w:gridCol w:w="1419"/>
        <w:gridCol w:w="260"/>
        <w:gridCol w:w="306"/>
        <w:gridCol w:w="283"/>
        <w:gridCol w:w="1418"/>
        <w:gridCol w:w="284"/>
        <w:gridCol w:w="283"/>
        <w:gridCol w:w="283"/>
        <w:gridCol w:w="1418"/>
        <w:gridCol w:w="425"/>
        <w:gridCol w:w="1419"/>
        <w:gridCol w:w="1274"/>
        <w:gridCol w:w="1418"/>
      </w:tblGrid>
      <w:tr>
        <w:trPr>
          <w:trHeight w:val="334" w:hRule="exact"/>
        </w:trPr>
        <w:tc>
          <w:tcPr>
            <w:tcW w:w="8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419" w:type="dxa"/>
            <w:tcBorders>
              <w:top w:val="single" w:sz="12" w:space="0" w:color="000000"/>
              <w:left w:val="single" w:sz="6" w:space="0" w:color="000000"/>
              <w:bottom w:val="single" w:sz="6" w:space="0" w:color="000000"/>
              <w:right w:val="single" w:sz="6" w:space="0" w:color="000000"/>
            </w:tcBorders>
          </w:tcPr>
          <w:p>
            <w:pPr/>
          </w:p>
        </w:tc>
        <w:tc>
          <w:tcPr>
            <w:tcW w:w="260" w:type="dxa"/>
            <w:tcBorders>
              <w:top w:val="single" w:sz="12" w:space="0" w:color="000000"/>
              <w:left w:val="single" w:sz="6" w:space="0" w:color="000000"/>
              <w:bottom w:val="single" w:sz="6" w:space="0" w:color="000000"/>
              <w:right w:val="single" w:sz="6" w:space="0" w:color="000000"/>
            </w:tcBorders>
          </w:tcPr>
          <w:p>
            <w:pPr/>
          </w:p>
        </w:tc>
        <w:tc>
          <w:tcPr>
            <w:tcW w:w="306"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284"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419" w:type="dxa"/>
            <w:tcBorders>
              <w:top w:val="single" w:sz="12" w:space="0" w:color="000000"/>
              <w:left w:val="single" w:sz="6" w:space="0" w:color="000000"/>
              <w:bottom w:val="single" w:sz="6" w:space="0" w:color="000000"/>
              <w:right w:val="single" w:sz="6" w:space="0" w:color="000000"/>
            </w:tcBorders>
          </w:tcPr>
          <w:p>
            <w:pPr/>
          </w:p>
        </w:tc>
        <w:tc>
          <w:tcPr>
            <w:tcW w:w="1274"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12" w:space="0" w:color="000000"/>
            </w:tcBorders>
          </w:tcPr>
          <w:p>
            <w:pPr/>
          </w:p>
        </w:tc>
      </w:tr>
      <w:tr>
        <w:trPr>
          <w:trHeight w:val="1263"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w:t>
            </w:r>
            <w:r>
              <w:rPr>
                <w:rFonts w:ascii="宋体" w:hAnsi="宋体" w:cs="宋体" w:eastAsia="宋体" w:hint="default"/>
                <w:sz w:val="18"/>
                <w:szCs w:val="18"/>
              </w:rPr>
              <w:t> 积转增资 本（或股 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z w:val="18"/>
              </w:rPr>
              <w:t>43,335,000.00</w:t>
            </w: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宋体"/>
                <w:sz w:val="18"/>
              </w:rPr>
              <w:t>-43,335,000.00</w:t>
            </w: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126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w:t>
            </w:r>
            <w:r>
              <w:rPr>
                <w:rFonts w:ascii="宋体" w:hAnsi="宋体" w:cs="宋体" w:eastAsia="宋体" w:hint="default"/>
                <w:sz w:val="18"/>
                <w:szCs w:val="18"/>
              </w:rPr>
              <w:t> 积转增资 本（或股 本）</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w:t>
            </w:r>
            <w:r>
              <w:rPr>
                <w:rFonts w:ascii="宋体" w:hAnsi="宋体" w:cs="宋体" w:eastAsia="宋体" w:hint="default"/>
                <w:sz w:val="18"/>
                <w:szCs w:val="18"/>
              </w:rPr>
              <w:t> 积弥补亏 损</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95"/>
              <w:jc w:val="left"/>
              <w:rPr>
                <w:rFonts w:ascii="宋体" w:hAnsi="宋体" w:cs="宋体" w:eastAsia="宋体" w:hint="default"/>
                <w:sz w:val="18"/>
                <w:szCs w:val="18"/>
              </w:rPr>
            </w:pPr>
            <w:r>
              <w:rPr>
                <w:rFonts w:ascii="宋体" w:hAnsi="宋体" w:cs="宋体" w:eastAsia="宋体" w:hint="default"/>
                <w:sz w:val="18"/>
                <w:szCs w:val="18"/>
              </w:rPr>
              <w:t>（五）专 项储备</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．本期提</w:t>
            </w:r>
            <w:r>
              <w:rPr>
                <w:rFonts w:ascii="宋体" w:hAnsi="宋体" w:cs="宋体" w:eastAsia="宋体" w:hint="default"/>
                <w:sz w:val="18"/>
                <w:szCs w:val="18"/>
              </w:rPr>
              <w:t> 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．本期使</w:t>
            </w:r>
            <w:r>
              <w:rPr>
                <w:rFonts w:ascii="宋体" w:hAnsi="宋体" w:cs="宋体" w:eastAsia="宋体" w:hint="default"/>
                <w:sz w:val="18"/>
                <w:szCs w:val="18"/>
              </w:rPr>
              <w:t> 用</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95"/>
              <w:jc w:val="left"/>
              <w:rPr>
                <w:rFonts w:ascii="宋体" w:hAnsi="宋体" w:cs="宋体" w:eastAsia="宋体" w:hint="default"/>
                <w:sz w:val="18"/>
                <w:szCs w:val="18"/>
              </w:rPr>
            </w:pPr>
            <w:r>
              <w:rPr>
                <w:rFonts w:ascii="宋体" w:hAnsi="宋体" w:cs="宋体" w:eastAsia="宋体" w:hint="default"/>
                <w:sz w:val="18"/>
                <w:szCs w:val="18"/>
              </w:rPr>
              <w:t>（六）其 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6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28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9,544,720.69</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9,544,720.69</w:t>
            </w:r>
          </w:p>
        </w:tc>
      </w:tr>
      <w:tr>
        <w:trPr>
          <w:trHeight w:val="647" w:hRule="exact"/>
        </w:trPr>
        <w:tc>
          <w:tcPr>
            <w:tcW w:w="8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9" w:lineRule="auto" w:before="10"/>
              <w:ind w:left="13" w:right="95"/>
              <w:jc w:val="left"/>
              <w:rPr>
                <w:rFonts w:ascii="宋体" w:hAnsi="宋体" w:cs="宋体" w:eastAsia="宋体" w:hint="default"/>
                <w:sz w:val="18"/>
                <w:szCs w:val="18"/>
              </w:rPr>
            </w:pPr>
            <w:r>
              <w:rPr>
                <w:rFonts w:ascii="宋体" w:hAnsi="宋体" w:cs="宋体" w:eastAsia="宋体" w:hint="default"/>
                <w:sz w:val="18"/>
                <w:szCs w:val="18"/>
              </w:rPr>
              <w:t>四、本期 期末余额</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130,005,000.00</w:t>
            </w:r>
          </w:p>
        </w:tc>
        <w:tc>
          <w:tcPr>
            <w:tcW w:w="260" w:type="dxa"/>
            <w:tcBorders>
              <w:top w:val="single" w:sz="6" w:space="0" w:color="000000"/>
              <w:left w:val="single" w:sz="6" w:space="0" w:color="000000"/>
              <w:bottom w:val="single" w:sz="12" w:space="0" w:color="000000"/>
              <w:right w:val="single" w:sz="6" w:space="0" w:color="000000"/>
            </w:tcBorders>
          </w:tcPr>
          <w:p>
            <w:pPr/>
          </w:p>
        </w:tc>
        <w:tc>
          <w:tcPr>
            <w:tcW w:w="306"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363,890,702.61</w:t>
            </w:r>
          </w:p>
        </w:tc>
        <w:tc>
          <w:tcPr>
            <w:tcW w:w="284"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2" w:right="0"/>
              <w:jc w:val="left"/>
              <w:rPr>
                <w:rFonts w:ascii="宋体" w:hAnsi="宋体" w:cs="宋体" w:eastAsia="宋体" w:hint="default"/>
                <w:sz w:val="18"/>
                <w:szCs w:val="18"/>
              </w:rPr>
            </w:pPr>
            <w:r>
              <w:rPr>
                <w:rFonts w:ascii="宋体"/>
                <w:sz w:val="18"/>
              </w:rPr>
              <w:t>17,728,817.66</w:t>
            </w:r>
          </w:p>
        </w:tc>
        <w:tc>
          <w:tcPr>
            <w:tcW w:w="425" w:type="dxa"/>
            <w:tcBorders>
              <w:top w:val="single" w:sz="6" w:space="0" w:color="000000"/>
              <w:left w:val="single" w:sz="6"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167,389,661.85</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9,544,720.69</w:t>
            </w:r>
          </w:p>
        </w:tc>
        <w:tc>
          <w:tcPr>
            <w:tcW w:w="14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688,558,902.81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974" w:right="153"/>
        <w:jc w:val="left"/>
        <w:rPr>
          <w:b w:val="0"/>
          <w:bCs w:val="0"/>
        </w:rPr>
      </w:pPr>
      <w:bookmarkStart w:name="8、母公司所有者权益变动表" w:id="117"/>
      <w:bookmarkEnd w:id="117"/>
      <w:r>
        <w:rPr>
          <w:b w:val="0"/>
          <w:bCs w:val="0"/>
        </w:rPr>
      </w:r>
      <w:r>
        <w:rPr>
          <w:rFonts w:ascii="宋体" w:hAnsi="宋体" w:cs="宋体" w:eastAsia="宋体" w:hint="default"/>
        </w:rPr>
        <w:t>8</w:t>
      </w:r>
      <w:r>
        <w:rPr/>
        <w:t>、母公司所有者权益变动表</w:t>
      </w:r>
      <w:r>
        <w:rPr>
          <w:b w:val="0"/>
          <w:bCs w:val="0"/>
        </w:rPr>
      </w:r>
    </w:p>
    <w:p>
      <w:pPr>
        <w:spacing w:line="240" w:lineRule="auto" w:before="12"/>
        <w:rPr>
          <w:rFonts w:ascii="宋体" w:hAnsi="宋体" w:cs="宋体" w:eastAsia="宋体" w:hint="default"/>
          <w:b/>
          <w:bCs/>
          <w:sz w:val="27"/>
          <w:szCs w:val="27"/>
        </w:rPr>
      </w:pPr>
    </w:p>
    <w:p>
      <w:pPr>
        <w:tabs>
          <w:tab w:pos="9705" w:val="left" w:leader="none"/>
        </w:tabs>
        <w:spacing w:before="0"/>
        <w:ind w:left="974" w:right="153" w:firstLine="0"/>
        <w:jc w:val="left"/>
        <w:rPr>
          <w:rFonts w:ascii="宋体" w:hAnsi="宋体" w:cs="宋体" w:eastAsia="宋体" w:hint="default"/>
          <w:sz w:val="18"/>
          <w:szCs w:val="18"/>
        </w:rPr>
      </w:pPr>
      <w:r>
        <w:rPr>
          <w:rFonts w:ascii="宋体" w:hAnsi="宋体" w:cs="宋体" w:eastAsia="宋体" w:hint="default"/>
          <w:sz w:val="18"/>
          <w:szCs w:val="18"/>
        </w:rPr>
        <w:t>本期金额</w:t>
        <w:tab/>
        <w:t>单位：元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835"/>
        <w:gridCol w:w="1429"/>
        <w:gridCol w:w="283"/>
        <w:gridCol w:w="283"/>
        <w:gridCol w:w="283"/>
        <w:gridCol w:w="1418"/>
        <w:gridCol w:w="567"/>
        <w:gridCol w:w="1134"/>
        <w:gridCol w:w="568"/>
        <w:gridCol w:w="1559"/>
        <w:gridCol w:w="1418"/>
        <w:gridCol w:w="1559"/>
      </w:tblGrid>
      <w:tr>
        <w:trPr>
          <w:trHeight w:val="334" w:hRule="exact"/>
        </w:trPr>
        <w:tc>
          <w:tcPr>
            <w:tcW w:w="835" w:type="dxa"/>
            <w:vMerge w:val="restart"/>
            <w:tcBorders>
              <w:top w:val="single" w:sz="12" w:space="0" w:color="000000"/>
              <w:left w:val="single" w:sz="12" w:space="0" w:color="000000"/>
              <w:right w:val="single" w:sz="6" w:space="0" w:color="000000"/>
            </w:tcBorders>
            <w:shd w:val="clear" w:color="auto" w:fill="D2D2D2"/>
          </w:tcPr>
          <w:p>
            <w:pPr/>
          </w:p>
        </w:tc>
        <w:tc>
          <w:tcPr>
            <w:tcW w:w="10502" w:type="dxa"/>
            <w:gridSpan w:val="11"/>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79" w:hRule="exact"/>
        </w:trPr>
        <w:tc>
          <w:tcPr>
            <w:tcW w:w="835" w:type="dxa"/>
            <w:vMerge/>
            <w:tcBorders>
              <w:left w:val="single" w:sz="12" w:space="0" w:color="000000"/>
              <w:bottom w:val="nil" w:sz="6" w:space="0" w:color="auto"/>
              <w:right w:val="single" w:sz="6" w:space="0" w:color="000000"/>
            </w:tcBorders>
            <w:shd w:val="clear" w:color="auto" w:fill="D2D2D2"/>
          </w:tcPr>
          <w:p>
            <w:pPr/>
          </w:p>
        </w:tc>
        <w:tc>
          <w:tcPr>
            <w:tcW w:w="1429" w:type="dxa"/>
            <w:vMerge w:val="restart"/>
            <w:tcBorders>
              <w:top w:val="single" w:sz="6" w:space="0" w:color="000000"/>
              <w:left w:val="single" w:sz="6" w:space="0" w:color="000000"/>
              <w:right w:val="single" w:sz="6" w:space="0" w:color="000000"/>
            </w:tcBorders>
            <w:shd w:val="clear" w:color="auto" w:fill="D2D2D2"/>
          </w:tcPr>
          <w:p>
            <w:pPr/>
          </w:p>
        </w:tc>
        <w:tc>
          <w:tcPr>
            <w:tcW w:w="850"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0"/>
              <w:ind w:left="237" w:right="55"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418" w:type="dxa"/>
            <w:vMerge w:val="restart"/>
            <w:tcBorders>
              <w:top w:val="single" w:sz="6" w:space="0" w:color="000000"/>
              <w:left w:val="single" w:sz="6" w:space="0" w:color="000000"/>
              <w:right w:val="single" w:sz="6" w:space="0" w:color="000000"/>
            </w:tcBorders>
            <w:shd w:val="clear" w:color="auto" w:fill="D2D2D2"/>
          </w:tcPr>
          <w:p>
            <w:pPr/>
          </w:p>
        </w:tc>
        <w:tc>
          <w:tcPr>
            <w:tcW w:w="5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tcBorders>
              <w:top w:val="single" w:sz="6" w:space="0" w:color="000000"/>
              <w:left w:val="single" w:sz="6" w:space="0" w:color="000000"/>
              <w:bottom w:val="nil" w:sz="6" w:space="0" w:color="auto"/>
              <w:right w:val="single" w:sz="6" w:space="0" w:color="000000"/>
            </w:tcBorders>
            <w:shd w:val="clear" w:color="auto" w:fill="D2D2D2"/>
          </w:tcPr>
          <w:p>
            <w:pPr/>
          </w:p>
        </w:tc>
        <w:tc>
          <w:tcPr>
            <w:tcW w:w="568" w:type="dxa"/>
            <w:tcBorders>
              <w:top w:val="single" w:sz="6" w:space="0" w:color="000000"/>
              <w:left w:val="single" w:sz="6" w:space="0" w:color="000000"/>
              <w:bottom w:val="nil" w:sz="6" w:space="0" w:color="auto"/>
              <w:right w:val="single" w:sz="6" w:space="0" w:color="000000"/>
            </w:tcBorders>
            <w:shd w:val="clear" w:color="auto" w:fill="D2D2D2"/>
          </w:tcPr>
          <w:p>
            <w:pPr/>
          </w:p>
        </w:tc>
        <w:tc>
          <w:tcPr>
            <w:tcW w:w="1559" w:type="dxa"/>
            <w:vMerge w:val="restart"/>
            <w:tcBorders>
              <w:top w:val="single" w:sz="6" w:space="0" w:color="000000"/>
              <w:left w:val="single" w:sz="6" w:space="0" w:color="000000"/>
              <w:right w:val="single" w:sz="6" w:space="0" w:color="000000"/>
            </w:tcBorders>
            <w:shd w:val="clear" w:color="auto" w:fill="D2D2D2"/>
          </w:tcPr>
          <w:p>
            <w:pPr/>
          </w:p>
        </w:tc>
        <w:tc>
          <w:tcPr>
            <w:tcW w:w="1418" w:type="dxa"/>
            <w:vMerge w:val="restart"/>
            <w:tcBorders>
              <w:top w:val="single" w:sz="6" w:space="0" w:color="000000"/>
              <w:left w:val="single" w:sz="6" w:space="0" w:color="000000"/>
              <w:right w:val="single" w:sz="6" w:space="0" w:color="000000"/>
            </w:tcBorders>
            <w:shd w:val="clear" w:color="auto" w:fill="D2D2D2"/>
          </w:tcPr>
          <w:p>
            <w:pPr/>
          </w:p>
        </w:tc>
        <w:tc>
          <w:tcPr>
            <w:tcW w:w="1559" w:type="dxa"/>
            <w:vMerge w:val="restart"/>
            <w:tcBorders>
              <w:top w:val="single" w:sz="6" w:space="0" w:color="000000"/>
              <w:left w:val="single" w:sz="6" w:space="0" w:color="000000"/>
              <w:right w:val="single" w:sz="12" w:space="0" w:color="000000"/>
            </w:tcBorders>
            <w:shd w:val="clear" w:color="auto" w:fill="D2D2D2"/>
          </w:tcPr>
          <w:p>
            <w:pPr/>
          </w:p>
        </w:tc>
      </w:tr>
      <w:tr>
        <w:trPr>
          <w:trHeight w:val="160" w:hRule="exact"/>
        </w:trPr>
        <w:tc>
          <w:tcPr>
            <w:tcW w:w="835"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6"/>
              <w:ind w:left="22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tcBorders>
              <w:left w:val="single" w:sz="6" w:space="0" w:color="000000"/>
              <w:bottom w:val="nil" w:sz="6" w:space="0" w:color="auto"/>
              <w:right w:val="single" w:sz="6" w:space="0" w:color="000000"/>
            </w:tcBorders>
            <w:shd w:val="clear" w:color="auto" w:fill="D2D2D2"/>
          </w:tcPr>
          <w:p>
            <w:pPr/>
          </w:p>
        </w:tc>
        <w:tc>
          <w:tcPr>
            <w:tcW w:w="850" w:type="dxa"/>
            <w:gridSpan w:val="3"/>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567"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4"/>
              <w:ind w:left="96" w:right="18"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4"/>
              <w:ind w:left="470" w:right="10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8"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4"/>
              <w:ind w:left="97" w:right="9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59" w:type="dxa"/>
            <w:vMerge/>
            <w:tcBorders>
              <w:left w:val="single" w:sz="6" w:space="0" w:color="000000"/>
              <w:bottom w:val="nil" w:sz="6" w:space="0" w:color="auto"/>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1559" w:type="dxa"/>
            <w:vMerge/>
            <w:tcBorders>
              <w:left w:val="single" w:sz="6" w:space="0" w:color="000000"/>
              <w:bottom w:val="nil" w:sz="6" w:space="0" w:color="auto"/>
              <w:right w:val="single" w:sz="12" w:space="0" w:color="000000"/>
            </w:tcBorders>
            <w:shd w:val="clear" w:color="auto" w:fill="D2D2D2"/>
          </w:tcPr>
          <w:p>
            <w:pPr/>
          </w:p>
        </w:tc>
      </w:tr>
      <w:tr>
        <w:trPr>
          <w:trHeight w:val="155" w:hRule="exact"/>
        </w:trPr>
        <w:tc>
          <w:tcPr>
            <w:tcW w:w="835" w:type="dxa"/>
            <w:vMerge/>
            <w:tcBorders>
              <w:left w:val="single" w:sz="12" w:space="0" w:color="000000"/>
              <w:bottom w:val="nil" w:sz="6" w:space="0" w:color="auto"/>
              <w:right w:val="single" w:sz="6" w:space="0" w:color="000000"/>
            </w:tcBorders>
            <w:shd w:val="clear" w:color="auto" w:fill="D2D2D2"/>
          </w:tcPr>
          <w:p>
            <w:pPr/>
          </w:p>
        </w:tc>
        <w:tc>
          <w:tcPr>
            <w:tcW w:w="142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0"/>
              <w:ind w:left="43" w:right="4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0"/>
              <w:ind w:left="44" w:right="4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7"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568" w:type="dxa"/>
            <w:vMerge/>
            <w:tcBorders>
              <w:left w:val="single" w:sz="6" w:space="0" w:color="000000"/>
              <w:right w:val="single" w:sz="6" w:space="0" w:color="000000"/>
            </w:tcBorders>
            <w:shd w:val="clear" w:color="auto" w:fill="D2D2D2"/>
          </w:tcPr>
          <w:p>
            <w:pPr/>
          </w:p>
        </w:tc>
        <w:tc>
          <w:tcPr>
            <w:tcW w:w="155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41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25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9"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57" w:hRule="exact"/>
        </w:trPr>
        <w:tc>
          <w:tcPr>
            <w:tcW w:w="835" w:type="dxa"/>
            <w:vMerge w:val="restart"/>
            <w:tcBorders>
              <w:top w:val="nil" w:sz="6" w:space="0" w:color="auto"/>
              <w:left w:val="single" w:sz="12" w:space="0" w:color="000000"/>
              <w:right w:val="single" w:sz="6" w:space="0" w:color="000000"/>
            </w:tcBorders>
            <w:shd w:val="clear" w:color="auto" w:fill="D2D2D2"/>
          </w:tcPr>
          <w:p>
            <w:pPr/>
          </w:p>
        </w:tc>
        <w:tc>
          <w:tcPr>
            <w:tcW w:w="1429" w:type="dxa"/>
            <w:vMerge/>
            <w:tcBorders>
              <w:left w:val="single" w:sz="6" w:space="0" w:color="000000"/>
              <w:bottom w:val="nil" w:sz="6" w:space="0" w:color="auto"/>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8"/>
              <w:ind w:left="44" w:right="42"/>
              <w:jc w:val="left"/>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tcBorders>
              <w:left w:val="single" w:sz="6" w:space="0" w:color="000000"/>
              <w:bottom w:val="nil" w:sz="6" w:space="0" w:color="auto"/>
              <w:right w:val="single" w:sz="6" w:space="0" w:color="000000"/>
            </w:tcBorders>
            <w:shd w:val="clear" w:color="auto" w:fill="D2D2D2"/>
          </w:tcPr>
          <w:p>
            <w:pPr/>
          </w:p>
        </w:tc>
        <w:tc>
          <w:tcPr>
            <w:tcW w:w="567"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568" w:type="dxa"/>
            <w:vMerge/>
            <w:tcBorders>
              <w:left w:val="single" w:sz="6" w:space="0" w:color="000000"/>
              <w:right w:val="single" w:sz="6" w:space="0" w:color="000000"/>
            </w:tcBorders>
            <w:shd w:val="clear" w:color="auto" w:fill="D2D2D2"/>
          </w:tcPr>
          <w:p>
            <w:pPr/>
          </w:p>
        </w:tc>
        <w:tc>
          <w:tcPr>
            <w:tcW w:w="1559" w:type="dxa"/>
            <w:vMerge/>
            <w:tcBorders>
              <w:left w:val="single" w:sz="6" w:space="0" w:color="000000"/>
              <w:bottom w:val="nil" w:sz="6" w:space="0" w:color="auto"/>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1559" w:type="dxa"/>
            <w:vMerge/>
            <w:tcBorders>
              <w:left w:val="single" w:sz="6" w:space="0" w:color="000000"/>
              <w:bottom w:val="nil" w:sz="6" w:space="0" w:color="auto"/>
              <w:right w:val="single" w:sz="12" w:space="0" w:color="000000"/>
            </w:tcBorders>
            <w:shd w:val="clear" w:color="auto" w:fill="D2D2D2"/>
          </w:tcPr>
          <w:p>
            <w:pPr/>
          </w:p>
        </w:tc>
      </w:tr>
      <w:tr>
        <w:trPr>
          <w:trHeight w:val="156" w:hRule="exact"/>
        </w:trPr>
        <w:tc>
          <w:tcPr>
            <w:tcW w:w="835" w:type="dxa"/>
            <w:vMerge/>
            <w:tcBorders>
              <w:left w:val="single" w:sz="12" w:space="0" w:color="000000"/>
              <w:right w:val="single" w:sz="6" w:space="0" w:color="000000"/>
            </w:tcBorders>
            <w:shd w:val="clear" w:color="auto" w:fill="D2D2D2"/>
          </w:tcPr>
          <w:p>
            <w:pPr/>
          </w:p>
        </w:tc>
        <w:tc>
          <w:tcPr>
            <w:tcW w:w="1429" w:type="dxa"/>
            <w:vMerge w:val="restart"/>
            <w:tcBorders>
              <w:top w:val="nil" w:sz="6" w:space="0" w:color="auto"/>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
        </w:tc>
        <w:tc>
          <w:tcPr>
            <w:tcW w:w="567"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568" w:type="dxa"/>
            <w:vMerge/>
            <w:tcBorders>
              <w:left w:val="single" w:sz="6" w:space="0" w:color="000000"/>
              <w:bottom w:val="nil" w:sz="6" w:space="0" w:color="auto"/>
              <w:right w:val="single" w:sz="6" w:space="0" w:color="000000"/>
            </w:tcBorders>
            <w:shd w:val="clear" w:color="auto" w:fill="D2D2D2"/>
          </w:tcPr>
          <w:p>
            <w:pPr/>
          </w:p>
        </w:tc>
        <w:tc>
          <w:tcPr>
            <w:tcW w:w="1559" w:type="dxa"/>
            <w:vMerge w:val="restart"/>
            <w:tcBorders>
              <w:top w:val="nil" w:sz="6" w:space="0" w:color="auto"/>
              <w:left w:val="single" w:sz="6"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
        </w:tc>
        <w:tc>
          <w:tcPr>
            <w:tcW w:w="1559" w:type="dxa"/>
            <w:vMerge w:val="restart"/>
            <w:tcBorders>
              <w:top w:val="nil" w:sz="6" w:space="0" w:color="auto"/>
              <w:left w:val="single" w:sz="6" w:space="0" w:color="000000"/>
              <w:right w:val="single" w:sz="12" w:space="0" w:color="000000"/>
            </w:tcBorders>
            <w:shd w:val="clear" w:color="auto" w:fill="D2D2D2"/>
          </w:tcPr>
          <w:p>
            <w:pPr/>
          </w:p>
        </w:tc>
      </w:tr>
      <w:tr>
        <w:trPr>
          <w:trHeight w:val="319" w:hRule="exact"/>
        </w:trPr>
        <w:tc>
          <w:tcPr>
            <w:tcW w:w="835" w:type="dxa"/>
            <w:vMerge/>
            <w:tcBorders>
              <w:left w:val="single" w:sz="12" w:space="0" w:color="000000"/>
              <w:right w:val="single" w:sz="6" w:space="0" w:color="000000"/>
            </w:tcBorders>
            <w:shd w:val="clear" w:color="auto" w:fill="D2D2D2"/>
          </w:tcPr>
          <w:p>
            <w:pPr/>
          </w:p>
        </w:tc>
        <w:tc>
          <w:tcPr>
            <w:tcW w:w="1429"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bottom w:val="nil" w:sz="6" w:space="0" w:color="auto"/>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567" w:type="dxa"/>
            <w:vMerge w:val="restart"/>
            <w:tcBorders>
              <w:top w:val="nil" w:sz="6" w:space="0" w:color="auto"/>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568" w:type="dxa"/>
            <w:vMerge w:val="restart"/>
            <w:tcBorders>
              <w:top w:val="nil" w:sz="6" w:space="0" w:color="auto"/>
              <w:left w:val="single" w:sz="6" w:space="0" w:color="000000"/>
              <w:right w:val="single" w:sz="6" w:space="0" w:color="000000"/>
            </w:tcBorders>
            <w:shd w:val="clear" w:color="auto" w:fill="D2D2D2"/>
          </w:tcPr>
          <w:p>
            <w:pPr/>
          </w:p>
        </w:tc>
        <w:tc>
          <w:tcPr>
            <w:tcW w:w="1559"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1559" w:type="dxa"/>
            <w:vMerge/>
            <w:tcBorders>
              <w:left w:val="single" w:sz="6" w:space="0" w:color="000000"/>
              <w:right w:val="single" w:sz="12" w:space="0" w:color="000000"/>
            </w:tcBorders>
            <w:shd w:val="clear" w:color="auto" w:fill="D2D2D2"/>
          </w:tcPr>
          <w:p>
            <w:pPr/>
          </w:p>
        </w:tc>
      </w:tr>
      <w:tr>
        <w:trPr>
          <w:trHeight w:val="163" w:hRule="exact"/>
        </w:trPr>
        <w:tc>
          <w:tcPr>
            <w:tcW w:w="835" w:type="dxa"/>
            <w:vMerge/>
            <w:tcBorders>
              <w:left w:val="single" w:sz="12" w:space="0" w:color="000000"/>
              <w:bottom w:val="single" w:sz="6" w:space="0" w:color="000000"/>
              <w:right w:val="single" w:sz="6" w:space="0" w:color="000000"/>
            </w:tcBorders>
            <w:shd w:val="clear" w:color="auto" w:fill="D2D2D2"/>
          </w:tcPr>
          <w:p>
            <w:pPr/>
          </w:p>
        </w:tc>
        <w:tc>
          <w:tcPr>
            <w:tcW w:w="1429"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283"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6" w:space="0" w:color="000000"/>
            </w:tcBorders>
            <w:shd w:val="clear" w:color="auto" w:fill="D2D2D2"/>
          </w:tcPr>
          <w:p>
            <w:pPr/>
          </w:p>
        </w:tc>
        <w:tc>
          <w:tcPr>
            <w:tcW w:w="567"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568" w:type="dxa"/>
            <w:vMerge/>
            <w:tcBorders>
              <w:left w:val="single" w:sz="6" w:space="0" w:color="000000"/>
              <w:bottom w:val="single" w:sz="6" w:space="0" w:color="000000"/>
              <w:right w:val="single" w:sz="6" w:space="0" w:color="000000"/>
            </w:tcBorders>
            <w:shd w:val="clear" w:color="auto" w:fill="D2D2D2"/>
          </w:tcPr>
          <w:p>
            <w:pPr/>
          </w:p>
        </w:tc>
        <w:tc>
          <w:tcPr>
            <w:tcW w:w="1559" w:type="dxa"/>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6" w:space="0" w:color="000000"/>
            </w:tcBorders>
            <w:shd w:val="clear" w:color="auto" w:fill="D2D2D2"/>
          </w:tcPr>
          <w:p>
            <w:pPr/>
          </w:p>
        </w:tc>
        <w:tc>
          <w:tcPr>
            <w:tcW w:w="1559" w:type="dxa"/>
            <w:vMerge/>
            <w:tcBorders>
              <w:left w:val="single" w:sz="6" w:space="0" w:color="000000"/>
              <w:bottom w:val="single" w:sz="6" w:space="0" w:color="000000"/>
              <w:right w:val="single" w:sz="12" w:space="0" w:color="000000"/>
            </w:tcBorders>
            <w:shd w:val="clear" w:color="auto" w:fill="D2D2D2"/>
          </w:tcPr>
          <w:p>
            <w:pPr/>
          </w:p>
        </w:tc>
      </w:tr>
      <w:tr>
        <w:trPr>
          <w:trHeight w:val="638"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6" w:right="83"/>
              <w:jc w:val="left"/>
              <w:rPr>
                <w:rFonts w:ascii="宋体" w:hAnsi="宋体" w:cs="宋体" w:eastAsia="宋体" w:hint="default"/>
                <w:sz w:val="18"/>
                <w:szCs w:val="18"/>
              </w:rPr>
            </w:pPr>
            <w:r>
              <w:rPr>
                <w:rFonts w:ascii="宋体" w:hAnsi="宋体" w:cs="宋体" w:eastAsia="宋体" w:hint="default"/>
                <w:sz w:val="18"/>
                <w:szCs w:val="18"/>
              </w:rPr>
              <w:t>一、上年 期末余额</w:t>
            </w:r>
          </w:p>
        </w:tc>
        <w:tc>
          <w:tcPr>
            <w:tcW w:w="142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130,005,000.00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363,528,902.61</w:t>
            </w: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2" w:right="0"/>
              <w:jc w:val="left"/>
              <w:rPr>
                <w:rFonts w:ascii="宋体" w:hAnsi="宋体" w:cs="宋体" w:eastAsia="宋体" w:hint="default"/>
                <w:sz w:val="18"/>
                <w:szCs w:val="18"/>
              </w:rPr>
            </w:pPr>
            <w:r>
              <w:rPr>
                <w:rFonts w:ascii="宋体"/>
                <w:sz w:val="18"/>
              </w:rPr>
              <w:t>17,728,817.66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120,558,358.81</w:t>
            </w: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2" w:right="0"/>
              <w:jc w:val="left"/>
              <w:rPr>
                <w:rFonts w:ascii="宋体" w:hAnsi="宋体" w:cs="宋体" w:eastAsia="宋体" w:hint="default"/>
                <w:sz w:val="18"/>
                <w:szCs w:val="18"/>
              </w:rPr>
            </w:pPr>
            <w:r>
              <w:rPr>
                <w:rFonts w:ascii="宋体"/>
                <w:sz w:val="18"/>
              </w:rPr>
              <w:t>631,821,079.08</w:t>
            </w:r>
          </w:p>
        </w:tc>
      </w:tr>
      <w:tr>
        <w:trPr>
          <w:trHeight w:val="952"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6" w:right="83" w:firstLine="360"/>
              <w:jc w:val="both"/>
              <w:rPr>
                <w:rFonts w:ascii="宋体" w:hAnsi="宋体" w:cs="宋体" w:eastAsia="宋体" w:hint="default"/>
                <w:sz w:val="18"/>
                <w:szCs w:val="18"/>
              </w:rPr>
            </w:pPr>
            <w:r>
              <w:rPr>
                <w:rFonts w:ascii="宋体" w:hAnsi="宋体" w:cs="宋体" w:eastAsia="宋体" w:hint="default"/>
                <w:sz w:val="18"/>
                <w:szCs w:val="18"/>
              </w:rPr>
              <w:t>加： 会计政策 变更</w:t>
            </w:r>
          </w:p>
        </w:tc>
        <w:tc>
          <w:tcPr>
            <w:tcW w:w="1429"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951"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6" w:right="83"/>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1429"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47" w:hRule="exact"/>
        </w:trPr>
        <w:tc>
          <w:tcPr>
            <w:tcW w:w="83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6" w:space="0" w:color="000000"/>
              <w:left w:val="single" w:sz="14" w:space="0" w:color="D2D2D2"/>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567"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160" w:right="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851"/>
        <w:gridCol w:w="1419"/>
        <w:gridCol w:w="283"/>
        <w:gridCol w:w="283"/>
        <w:gridCol w:w="283"/>
        <w:gridCol w:w="1418"/>
        <w:gridCol w:w="567"/>
        <w:gridCol w:w="1134"/>
        <w:gridCol w:w="568"/>
        <w:gridCol w:w="1559"/>
        <w:gridCol w:w="1418"/>
        <w:gridCol w:w="1559"/>
      </w:tblGrid>
      <w:tr>
        <w:trPr>
          <w:trHeight w:val="646" w:hRule="exact"/>
        </w:trPr>
        <w:tc>
          <w:tcPr>
            <w:tcW w:w="8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95"/>
              <w:jc w:val="left"/>
              <w:rPr>
                <w:rFonts w:ascii="宋体" w:hAnsi="宋体" w:cs="宋体" w:eastAsia="宋体" w:hint="default"/>
                <w:sz w:val="18"/>
                <w:szCs w:val="18"/>
              </w:rPr>
            </w:pPr>
            <w:r>
              <w:rPr>
                <w:rFonts w:ascii="宋体" w:hAnsi="宋体" w:cs="宋体" w:eastAsia="宋体" w:hint="default"/>
                <w:sz w:val="18"/>
                <w:szCs w:val="18"/>
              </w:rPr>
              <w:t>二、本年 期初余额</w:t>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130,005,000.00</w:t>
            </w:r>
          </w:p>
        </w:tc>
        <w:tc>
          <w:tcPr>
            <w:tcW w:w="283"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363,528,902.61</w:t>
            </w:r>
          </w:p>
        </w:tc>
        <w:tc>
          <w:tcPr>
            <w:tcW w:w="567" w:type="dxa"/>
            <w:tcBorders>
              <w:top w:val="single" w:sz="12" w:space="0" w:color="000000"/>
              <w:left w:val="single" w:sz="6" w:space="0" w:color="000000"/>
              <w:bottom w:val="single" w:sz="6" w:space="0" w:color="000000"/>
              <w:right w:val="single" w:sz="6" w:space="0" w:color="000000"/>
            </w:tcBorders>
          </w:tcPr>
          <w:p>
            <w:pPr/>
          </w:p>
        </w:tc>
        <w:tc>
          <w:tcPr>
            <w:tcW w:w="1134" w:type="dxa"/>
            <w:tcBorders>
              <w:top w:val="single" w:sz="12" w:space="0" w:color="000000"/>
              <w:left w:val="single" w:sz="6" w:space="0" w:color="000000"/>
              <w:bottom w:val="single" w:sz="6" w:space="0" w:color="000000"/>
              <w:right w:val="single" w:sz="6" w:space="0" w:color="000000"/>
            </w:tcBorders>
          </w:tcPr>
          <w:p>
            <w:pPr/>
          </w:p>
        </w:tc>
        <w:tc>
          <w:tcPr>
            <w:tcW w:w="568" w:type="dxa"/>
            <w:tcBorders>
              <w:top w:val="single" w:sz="12" w:space="0" w:color="000000"/>
              <w:left w:val="single" w:sz="6" w:space="0" w:color="000000"/>
              <w:bottom w:val="single" w:sz="6" w:space="0" w:color="000000"/>
              <w:right w:val="single" w:sz="6" w:space="0" w:color="000000"/>
            </w:tcBorders>
          </w:tcPr>
          <w:p>
            <w:pP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17,728,817.66</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120,558,358.81</w:t>
            </w:r>
          </w:p>
        </w:tc>
        <w:tc>
          <w:tcPr>
            <w:tcW w:w="155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631,821,079.08</w:t>
            </w:r>
          </w:p>
        </w:tc>
      </w:tr>
      <w:tr>
        <w:trPr>
          <w:trHeight w:val="1887"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95"/>
              <w:jc w:val="left"/>
              <w:rPr>
                <w:rFonts w:ascii="宋体" w:hAnsi="宋体" w:cs="宋体" w:eastAsia="宋体" w:hint="default"/>
                <w:sz w:val="18"/>
                <w:szCs w:val="18"/>
              </w:rPr>
            </w:pPr>
            <w:r>
              <w:rPr>
                <w:rFonts w:ascii="宋体" w:hAnsi="宋体" w:cs="宋体" w:eastAsia="宋体" w:hint="default"/>
                <w:sz w:val="18"/>
                <w:szCs w:val="18"/>
              </w:rPr>
              <w:t>三、本期 增减变动 金额（减 少以 “－”号 填列）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31,216,848.00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555,710,128.16</w:t>
            </w: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2,694,609.04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11,250,981.37</w:t>
            </w: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600,872,566.57</w:t>
            </w:r>
          </w:p>
        </w:tc>
      </w:tr>
      <w:tr>
        <w:trPr>
          <w:trHeight w:val="952"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95"/>
              <w:jc w:val="both"/>
              <w:rPr>
                <w:rFonts w:ascii="宋体" w:hAnsi="宋体" w:cs="宋体" w:eastAsia="宋体" w:hint="default"/>
                <w:sz w:val="18"/>
                <w:szCs w:val="18"/>
              </w:rPr>
            </w:pPr>
            <w:r>
              <w:rPr>
                <w:rFonts w:ascii="宋体" w:hAnsi="宋体" w:cs="宋体" w:eastAsia="宋体" w:hint="default"/>
                <w:sz w:val="18"/>
                <w:szCs w:val="18"/>
              </w:rPr>
              <w:t>（一）综 合收益总 额</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9"/>
              <w:jc w:val="right"/>
              <w:rPr>
                <w:rFonts w:ascii="宋体" w:hAnsi="宋体" w:cs="宋体" w:eastAsia="宋体" w:hint="default"/>
                <w:sz w:val="18"/>
                <w:szCs w:val="18"/>
              </w:rPr>
            </w:pPr>
            <w:r>
              <w:rPr>
                <w:rFonts w:ascii="宋体"/>
                <w:sz w:val="18"/>
              </w:rPr>
              <w:t>26,946,090.41</w:t>
            </w: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
              <w:jc w:val="right"/>
              <w:rPr>
                <w:rFonts w:ascii="宋体" w:hAnsi="宋体" w:cs="宋体" w:eastAsia="宋体" w:hint="default"/>
                <w:sz w:val="18"/>
                <w:szCs w:val="18"/>
              </w:rPr>
            </w:pPr>
            <w:r>
              <w:rPr>
                <w:rFonts w:ascii="宋体"/>
                <w:sz w:val="18"/>
              </w:rPr>
              <w:t>26,946,090.41</w:t>
            </w:r>
          </w:p>
        </w:tc>
      </w:tr>
      <w:tr>
        <w:trPr>
          <w:trHeight w:val="1262"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95"/>
              <w:jc w:val="both"/>
              <w:rPr>
                <w:rFonts w:ascii="宋体" w:hAnsi="宋体" w:cs="宋体" w:eastAsia="宋体" w:hint="default"/>
                <w:sz w:val="18"/>
                <w:szCs w:val="18"/>
              </w:rPr>
            </w:pPr>
            <w:r>
              <w:rPr>
                <w:rFonts w:ascii="宋体" w:hAnsi="宋体" w:cs="宋体" w:eastAsia="宋体" w:hint="default"/>
                <w:sz w:val="18"/>
                <w:szCs w:val="18"/>
              </w:rPr>
              <w:t>（二）所 有者投入 和减少资 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z w:val="18"/>
              </w:rPr>
              <w:t>31,216,848.00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宋体"/>
                <w:sz w:val="18"/>
              </w:rPr>
              <w:t>555,710,128.16</w:t>
            </w: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586,926,976.16</w:t>
            </w:r>
          </w:p>
        </w:tc>
      </w:tr>
      <w:tr>
        <w:trPr>
          <w:trHeight w:val="952"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．股东投</w:t>
            </w:r>
            <w:r>
              <w:rPr>
                <w:rFonts w:ascii="宋体" w:hAnsi="宋体" w:cs="宋体" w:eastAsia="宋体" w:hint="default"/>
                <w:sz w:val="18"/>
                <w:szCs w:val="18"/>
              </w:rPr>
              <w:t> 入的普通 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1"/>
              <w:jc w:val="right"/>
              <w:rPr>
                <w:rFonts w:ascii="宋体" w:hAnsi="宋体" w:cs="宋体" w:eastAsia="宋体" w:hint="default"/>
                <w:sz w:val="18"/>
                <w:szCs w:val="18"/>
              </w:rPr>
            </w:pPr>
            <w:r>
              <w:rPr>
                <w:rFonts w:ascii="宋体"/>
                <w:sz w:val="18"/>
              </w:rPr>
              <w:t>31,216,848.00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9"/>
              <w:jc w:val="right"/>
              <w:rPr>
                <w:rFonts w:ascii="宋体" w:hAnsi="宋体" w:cs="宋体" w:eastAsia="宋体" w:hint="default"/>
                <w:sz w:val="18"/>
                <w:szCs w:val="18"/>
              </w:rPr>
            </w:pPr>
            <w:r>
              <w:rPr>
                <w:rFonts w:ascii="宋体"/>
                <w:sz w:val="18"/>
              </w:rPr>
              <w:t>555,710,128.16</w:t>
            </w: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
              <w:jc w:val="right"/>
              <w:rPr>
                <w:rFonts w:ascii="宋体" w:hAnsi="宋体" w:cs="宋体" w:eastAsia="宋体" w:hint="default"/>
                <w:sz w:val="18"/>
                <w:szCs w:val="18"/>
              </w:rPr>
            </w:pPr>
            <w:r>
              <w:rPr>
                <w:rFonts w:ascii="宋体"/>
                <w:sz w:val="18"/>
              </w:rPr>
              <w:t>586,926,976.16</w:t>
            </w:r>
          </w:p>
        </w:tc>
      </w:tr>
      <w:tr>
        <w:trPr>
          <w:trHeight w:val="1263"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w:t>
            </w:r>
            <w:r>
              <w:rPr>
                <w:rFonts w:ascii="宋体" w:hAnsi="宋体" w:cs="宋体" w:eastAsia="宋体" w:hint="default"/>
                <w:sz w:val="18"/>
                <w:szCs w:val="18"/>
              </w:rPr>
              <w:t> 益工具持 有者投入 资本</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126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w:t>
            </w:r>
            <w:r>
              <w:rPr>
                <w:rFonts w:ascii="宋体" w:hAnsi="宋体" w:cs="宋体" w:eastAsia="宋体" w:hint="default"/>
                <w:sz w:val="18"/>
                <w:szCs w:val="18"/>
              </w:rPr>
              <w:t> 付计入所 有者权益 的金额</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95"/>
              <w:jc w:val="left"/>
              <w:rPr>
                <w:rFonts w:ascii="宋体" w:hAnsi="宋体" w:cs="宋体" w:eastAsia="宋体" w:hint="default"/>
                <w:sz w:val="18"/>
                <w:szCs w:val="18"/>
              </w:rPr>
            </w:pPr>
            <w:r>
              <w:rPr>
                <w:rFonts w:ascii="宋体" w:hAnsi="宋体" w:cs="宋体" w:eastAsia="宋体" w:hint="default"/>
                <w:sz w:val="18"/>
                <w:szCs w:val="18"/>
              </w:rPr>
              <w:t>（三）利 润分配</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2,694,609.04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-15,695,109.04</w:t>
            </w: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-13,000,500.00</w:t>
            </w:r>
          </w:p>
        </w:tc>
      </w:tr>
      <w:tr>
        <w:trPr>
          <w:trHeight w:val="63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．提取盈</w:t>
            </w:r>
            <w:r>
              <w:rPr>
                <w:rFonts w:ascii="宋体" w:hAnsi="宋体" w:cs="宋体" w:eastAsia="宋体" w:hint="default"/>
                <w:sz w:val="18"/>
                <w:szCs w:val="18"/>
              </w:rPr>
              <w:t> 余公积</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2,694,609.04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-2,694,609.04</w:t>
            </w: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126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w:t>
            </w:r>
            <w:r>
              <w:rPr>
                <w:rFonts w:ascii="宋体" w:hAnsi="宋体" w:cs="宋体" w:eastAsia="宋体" w:hint="default"/>
                <w:sz w:val="18"/>
                <w:szCs w:val="18"/>
              </w:rPr>
              <w:t> 者（或股 东）的分 配</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宋体"/>
                <w:sz w:val="18"/>
              </w:rPr>
              <w:t>-13,000,500.00</w:t>
            </w: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-13,000,500.00</w:t>
            </w:r>
          </w:p>
        </w:tc>
      </w:tr>
      <w:tr>
        <w:trPr>
          <w:trHeight w:val="32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952"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95"/>
              <w:jc w:val="both"/>
              <w:rPr>
                <w:rFonts w:ascii="宋体" w:hAnsi="宋体" w:cs="宋体" w:eastAsia="宋体" w:hint="default"/>
                <w:sz w:val="18"/>
                <w:szCs w:val="18"/>
              </w:rPr>
            </w:pPr>
            <w:r>
              <w:rPr>
                <w:rFonts w:ascii="宋体" w:hAnsi="宋体" w:cs="宋体" w:eastAsia="宋体" w:hint="default"/>
                <w:sz w:val="18"/>
                <w:szCs w:val="18"/>
              </w:rPr>
              <w:t>（四）所 有者权益 内部结转</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1271" w:hRule="exact"/>
        </w:trPr>
        <w:tc>
          <w:tcPr>
            <w:tcW w:w="8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w:t>
            </w:r>
            <w:r>
              <w:rPr>
                <w:rFonts w:ascii="宋体" w:hAnsi="宋体" w:cs="宋体" w:eastAsia="宋体" w:hint="default"/>
                <w:sz w:val="18"/>
                <w:szCs w:val="18"/>
              </w:rPr>
              <w:t> 积转增资 本（或股 本）</w:t>
            </w:r>
          </w:p>
        </w:tc>
        <w:tc>
          <w:tcPr>
            <w:tcW w:w="1419"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567"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160" w:right="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851"/>
        <w:gridCol w:w="1419"/>
        <w:gridCol w:w="283"/>
        <w:gridCol w:w="283"/>
        <w:gridCol w:w="283"/>
        <w:gridCol w:w="1418"/>
        <w:gridCol w:w="567"/>
        <w:gridCol w:w="1134"/>
        <w:gridCol w:w="568"/>
        <w:gridCol w:w="1559"/>
        <w:gridCol w:w="1418"/>
        <w:gridCol w:w="1559"/>
      </w:tblGrid>
      <w:tr>
        <w:trPr>
          <w:trHeight w:val="1270" w:hRule="exact"/>
        </w:trPr>
        <w:tc>
          <w:tcPr>
            <w:tcW w:w="8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w:t>
            </w:r>
            <w:r>
              <w:rPr>
                <w:rFonts w:ascii="宋体" w:hAnsi="宋体" w:cs="宋体" w:eastAsia="宋体" w:hint="default"/>
                <w:sz w:val="18"/>
                <w:szCs w:val="18"/>
              </w:rPr>
              <w:t> 积转增资 本（或股 本）</w:t>
            </w:r>
          </w:p>
        </w:tc>
        <w:tc>
          <w:tcPr>
            <w:tcW w:w="1419"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567" w:type="dxa"/>
            <w:tcBorders>
              <w:top w:val="single" w:sz="12" w:space="0" w:color="000000"/>
              <w:left w:val="single" w:sz="6" w:space="0" w:color="000000"/>
              <w:bottom w:val="single" w:sz="6" w:space="0" w:color="000000"/>
              <w:right w:val="single" w:sz="6" w:space="0" w:color="000000"/>
            </w:tcBorders>
          </w:tcPr>
          <w:p>
            <w:pPr/>
          </w:p>
        </w:tc>
        <w:tc>
          <w:tcPr>
            <w:tcW w:w="1134" w:type="dxa"/>
            <w:tcBorders>
              <w:top w:val="single" w:sz="12" w:space="0" w:color="000000"/>
              <w:left w:val="single" w:sz="6" w:space="0" w:color="000000"/>
              <w:bottom w:val="single" w:sz="6" w:space="0" w:color="000000"/>
              <w:right w:val="single" w:sz="6" w:space="0" w:color="000000"/>
            </w:tcBorders>
          </w:tcPr>
          <w:p>
            <w:pPr/>
          </w:p>
        </w:tc>
        <w:tc>
          <w:tcPr>
            <w:tcW w:w="568" w:type="dxa"/>
            <w:tcBorders>
              <w:top w:val="single" w:sz="12" w:space="0" w:color="000000"/>
              <w:left w:val="single" w:sz="6" w:space="0" w:color="000000"/>
              <w:bottom w:val="single" w:sz="6" w:space="0" w:color="000000"/>
              <w:right w:val="single" w:sz="6" w:space="0" w:color="000000"/>
            </w:tcBorders>
          </w:tcPr>
          <w:p>
            <w:pPr/>
          </w:p>
        </w:tc>
        <w:tc>
          <w:tcPr>
            <w:tcW w:w="1559"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1559" w:type="dxa"/>
            <w:tcBorders>
              <w:top w:val="single" w:sz="12" w:space="0" w:color="000000"/>
              <w:left w:val="single" w:sz="6" w:space="0" w:color="000000"/>
              <w:bottom w:val="single" w:sz="6" w:space="0" w:color="000000"/>
              <w:right w:val="single" w:sz="12" w:space="0" w:color="000000"/>
            </w:tcBorders>
          </w:tcPr>
          <w:p>
            <w:pPr/>
          </w:p>
        </w:tc>
      </w:tr>
      <w:tr>
        <w:trPr>
          <w:trHeight w:val="951"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w:t>
            </w:r>
            <w:r>
              <w:rPr>
                <w:rFonts w:ascii="宋体" w:hAnsi="宋体" w:cs="宋体" w:eastAsia="宋体" w:hint="default"/>
                <w:sz w:val="18"/>
                <w:szCs w:val="18"/>
              </w:rPr>
              <w:t> 积弥补亏 损</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95"/>
              <w:jc w:val="left"/>
              <w:rPr>
                <w:rFonts w:ascii="宋体" w:hAnsi="宋体" w:cs="宋体" w:eastAsia="宋体" w:hint="default"/>
                <w:sz w:val="18"/>
                <w:szCs w:val="18"/>
              </w:rPr>
            </w:pPr>
            <w:r>
              <w:rPr>
                <w:rFonts w:ascii="宋体" w:hAnsi="宋体" w:cs="宋体" w:eastAsia="宋体" w:hint="default"/>
                <w:sz w:val="18"/>
                <w:szCs w:val="18"/>
              </w:rPr>
              <w:t>（五）专 项储备</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．本期提</w:t>
            </w:r>
            <w:r>
              <w:rPr>
                <w:rFonts w:ascii="宋体" w:hAnsi="宋体" w:cs="宋体" w:eastAsia="宋体" w:hint="default"/>
                <w:sz w:val="18"/>
                <w:szCs w:val="18"/>
              </w:rPr>
              <w:t> 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．本期使</w:t>
            </w:r>
            <w:r>
              <w:rPr>
                <w:rFonts w:ascii="宋体" w:hAnsi="宋体" w:cs="宋体" w:eastAsia="宋体" w:hint="default"/>
                <w:sz w:val="18"/>
                <w:szCs w:val="18"/>
              </w:rPr>
              <w:t> 用</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95"/>
              <w:jc w:val="left"/>
              <w:rPr>
                <w:rFonts w:ascii="宋体" w:hAnsi="宋体" w:cs="宋体" w:eastAsia="宋体" w:hint="default"/>
                <w:sz w:val="18"/>
                <w:szCs w:val="18"/>
              </w:rPr>
            </w:pPr>
            <w:r>
              <w:rPr>
                <w:rFonts w:ascii="宋体" w:hAnsi="宋体" w:cs="宋体" w:eastAsia="宋体" w:hint="default"/>
                <w:sz w:val="18"/>
                <w:szCs w:val="18"/>
              </w:rPr>
              <w:t>（六）其 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46" w:hRule="exact"/>
        </w:trPr>
        <w:tc>
          <w:tcPr>
            <w:tcW w:w="8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10"/>
              <w:ind w:left="13" w:right="95"/>
              <w:jc w:val="left"/>
              <w:rPr>
                <w:rFonts w:ascii="宋体" w:hAnsi="宋体" w:cs="宋体" w:eastAsia="宋体" w:hint="default"/>
                <w:sz w:val="18"/>
                <w:szCs w:val="18"/>
              </w:rPr>
            </w:pPr>
            <w:r>
              <w:rPr>
                <w:rFonts w:ascii="宋体" w:hAnsi="宋体" w:cs="宋体" w:eastAsia="宋体" w:hint="default"/>
                <w:sz w:val="18"/>
                <w:szCs w:val="18"/>
              </w:rPr>
              <w:t>四、本期 期末余额</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161,221,848.00</w:t>
            </w: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919,239,030.77</w:t>
            </w:r>
          </w:p>
        </w:tc>
        <w:tc>
          <w:tcPr>
            <w:tcW w:w="567"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2" w:right="0"/>
              <w:jc w:val="left"/>
              <w:rPr>
                <w:rFonts w:ascii="宋体" w:hAnsi="宋体" w:cs="宋体" w:eastAsia="宋体" w:hint="default"/>
                <w:sz w:val="18"/>
                <w:szCs w:val="18"/>
              </w:rPr>
            </w:pPr>
            <w:r>
              <w:rPr>
                <w:rFonts w:ascii="宋体"/>
                <w:sz w:val="18"/>
              </w:rPr>
              <w:t>20,423,426.70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131,809,340.18</w:t>
            </w:r>
          </w:p>
        </w:tc>
        <w:tc>
          <w:tcPr>
            <w:tcW w:w="15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2" w:right="0"/>
              <w:jc w:val="left"/>
              <w:rPr>
                <w:rFonts w:ascii="宋体" w:hAnsi="宋体" w:cs="宋体" w:eastAsia="宋体" w:hint="default"/>
                <w:sz w:val="18"/>
                <w:szCs w:val="18"/>
              </w:rPr>
            </w:pPr>
            <w:r>
              <w:rPr>
                <w:rFonts w:ascii="宋体"/>
                <w:sz w:val="18"/>
              </w:rPr>
              <w:t>1,232,693,645.65</w:t>
            </w:r>
          </w:p>
        </w:tc>
      </w:tr>
    </w:tbl>
    <w:p>
      <w:pPr>
        <w:tabs>
          <w:tab w:pos="9885" w:val="left" w:leader="none"/>
        </w:tabs>
        <w:spacing w:before="51"/>
        <w:ind w:left="974" w:right="153" w:firstLine="0"/>
        <w:jc w:val="left"/>
        <w:rPr>
          <w:rFonts w:ascii="宋体" w:hAnsi="宋体" w:cs="宋体" w:eastAsia="宋体" w:hint="default"/>
          <w:sz w:val="18"/>
          <w:szCs w:val="18"/>
        </w:rPr>
      </w:pPr>
      <w:r>
        <w:rPr>
          <w:rFonts w:ascii="宋体" w:hAnsi="宋体" w:cs="宋体" w:eastAsia="宋体" w:hint="default"/>
          <w:sz w:val="18"/>
          <w:szCs w:val="18"/>
        </w:rPr>
        <w:t>上期金额</w:t>
        <w:tab/>
        <w:t>单位：元</w:t>
      </w:r>
    </w:p>
    <w:p>
      <w:pPr>
        <w:spacing w:line="240" w:lineRule="auto" w:before="1"/>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835"/>
        <w:gridCol w:w="1429"/>
        <w:gridCol w:w="283"/>
        <w:gridCol w:w="283"/>
        <w:gridCol w:w="283"/>
        <w:gridCol w:w="1418"/>
        <w:gridCol w:w="567"/>
        <w:gridCol w:w="1134"/>
        <w:gridCol w:w="568"/>
        <w:gridCol w:w="1559"/>
        <w:gridCol w:w="1418"/>
        <w:gridCol w:w="1559"/>
      </w:tblGrid>
      <w:tr>
        <w:trPr>
          <w:trHeight w:val="334" w:hRule="exact"/>
        </w:trPr>
        <w:tc>
          <w:tcPr>
            <w:tcW w:w="835" w:type="dxa"/>
            <w:vMerge w:val="restart"/>
            <w:tcBorders>
              <w:top w:val="single" w:sz="12" w:space="0" w:color="000000"/>
              <w:left w:val="single" w:sz="12" w:space="0" w:color="000000"/>
              <w:right w:val="single" w:sz="6" w:space="0" w:color="000000"/>
            </w:tcBorders>
            <w:shd w:val="clear" w:color="auto" w:fill="D2D2D2"/>
          </w:tcPr>
          <w:p>
            <w:pPr/>
          </w:p>
        </w:tc>
        <w:tc>
          <w:tcPr>
            <w:tcW w:w="10502" w:type="dxa"/>
            <w:gridSpan w:val="11"/>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835" w:type="dxa"/>
            <w:vMerge/>
            <w:tcBorders>
              <w:left w:val="single" w:sz="12" w:space="0" w:color="000000"/>
              <w:bottom w:val="nil" w:sz="6" w:space="0" w:color="auto"/>
              <w:right w:val="single" w:sz="6" w:space="0" w:color="000000"/>
            </w:tcBorders>
            <w:shd w:val="clear" w:color="auto" w:fill="D2D2D2"/>
          </w:tcPr>
          <w:p>
            <w:pPr/>
          </w:p>
        </w:tc>
        <w:tc>
          <w:tcPr>
            <w:tcW w:w="1429" w:type="dxa"/>
            <w:vMerge w:val="restart"/>
            <w:tcBorders>
              <w:top w:val="single" w:sz="6" w:space="0" w:color="000000"/>
              <w:left w:val="single" w:sz="6" w:space="0" w:color="000000"/>
              <w:right w:val="single" w:sz="6" w:space="0" w:color="000000"/>
            </w:tcBorders>
            <w:shd w:val="clear" w:color="auto" w:fill="D2D2D2"/>
          </w:tcPr>
          <w:p>
            <w:pPr/>
          </w:p>
        </w:tc>
        <w:tc>
          <w:tcPr>
            <w:tcW w:w="850"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11"/>
              <w:ind w:left="237" w:right="55"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418" w:type="dxa"/>
            <w:vMerge w:val="restart"/>
            <w:tcBorders>
              <w:top w:val="single" w:sz="6" w:space="0" w:color="000000"/>
              <w:left w:val="single" w:sz="6" w:space="0" w:color="000000"/>
              <w:right w:val="single" w:sz="6" w:space="0" w:color="000000"/>
            </w:tcBorders>
            <w:shd w:val="clear" w:color="auto" w:fill="D2D2D2"/>
          </w:tcPr>
          <w:p>
            <w:pPr/>
          </w:p>
        </w:tc>
        <w:tc>
          <w:tcPr>
            <w:tcW w:w="5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134" w:type="dxa"/>
            <w:tcBorders>
              <w:top w:val="single" w:sz="6" w:space="0" w:color="000000"/>
              <w:left w:val="single" w:sz="6" w:space="0" w:color="000000"/>
              <w:bottom w:val="nil" w:sz="6" w:space="0" w:color="auto"/>
              <w:right w:val="single" w:sz="6" w:space="0" w:color="000000"/>
            </w:tcBorders>
            <w:shd w:val="clear" w:color="auto" w:fill="D2D2D2"/>
          </w:tcPr>
          <w:p>
            <w:pPr/>
          </w:p>
        </w:tc>
        <w:tc>
          <w:tcPr>
            <w:tcW w:w="568" w:type="dxa"/>
            <w:tcBorders>
              <w:top w:val="single" w:sz="6" w:space="0" w:color="000000"/>
              <w:left w:val="single" w:sz="6" w:space="0" w:color="000000"/>
              <w:bottom w:val="nil" w:sz="6" w:space="0" w:color="auto"/>
              <w:right w:val="single" w:sz="6" w:space="0" w:color="000000"/>
            </w:tcBorders>
            <w:shd w:val="clear" w:color="auto" w:fill="D2D2D2"/>
          </w:tcPr>
          <w:p>
            <w:pPr/>
          </w:p>
        </w:tc>
        <w:tc>
          <w:tcPr>
            <w:tcW w:w="1559" w:type="dxa"/>
            <w:vMerge w:val="restart"/>
            <w:tcBorders>
              <w:top w:val="single" w:sz="6" w:space="0" w:color="000000"/>
              <w:left w:val="single" w:sz="6" w:space="0" w:color="000000"/>
              <w:right w:val="single" w:sz="6" w:space="0" w:color="000000"/>
            </w:tcBorders>
            <w:shd w:val="clear" w:color="auto" w:fill="D2D2D2"/>
          </w:tcPr>
          <w:p>
            <w:pPr/>
          </w:p>
        </w:tc>
        <w:tc>
          <w:tcPr>
            <w:tcW w:w="1418" w:type="dxa"/>
            <w:vMerge w:val="restart"/>
            <w:tcBorders>
              <w:top w:val="single" w:sz="6" w:space="0" w:color="000000"/>
              <w:left w:val="single" w:sz="6" w:space="0" w:color="000000"/>
              <w:right w:val="single" w:sz="6" w:space="0" w:color="000000"/>
            </w:tcBorders>
            <w:shd w:val="clear" w:color="auto" w:fill="D2D2D2"/>
          </w:tcPr>
          <w:p>
            <w:pPr/>
          </w:p>
        </w:tc>
        <w:tc>
          <w:tcPr>
            <w:tcW w:w="1559" w:type="dxa"/>
            <w:vMerge w:val="restart"/>
            <w:tcBorders>
              <w:top w:val="single" w:sz="6" w:space="0" w:color="000000"/>
              <w:left w:val="single" w:sz="6" w:space="0" w:color="000000"/>
              <w:right w:val="single" w:sz="12" w:space="0" w:color="000000"/>
            </w:tcBorders>
            <w:shd w:val="clear" w:color="auto" w:fill="D2D2D2"/>
          </w:tcPr>
          <w:p>
            <w:pPr/>
          </w:p>
        </w:tc>
      </w:tr>
      <w:tr>
        <w:trPr>
          <w:trHeight w:val="160" w:hRule="exact"/>
        </w:trPr>
        <w:tc>
          <w:tcPr>
            <w:tcW w:w="835"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7"/>
              <w:ind w:left="22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tcBorders>
              <w:left w:val="single" w:sz="6" w:space="0" w:color="000000"/>
              <w:bottom w:val="nil" w:sz="6" w:space="0" w:color="auto"/>
              <w:right w:val="single" w:sz="6" w:space="0" w:color="000000"/>
            </w:tcBorders>
            <w:shd w:val="clear" w:color="auto" w:fill="D2D2D2"/>
          </w:tcPr>
          <w:p>
            <w:pPr/>
          </w:p>
        </w:tc>
        <w:tc>
          <w:tcPr>
            <w:tcW w:w="850" w:type="dxa"/>
            <w:gridSpan w:val="3"/>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567"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4"/>
              <w:ind w:left="96" w:right="18"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134"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4"/>
              <w:ind w:left="470" w:right="10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8"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4"/>
              <w:ind w:left="97" w:right="9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59" w:type="dxa"/>
            <w:vMerge/>
            <w:tcBorders>
              <w:left w:val="single" w:sz="6" w:space="0" w:color="000000"/>
              <w:bottom w:val="nil" w:sz="6" w:space="0" w:color="auto"/>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1559" w:type="dxa"/>
            <w:vMerge/>
            <w:tcBorders>
              <w:left w:val="single" w:sz="6" w:space="0" w:color="000000"/>
              <w:bottom w:val="nil" w:sz="6" w:space="0" w:color="auto"/>
              <w:right w:val="single" w:sz="12" w:space="0" w:color="000000"/>
            </w:tcBorders>
            <w:shd w:val="clear" w:color="auto" w:fill="D2D2D2"/>
          </w:tcPr>
          <w:p>
            <w:pPr/>
          </w:p>
        </w:tc>
      </w:tr>
      <w:tr>
        <w:trPr>
          <w:trHeight w:val="156" w:hRule="exact"/>
        </w:trPr>
        <w:tc>
          <w:tcPr>
            <w:tcW w:w="835" w:type="dxa"/>
            <w:vMerge/>
            <w:tcBorders>
              <w:left w:val="single" w:sz="12" w:space="0" w:color="000000"/>
              <w:bottom w:val="nil" w:sz="6" w:space="0" w:color="auto"/>
              <w:right w:val="single" w:sz="6" w:space="0" w:color="000000"/>
            </w:tcBorders>
            <w:shd w:val="clear" w:color="auto" w:fill="D2D2D2"/>
          </w:tcPr>
          <w:p>
            <w:pPr/>
          </w:p>
        </w:tc>
        <w:tc>
          <w:tcPr>
            <w:tcW w:w="142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0"/>
              <w:ind w:left="43" w:right="4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0"/>
              <w:ind w:left="44" w:right="4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7"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568" w:type="dxa"/>
            <w:vMerge/>
            <w:tcBorders>
              <w:left w:val="single" w:sz="6" w:space="0" w:color="000000"/>
              <w:right w:val="single" w:sz="6" w:space="0" w:color="000000"/>
            </w:tcBorders>
            <w:shd w:val="clear" w:color="auto" w:fill="D2D2D2"/>
          </w:tcPr>
          <w:p>
            <w:pPr/>
          </w:p>
        </w:tc>
        <w:tc>
          <w:tcPr>
            <w:tcW w:w="155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41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25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9"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56" w:hRule="exact"/>
        </w:trPr>
        <w:tc>
          <w:tcPr>
            <w:tcW w:w="835" w:type="dxa"/>
            <w:vMerge w:val="restart"/>
            <w:tcBorders>
              <w:top w:val="nil" w:sz="6" w:space="0" w:color="auto"/>
              <w:left w:val="single" w:sz="12" w:space="0" w:color="000000"/>
              <w:right w:val="single" w:sz="6" w:space="0" w:color="000000"/>
            </w:tcBorders>
            <w:shd w:val="clear" w:color="auto" w:fill="D2D2D2"/>
          </w:tcPr>
          <w:p>
            <w:pPr/>
          </w:p>
        </w:tc>
        <w:tc>
          <w:tcPr>
            <w:tcW w:w="1429" w:type="dxa"/>
            <w:vMerge/>
            <w:tcBorders>
              <w:left w:val="single" w:sz="6" w:space="0" w:color="000000"/>
              <w:bottom w:val="nil" w:sz="6" w:space="0" w:color="auto"/>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17"/>
              <w:ind w:left="44" w:right="42"/>
              <w:jc w:val="left"/>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tcBorders>
              <w:left w:val="single" w:sz="6" w:space="0" w:color="000000"/>
              <w:bottom w:val="nil" w:sz="6" w:space="0" w:color="auto"/>
              <w:right w:val="single" w:sz="6" w:space="0" w:color="000000"/>
            </w:tcBorders>
            <w:shd w:val="clear" w:color="auto" w:fill="D2D2D2"/>
          </w:tcPr>
          <w:p>
            <w:pPr/>
          </w:p>
        </w:tc>
        <w:tc>
          <w:tcPr>
            <w:tcW w:w="567" w:type="dxa"/>
            <w:vMerge/>
            <w:tcBorders>
              <w:left w:val="single" w:sz="6" w:space="0" w:color="000000"/>
              <w:right w:val="single" w:sz="6" w:space="0" w:color="000000"/>
            </w:tcBorders>
            <w:shd w:val="clear" w:color="auto" w:fill="D2D2D2"/>
          </w:tcPr>
          <w:p>
            <w:pPr/>
          </w:p>
        </w:tc>
        <w:tc>
          <w:tcPr>
            <w:tcW w:w="1134" w:type="dxa"/>
            <w:vMerge/>
            <w:tcBorders>
              <w:left w:val="single" w:sz="6" w:space="0" w:color="000000"/>
              <w:right w:val="single" w:sz="6" w:space="0" w:color="000000"/>
            </w:tcBorders>
            <w:shd w:val="clear" w:color="auto" w:fill="D2D2D2"/>
          </w:tcPr>
          <w:p>
            <w:pPr/>
          </w:p>
        </w:tc>
        <w:tc>
          <w:tcPr>
            <w:tcW w:w="568" w:type="dxa"/>
            <w:vMerge/>
            <w:tcBorders>
              <w:left w:val="single" w:sz="6" w:space="0" w:color="000000"/>
              <w:right w:val="single" w:sz="6" w:space="0" w:color="000000"/>
            </w:tcBorders>
            <w:shd w:val="clear" w:color="auto" w:fill="D2D2D2"/>
          </w:tcPr>
          <w:p>
            <w:pPr/>
          </w:p>
        </w:tc>
        <w:tc>
          <w:tcPr>
            <w:tcW w:w="1559" w:type="dxa"/>
            <w:vMerge/>
            <w:tcBorders>
              <w:left w:val="single" w:sz="6" w:space="0" w:color="000000"/>
              <w:bottom w:val="nil" w:sz="6" w:space="0" w:color="auto"/>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1559" w:type="dxa"/>
            <w:vMerge/>
            <w:tcBorders>
              <w:left w:val="single" w:sz="6" w:space="0" w:color="000000"/>
              <w:bottom w:val="nil" w:sz="6" w:space="0" w:color="auto"/>
              <w:right w:val="single" w:sz="12" w:space="0" w:color="000000"/>
            </w:tcBorders>
            <w:shd w:val="clear" w:color="auto" w:fill="D2D2D2"/>
          </w:tcPr>
          <w:p>
            <w:pPr/>
          </w:p>
        </w:tc>
      </w:tr>
      <w:tr>
        <w:trPr>
          <w:trHeight w:val="156" w:hRule="exact"/>
        </w:trPr>
        <w:tc>
          <w:tcPr>
            <w:tcW w:w="835" w:type="dxa"/>
            <w:vMerge/>
            <w:tcBorders>
              <w:left w:val="single" w:sz="12" w:space="0" w:color="000000"/>
              <w:right w:val="single" w:sz="6" w:space="0" w:color="000000"/>
            </w:tcBorders>
            <w:shd w:val="clear" w:color="auto" w:fill="D2D2D2"/>
          </w:tcPr>
          <w:p>
            <w:pPr/>
          </w:p>
        </w:tc>
        <w:tc>
          <w:tcPr>
            <w:tcW w:w="1429" w:type="dxa"/>
            <w:vMerge w:val="restart"/>
            <w:tcBorders>
              <w:top w:val="nil" w:sz="6" w:space="0" w:color="auto"/>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
        </w:tc>
        <w:tc>
          <w:tcPr>
            <w:tcW w:w="567" w:type="dxa"/>
            <w:vMerge/>
            <w:tcBorders>
              <w:left w:val="single" w:sz="6" w:space="0" w:color="000000"/>
              <w:bottom w:val="nil" w:sz="6" w:space="0" w:color="auto"/>
              <w:right w:val="single" w:sz="6" w:space="0" w:color="000000"/>
            </w:tcBorders>
            <w:shd w:val="clear" w:color="auto" w:fill="D2D2D2"/>
          </w:tcPr>
          <w:p>
            <w:pPr/>
          </w:p>
        </w:tc>
        <w:tc>
          <w:tcPr>
            <w:tcW w:w="1134" w:type="dxa"/>
            <w:vMerge/>
            <w:tcBorders>
              <w:left w:val="single" w:sz="6" w:space="0" w:color="000000"/>
              <w:bottom w:val="nil" w:sz="6" w:space="0" w:color="auto"/>
              <w:right w:val="single" w:sz="6" w:space="0" w:color="000000"/>
            </w:tcBorders>
            <w:shd w:val="clear" w:color="auto" w:fill="D2D2D2"/>
          </w:tcPr>
          <w:p>
            <w:pPr/>
          </w:p>
        </w:tc>
        <w:tc>
          <w:tcPr>
            <w:tcW w:w="568" w:type="dxa"/>
            <w:vMerge/>
            <w:tcBorders>
              <w:left w:val="single" w:sz="6" w:space="0" w:color="000000"/>
              <w:bottom w:val="nil" w:sz="6" w:space="0" w:color="auto"/>
              <w:right w:val="single" w:sz="6" w:space="0" w:color="000000"/>
            </w:tcBorders>
            <w:shd w:val="clear" w:color="auto" w:fill="D2D2D2"/>
          </w:tcPr>
          <w:p>
            <w:pPr/>
          </w:p>
        </w:tc>
        <w:tc>
          <w:tcPr>
            <w:tcW w:w="1559" w:type="dxa"/>
            <w:vMerge w:val="restart"/>
            <w:tcBorders>
              <w:top w:val="nil" w:sz="6" w:space="0" w:color="auto"/>
              <w:left w:val="single" w:sz="6"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
        </w:tc>
        <w:tc>
          <w:tcPr>
            <w:tcW w:w="1559" w:type="dxa"/>
            <w:vMerge w:val="restart"/>
            <w:tcBorders>
              <w:top w:val="nil" w:sz="6" w:space="0" w:color="auto"/>
              <w:left w:val="single" w:sz="6" w:space="0" w:color="000000"/>
              <w:right w:val="single" w:sz="12" w:space="0" w:color="000000"/>
            </w:tcBorders>
            <w:shd w:val="clear" w:color="auto" w:fill="D2D2D2"/>
          </w:tcPr>
          <w:p>
            <w:pPr/>
          </w:p>
        </w:tc>
      </w:tr>
      <w:tr>
        <w:trPr>
          <w:trHeight w:val="319" w:hRule="exact"/>
        </w:trPr>
        <w:tc>
          <w:tcPr>
            <w:tcW w:w="835" w:type="dxa"/>
            <w:vMerge/>
            <w:tcBorders>
              <w:left w:val="single" w:sz="12" w:space="0" w:color="000000"/>
              <w:right w:val="single" w:sz="6" w:space="0" w:color="000000"/>
            </w:tcBorders>
            <w:shd w:val="clear" w:color="auto" w:fill="D2D2D2"/>
          </w:tcPr>
          <w:p>
            <w:pPr/>
          </w:p>
        </w:tc>
        <w:tc>
          <w:tcPr>
            <w:tcW w:w="1429"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right w:val="single" w:sz="6" w:space="0" w:color="000000"/>
            </w:tcBorders>
            <w:shd w:val="clear" w:color="auto" w:fill="D2D2D2"/>
          </w:tcPr>
          <w:p>
            <w:pPr/>
          </w:p>
        </w:tc>
        <w:tc>
          <w:tcPr>
            <w:tcW w:w="283" w:type="dxa"/>
            <w:vMerge/>
            <w:tcBorders>
              <w:left w:val="single" w:sz="6" w:space="0" w:color="000000"/>
              <w:bottom w:val="nil" w:sz="6" w:space="0" w:color="auto"/>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567" w:type="dxa"/>
            <w:vMerge w:val="restart"/>
            <w:tcBorders>
              <w:top w:val="nil" w:sz="6" w:space="0" w:color="auto"/>
              <w:left w:val="single" w:sz="6" w:space="0" w:color="000000"/>
              <w:right w:val="single" w:sz="6" w:space="0" w:color="000000"/>
            </w:tcBorders>
            <w:shd w:val="clear" w:color="auto" w:fill="D2D2D2"/>
          </w:tcPr>
          <w:p>
            <w:pPr/>
          </w:p>
        </w:tc>
        <w:tc>
          <w:tcPr>
            <w:tcW w:w="1134" w:type="dxa"/>
            <w:vMerge w:val="restart"/>
            <w:tcBorders>
              <w:top w:val="nil" w:sz="6" w:space="0" w:color="auto"/>
              <w:left w:val="single" w:sz="6" w:space="0" w:color="000000"/>
              <w:right w:val="single" w:sz="6" w:space="0" w:color="000000"/>
            </w:tcBorders>
            <w:shd w:val="clear" w:color="auto" w:fill="D2D2D2"/>
          </w:tcPr>
          <w:p>
            <w:pPr/>
          </w:p>
        </w:tc>
        <w:tc>
          <w:tcPr>
            <w:tcW w:w="568" w:type="dxa"/>
            <w:vMerge w:val="restart"/>
            <w:tcBorders>
              <w:top w:val="nil" w:sz="6" w:space="0" w:color="auto"/>
              <w:left w:val="single" w:sz="6" w:space="0" w:color="000000"/>
              <w:right w:val="single" w:sz="6" w:space="0" w:color="000000"/>
            </w:tcBorders>
            <w:shd w:val="clear" w:color="auto" w:fill="D2D2D2"/>
          </w:tcPr>
          <w:p>
            <w:pPr/>
          </w:p>
        </w:tc>
        <w:tc>
          <w:tcPr>
            <w:tcW w:w="1559"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right w:val="single" w:sz="6" w:space="0" w:color="000000"/>
            </w:tcBorders>
            <w:shd w:val="clear" w:color="auto" w:fill="D2D2D2"/>
          </w:tcPr>
          <w:p>
            <w:pPr/>
          </w:p>
        </w:tc>
        <w:tc>
          <w:tcPr>
            <w:tcW w:w="1559" w:type="dxa"/>
            <w:vMerge/>
            <w:tcBorders>
              <w:left w:val="single" w:sz="6" w:space="0" w:color="000000"/>
              <w:right w:val="single" w:sz="12" w:space="0" w:color="000000"/>
            </w:tcBorders>
            <w:shd w:val="clear" w:color="auto" w:fill="D2D2D2"/>
          </w:tcPr>
          <w:p>
            <w:pPr/>
          </w:p>
        </w:tc>
      </w:tr>
      <w:tr>
        <w:trPr>
          <w:trHeight w:val="163" w:hRule="exact"/>
        </w:trPr>
        <w:tc>
          <w:tcPr>
            <w:tcW w:w="835" w:type="dxa"/>
            <w:vMerge/>
            <w:tcBorders>
              <w:left w:val="single" w:sz="12" w:space="0" w:color="000000"/>
              <w:bottom w:val="single" w:sz="6" w:space="0" w:color="000000"/>
              <w:right w:val="single" w:sz="6" w:space="0" w:color="000000"/>
            </w:tcBorders>
            <w:shd w:val="clear" w:color="auto" w:fill="D2D2D2"/>
          </w:tcPr>
          <w:p>
            <w:pPr/>
          </w:p>
        </w:tc>
        <w:tc>
          <w:tcPr>
            <w:tcW w:w="1429"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283" w:type="dxa"/>
            <w:vMerge/>
            <w:tcBorders>
              <w:left w:val="single" w:sz="6" w:space="0" w:color="000000"/>
              <w:bottom w:val="single" w:sz="6" w:space="0" w:color="000000"/>
              <w:right w:val="single" w:sz="6" w:space="0" w:color="000000"/>
            </w:tcBorders>
            <w:shd w:val="clear" w:color="auto" w:fill="D2D2D2"/>
          </w:tcPr>
          <w:p>
            <w:pPr/>
          </w:p>
        </w:tc>
        <w:tc>
          <w:tcPr>
            <w:tcW w:w="283"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6" w:space="0" w:color="000000"/>
            </w:tcBorders>
            <w:shd w:val="clear" w:color="auto" w:fill="D2D2D2"/>
          </w:tcPr>
          <w:p>
            <w:pPr/>
          </w:p>
        </w:tc>
        <w:tc>
          <w:tcPr>
            <w:tcW w:w="567" w:type="dxa"/>
            <w:vMerge/>
            <w:tcBorders>
              <w:left w:val="single" w:sz="6" w:space="0" w:color="000000"/>
              <w:bottom w:val="single" w:sz="6" w:space="0" w:color="000000"/>
              <w:right w:val="single" w:sz="6" w:space="0" w:color="000000"/>
            </w:tcBorders>
            <w:shd w:val="clear" w:color="auto" w:fill="D2D2D2"/>
          </w:tcPr>
          <w:p>
            <w:pPr/>
          </w:p>
        </w:tc>
        <w:tc>
          <w:tcPr>
            <w:tcW w:w="1134" w:type="dxa"/>
            <w:vMerge/>
            <w:tcBorders>
              <w:left w:val="single" w:sz="6" w:space="0" w:color="000000"/>
              <w:bottom w:val="single" w:sz="6" w:space="0" w:color="000000"/>
              <w:right w:val="single" w:sz="6" w:space="0" w:color="000000"/>
            </w:tcBorders>
            <w:shd w:val="clear" w:color="auto" w:fill="D2D2D2"/>
          </w:tcPr>
          <w:p>
            <w:pPr/>
          </w:p>
        </w:tc>
        <w:tc>
          <w:tcPr>
            <w:tcW w:w="568" w:type="dxa"/>
            <w:vMerge/>
            <w:tcBorders>
              <w:left w:val="single" w:sz="6" w:space="0" w:color="000000"/>
              <w:bottom w:val="single" w:sz="6" w:space="0" w:color="000000"/>
              <w:right w:val="single" w:sz="6" w:space="0" w:color="000000"/>
            </w:tcBorders>
            <w:shd w:val="clear" w:color="auto" w:fill="D2D2D2"/>
          </w:tcPr>
          <w:p>
            <w:pPr/>
          </w:p>
        </w:tc>
        <w:tc>
          <w:tcPr>
            <w:tcW w:w="1559" w:type="dxa"/>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6" w:space="0" w:color="000000"/>
            </w:tcBorders>
            <w:shd w:val="clear" w:color="auto" w:fill="D2D2D2"/>
          </w:tcPr>
          <w:p>
            <w:pPr/>
          </w:p>
        </w:tc>
        <w:tc>
          <w:tcPr>
            <w:tcW w:w="1559" w:type="dxa"/>
            <w:vMerge/>
            <w:tcBorders>
              <w:left w:val="single" w:sz="6" w:space="0" w:color="000000"/>
              <w:bottom w:val="single" w:sz="6" w:space="0" w:color="000000"/>
              <w:right w:val="single" w:sz="12" w:space="0" w:color="000000"/>
            </w:tcBorders>
            <w:shd w:val="clear" w:color="auto" w:fill="D2D2D2"/>
          </w:tcPr>
          <w:p>
            <w:pPr/>
          </w:p>
        </w:tc>
      </w:tr>
      <w:tr>
        <w:trPr>
          <w:trHeight w:val="640"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6" w:right="83"/>
              <w:jc w:val="left"/>
              <w:rPr>
                <w:rFonts w:ascii="宋体" w:hAnsi="宋体" w:cs="宋体" w:eastAsia="宋体" w:hint="default"/>
                <w:sz w:val="18"/>
                <w:szCs w:val="18"/>
              </w:rPr>
            </w:pPr>
            <w:r>
              <w:rPr>
                <w:rFonts w:ascii="宋体" w:hAnsi="宋体" w:cs="宋体" w:eastAsia="宋体" w:hint="default"/>
                <w:sz w:val="18"/>
                <w:szCs w:val="18"/>
              </w:rPr>
              <w:t>一、上年 期末余额</w:t>
            </w:r>
          </w:p>
        </w:tc>
        <w:tc>
          <w:tcPr>
            <w:tcW w:w="142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86,670,000.00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406,863,902.61</w:t>
            </w: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15,221,838.35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123,996,545.03</w:t>
            </w: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632,752,285.99</w:t>
            </w:r>
          </w:p>
        </w:tc>
      </w:tr>
      <w:tr>
        <w:trPr>
          <w:trHeight w:val="950"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6" w:right="83" w:firstLine="360"/>
              <w:jc w:val="both"/>
              <w:rPr>
                <w:rFonts w:ascii="宋体" w:hAnsi="宋体" w:cs="宋体" w:eastAsia="宋体" w:hint="default"/>
                <w:sz w:val="18"/>
                <w:szCs w:val="18"/>
              </w:rPr>
            </w:pPr>
            <w:r>
              <w:rPr>
                <w:rFonts w:ascii="宋体" w:hAnsi="宋体" w:cs="宋体" w:eastAsia="宋体" w:hint="default"/>
                <w:sz w:val="18"/>
                <w:szCs w:val="18"/>
              </w:rPr>
              <w:t>加： 会计政策 变更</w:t>
            </w:r>
          </w:p>
        </w:tc>
        <w:tc>
          <w:tcPr>
            <w:tcW w:w="1429"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952"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6" w:right="83"/>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1429"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6" w:space="0" w:color="000000"/>
              <w:left w:val="single" w:sz="14" w:space="0" w:color="D2D2D2"/>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83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6" w:right="83"/>
              <w:jc w:val="left"/>
              <w:rPr>
                <w:rFonts w:ascii="宋体" w:hAnsi="宋体" w:cs="宋体" w:eastAsia="宋体" w:hint="default"/>
                <w:sz w:val="18"/>
                <w:szCs w:val="18"/>
              </w:rPr>
            </w:pPr>
            <w:r>
              <w:rPr>
                <w:rFonts w:ascii="宋体" w:hAnsi="宋体" w:cs="宋体" w:eastAsia="宋体" w:hint="default"/>
                <w:sz w:val="18"/>
                <w:szCs w:val="18"/>
              </w:rPr>
              <w:t>二、本年 期初余额</w:t>
            </w:r>
          </w:p>
        </w:tc>
        <w:tc>
          <w:tcPr>
            <w:tcW w:w="142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86,670,000.00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406,863,902.61</w:t>
            </w: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15,221,838.35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123,996,545.03</w:t>
            </w: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632,752,285.99</w:t>
            </w:r>
          </w:p>
        </w:tc>
      </w:tr>
      <w:tr>
        <w:trPr>
          <w:trHeight w:val="1895" w:hRule="exact"/>
        </w:trPr>
        <w:tc>
          <w:tcPr>
            <w:tcW w:w="83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10"/>
              <w:ind w:left="6" w:right="83"/>
              <w:jc w:val="left"/>
              <w:rPr>
                <w:rFonts w:ascii="宋体" w:hAnsi="宋体" w:cs="宋体" w:eastAsia="宋体" w:hint="default"/>
                <w:sz w:val="18"/>
                <w:szCs w:val="18"/>
              </w:rPr>
            </w:pPr>
            <w:r>
              <w:rPr>
                <w:rFonts w:ascii="宋体" w:hAnsi="宋体" w:cs="宋体" w:eastAsia="宋体" w:hint="default"/>
                <w:sz w:val="18"/>
                <w:szCs w:val="18"/>
              </w:rPr>
              <w:t>三、本期 增减变动 金额（减 少以 “－”号 填列）</w:t>
            </w:r>
          </w:p>
        </w:tc>
        <w:tc>
          <w:tcPr>
            <w:tcW w:w="142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43,335,000.00</w:t>
            </w: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宋体"/>
                <w:sz w:val="18"/>
              </w:rPr>
              <w:t>-43,335,000.00</w:t>
            </w:r>
          </w:p>
        </w:tc>
        <w:tc>
          <w:tcPr>
            <w:tcW w:w="567"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2,506,979.31</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宋体"/>
                <w:sz w:val="18"/>
              </w:rPr>
              <w:t>-3,438,186.22</w:t>
            </w:r>
          </w:p>
        </w:tc>
        <w:tc>
          <w:tcPr>
            <w:tcW w:w="15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-931,206.91</w:t>
            </w:r>
          </w:p>
        </w:tc>
      </w:tr>
    </w:tbl>
    <w:p>
      <w:pPr>
        <w:spacing w:after="0" w:line="240" w:lineRule="auto"/>
        <w:jc w:val="right"/>
        <w:rPr>
          <w:rFonts w:ascii="宋体" w:hAnsi="宋体" w:cs="宋体" w:eastAsia="宋体" w:hint="default"/>
          <w:sz w:val="18"/>
          <w:szCs w:val="18"/>
        </w:rPr>
        <w:sectPr>
          <w:pgSz w:w="11910" w:h="16840"/>
          <w:pgMar w:header="747" w:footer="1000" w:top="1040" w:bottom="1180" w:left="160" w:right="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851"/>
        <w:gridCol w:w="1419"/>
        <w:gridCol w:w="283"/>
        <w:gridCol w:w="283"/>
        <w:gridCol w:w="283"/>
        <w:gridCol w:w="1418"/>
        <w:gridCol w:w="567"/>
        <w:gridCol w:w="1134"/>
        <w:gridCol w:w="568"/>
        <w:gridCol w:w="1559"/>
        <w:gridCol w:w="1418"/>
        <w:gridCol w:w="1559"/>
      </w:tblGrid>
      <w:tr>
        <w:trPr>
          <w:trHeight w:val="958" w:hRule="exact"/>
        </w:trPr>
        <w:tc>
          <w:tcPr>
            <w:tcW w:w="8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95"/>
              <w:jc w:val="both"/>
              <w:rPr>
                <w:rFonts w:ascii="宋体" w:hAnsi="宋体" w:cs="宋体" w:eastAsia="宋体" w:hint="default"/>
                <w:sz w:val="18"/>
                <w:szCs w:val="18"/>
              </w:rPr>
            </w:pPr>
            <w:r>
              <w:rPr>
                <w:rFonts w:ascii="宋体" w:hAnsi="宋体" w:cs="宋体" w:eastAsia="宋体" w:hint="default"/>
                <w:sz w:val="18"/>
                <w:szCs w:val="18"/>
              </w:rPr>
              <w:t>（一）综 合收益总 额</w:t>
            </w:r>
          </w:p>
        </w:tc>
        <w:tc>
          <w:tcPr>
            <w:tcW w:w="1419"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567" w:type="dxa"/>
            <w:tcBorders>
              <w:top w:val="single" w:sz="12" w:space="0" w:color="000000"/>
              <w:left w:val="single" w:sz="6" w:space="0" w:color="000000"/>
              <w:bottom w:val="single" w:sz="6" w:space="0" w:color="000000"/>
              <w:right w:val="single" w:sz="6" w:space="0" w:color="000000"/>
            </w:tcBorders>
          </w:tcPr>
          <w:p>
            <w:pPr/>
          </w:p>
        </w:tc>
        <w:tc>
          <w:tcPr>
            <w:tcW w:w="1134" w:type="dxa"/>
            <w:tcBorders>
              <w:top w:val="single" w:sz="12" w:space="0" w:color="000000"/>
              <w:left w:val="single" w:sz="6" w:space="0" w:color="000000"/>
              <w:bottom w:val="single" w:sz="6" w:space="0" w:color="000000"/>
              <w:right w:val="single" w:sz="6" w:space="0" w:color="000000"/>
            </w:tcBorders>
          </w:tcPr>
          <w:p>
            <w:pPr/>
          </w:p>
        </w:tc>
        <w:tc>
          <w:tcPr>
            <w:tcW w:w="568" w:type="dxa"/>
            <w:tcBorders>
              <w:top w:val="single" w:sz="12" w:space="0" w:color="000000"/>
              <w:left w:val="single" w:sz="6" w:space="0" w:color="000000"/>
              <w:bottom w:val="single" w:sz="6" w:space="0" w:color="000000"/>
              <w:right w:val="single" w:sz="6" w:space="0" w:color="000000"/>
            </w:tcBorders>
          </w:tcPr>
          <w:p>
            <w:pPr/>
          </w:p>
        </w:tc>
        <w:tc>
          <w:tcPr>
            <w:tcW w:w="1559"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9"/>
              <w:jc w:val="right"/>
              <w:rPr>
                <w:rFonts w:ascii="宋体" w:hAnsi="宋体" w:cs="宋体" w:eastAsia="宋体" w:hint="default"/>
                <w:sz w:val="18"/>
                <w:szCs w:val="18"/>
              </w:rPr>
            </w:pPr>
            <w:r>
              <w:rPr>
                <w:rFonts w:ascii="宋体"/>
                <w:sz w:val="18"/>
              </w:rPr>
              <w:t>25,069,793.09</w:t>
            </w:r>
          </w:p>
        </w:tc>
        <w:tc>
          <w:tcPr>
            <w:tcW w:w="155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1"/>
              <w:jc w:val="right"/>
              <w:rPr>
                <w:rFonts w:ascii="宋体" w:hAnsi="宋体" w:cs="宋体" w:eastAsia="宋体" w:hint="default"/>
                <w:sz w:val="18"/>
                <w:szCs w:val="18"/>
              </w:rPr>
            </w:pPr>
            <w:r>
              <w:rPr>
                <w:rFonts w:ascii="宋体"/>
                <w:sz w:val="18"/>
              </w:rPr>
              <w:t>25,069,793.09</w:t>
            </w:r>
          </w:p>
        </w:tc>
      </w:tr>
      <w:tr>
        <w:trPr>
          <w:trHeight w:val="1263"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10"/>
              <w:ind w:left="13" w:right="95"/>
              <w:jc w:val="both"/>
              <w:rPr>
                <w:rFonts w:ascii="宋体" w:hAnsi="宋体" w:cs="宋体" w:eastAsia="宋体" w:hint="default"/>
                <w:sz w:val="18"/>
                <w:szCs w:val="18"/>
              </w:rPr>
            </w:pPr>
            <w:r>
              <w:rPr>
                <w:rFonts w:ascii="宋体" w:hAnsi="宋体" w:cs="宋体" w:eastAsia="宋体" w:hint="default"/>
                <w:sz w:val="18"/>
                <w:szCs w:val="18"/>
              </w:rPr>
              <w:t>（二）所 有者投入 和减少资 本</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952"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．股东投</w:t>
            </w:r>
            <w:r>
              <w:rPr>
                <w:rFonts w:ascii="宋体" w:hAnsi="宋体" w:cs="宋体" w:eastAsia="宋体" w:hint="default"/>
                <w:sz w:val="18"/>
                <w:szCs w:val="18"/>
              </w:rPr>
              <w:t> 入的普通 股</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1262"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w:t>
            </w:r>
            <w:r>
              <w:rPr>
                <w:rFonts w:ascii="宋体" w:hAnsi="宋体" w:cs="宋体" w:eastAsia="宋体" w:hint="default"/>
                <w:sz w:val="18"/>
                <w:szCs w:val="18"/>
              </w:rPr>
              <w:t> 益工具持 有者投入 资本</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126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w:t>
            </w:r>
            <w:r>
              <w:rPr>
                <w:rFonts w:ascii="宋体" w:hAnsi="宋体" w:cs="宋体" w:eastAsia="宋体" w:hint="default"/>
                <w:sz w:val="18"/>
                <w:szCs w:val="18"/>
              </w:rPr>
              <w:t> 付计入所 有者权益 的金额</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95"/>
              <w:jc w:val="left"/>
              <w:rPr>
                <w:rFonts w:ascii="宋体" w:hAnsi="宋体" w:cs="宋体" w:eastAsia="宋体" w:hint="default"/>
                <w:sz w:val="18"/>
                <w:szCs w:val="18"/>
              </w:rPr>
            </w:pPr>
            <w:r>
              <w:rPr>
                <w:rFonts w:ascii="宋体" w:hAnsi="宋体" w:cs="宋体" w:eastAsia="宋体" w:hint="default"/>
                <w:sz w:val="18"/>
                <w:szCs w:val="18"/>
              </w:rPr>
              <w:t>（三）利 润分配</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2,506,979.31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-28,507,979.31</w:t>
            </w: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-26,001,000.00</w:t>
            </w:r>
          </w:p>
        </w:tc>
      </w:tr>
      <w:tr>
        <w:trPr>
          <w:trHeight w:val="639"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．提取盈</w:t>
            </w:r>
            <w:r>
              <w:rPr>
                <w:rFonts w:ascii="宋体" w:hAnsi="宋体" w:cs="宋体" w:eastAsia="宋体" w:hint="default"/>
                <w:sz w:val="18"/>
                <w:szCs w:val="18"/>
              </w:rPr>
              <w:t> 余公积</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2,506,979.31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z w:val="18"/>
              </w:rPr>
              <w:t>-2,506,979.31</w:t>
            </w: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126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w:t>
            </w:r>
            <w:r>
              <w:rPr>
                <w:rFonts w:ascii="宋体" w:hAnsi="宋体" w:cs="宋体" w:eastAsia="宋体" w:hint="default"/>
                <w:sz w:val="18"/>
                <w:szCs w:val="18"/>
              </w:rPr>
              <w:t> 者（或股 东）的分 配</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宋体"/>
                <w:sz w:val="18"/>
              </w:rPr>
              <w:t>-26,001,000.00</w:t>
            </w:r>
          </w:p>
        </w:tc>
        <w:tc>
          <w:tcPr>
            <w:tcW w:w="15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-26,001,000.00</w:t>
            </w:r>
          </w:p>
        </w:tc>
      </w:tr>
      <w:tr>
        <w:trPr>
          <w:trHeight w:val="326"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952"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95"/>
              <w:jc w:val="both"/>
              <w:rPr>
                <w:rFonts w:ascii="宋体" w:hAnsi="宋体" w:cs="宋体" w:eastAsia="宋体" w:hint="default"/>
                <w:sz w:val="18"/>
                <w:szCs w:val="18"/>
              </w:rPr>
            </w:pPr>
            <w:r>
              <w:rPr>
                <w:rFonts w:ascii="宋体" w:hAnsi="宋体" w:cs="宋体" w:eastAsia="宋体" w:hint="default"/>
                <w:sz w:val="18"/>
                <w:szCs w:val="18"/>
              </w:rPr>
              <w:t>（四）所 有者权益 内部结转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1"/>
              <w:jc w:val="right"/>
              <w:rPr>
                <w:rFonts w:ascii="宋体" w:hAnsi="宋体" w:cs="宋体" w:eastAsia="宋体" w:hint="default"/>
                <w:sz w:val="18"/>
                <w:szCs w:val="18"/>
              </w:rPr>
            </w:pPr>
            <w:r>
              <w:rPr>
                <w:rFonts w:ascii="宋体"/>
                <w:sz w:val="18"/>
              </w:rPr>
              <w:t>43,335,000.00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9"/>
              <w:jc w:val="right"/>
              <w:rPr>
                <w:rFonts w:ascii="宋体" w:hAnsi="宋体" w:cs="宋体" w:eastAsia="宋体" w:hint="default"/>
                <w:sz w:val="18"/>
                <w:szCs w:val="18"/>
              </w:rPr>
            </w:pPr>
            <w:r>
              <w:rPr>
                <w:rFonts w:ascii="宋体"/>
                <w:sz w:val="18"/>
              </w:rPr>
              <w:t>-43,335,000.00</w:t>
            </w: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1262"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w:t>
            </w:r>
            <w:r>
              <w:rPr>
                <w:rFonts w:ascii="宋体" w:hAnsi="宋体" w:cs="宋体" w:eastAsia="宋体" w:hint="default"/>
                <w:sz w:val="18"/>
                <w:szCs w:val="18"/>
              </w:rPr>
              <w:t> 积转增资 本（或股 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z w:val="18"/>
              </w:rPr>
              <w:t>43,335,000.00</w:t>
            </w: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宋体"/>
                <w:sz w:val="18"/>
              </w:rPr>
              <w:t>-43,335,000.00</w:t>
            </w: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1264"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w:t>
            </w:r>
            <w:r>
              <w:rPr>
                <w:rFonts w:ascii="宋体" w:hAnsi="宋体" w:cs="宋体" w:eastAsia="宋体" w:hint="default"/>
                <w:sz w:val="18"/>
                <w:szCs w:val="18"/>
              </w:rPr>
              <w:t> 积转增资 本（或股 本）</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951"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18"/>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w:t>
            </w:r>
            <w:r>
              <w:rPr>
                <w:rFonts w:ascii="宋体" w:hAnsi="宋体" w:cs="宋体" w:eastAsia="宋体" w:hint="default"/>
                <w:sz w:val="18"/>
                <w:szCs w:val="18"/>
              </w:rPr>
              <w:t> 积弥补亏 损</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335" w:hRule="exact"/>
        </w:trPr>
        <w:tc>
          <w:tcPr>
            <w:tcW w:w="8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9"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567"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160" w:right="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851"/>
        <w:gridCol w:w="1419"/>
        <w:gridCol w:w="283"/>
        <w:gridCol w:w="283"/>
        <w:gridCol w:w="283"/>
        <w:gridCol w:w="1418"/>
        <w:gridCol w:w="567"/>
        <w:gridCol w:w="1134"/>
        <w:gridCol w:w="568"/>
        <w:gridCol w:w="1559"/>
        <w:gridCol w:w="1418"/>
        <w:gridCol w:w="1559"/>
      </w:tblGrid>
      <w:tr>
        <w:trPr>
          <w:trHeight w:val="646" w:hRule="exact"/>
        </w:trPr>
        <w:tc>
          <w:tcPr>
            <w:tcW w:w="8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95"/>
              <w:jc w:val="left"/>
              <w:rPr>
                <w:rFonts w:ascii="宋体" w:hAnsi="宋体" w:cs="宋体" w:eastAsia="宋体" w:hint="default"/>
                <w:sz w:val="18"/>
                <w:szCs w:val="18"/>
              </w:rPr>
            </w:pPr>
            <w:r>
              <w:rPr>
                <w:rFonts w:ascii="宋体" w:hAnsi="宋体" w:cs="宋体" w:eastAsia="宋体" w:hint="default"/>
                <w:sz w:val="18"/>
                <w:szCs w:val="18"/>
              </w:rPr>
              <w:t>（五）专 项储备</w:t>
            </w:r>
          </w:p>
        </w:tc>
        <w:tc>
          <w:tcPr>
            <w:tcW w:w="1419"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283"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567" w:type="dxa"/>
            <w:tcBorders>
              <w:top w:val="single" w:sz="12" w:space="0" w:color="000000"/>
              <w:left w:val="single" w:sz="6" w:space="0" w:color="000000"/>
              <w:bottom w:val="single" w:sz="6" w:space="0" w:color="000000"/>
              <w:right w:val="single" w:sz="6" w:space="0" w:color="000000"/>
            </w:tcBorders>
          </w:tcPr>
          <w:p>
            <w:pPr/>
          </w:p>
        </w:tc>
        <w:tc>
          <w:tcPr>
            <w:tcW w:w="1134" w:type="dxa"/>
            <w:tcBorders>
              <w:top w:val="single" w:sz="12" w:space="0" w:color="000000"/>
              <w:left w:val="single" w:sz="6" w:space="0" w:color="000000"/>
              <w:bottom w:val="single" w:sz="6" w:space="0" w:color="000000"/>
              <w:right w:val="single" w:sz="6" w:space="0" w:color="000000"/>
            </w:tcBorders>
          </w:tcPr>
          <w:p>
            <w:pPr/>
          </w:p>
        </w:tc>
        <w:tc>
          <w:tcPr>
            <w:tcW w:w="568" w:type="dxa"/>
            <w:tcBorders>
              <w:top w:val="single" w:sz="12" w:space="0" w:color="000000"/>
              <w:left w:val="single" w:sz="6" w:space="0" w:color="000000"/>
              <w:bottom w:val="single" w:sz="6" w:space="0" w:color="000000"/>
              <w:right w:val="single" w:sz="6" w:space="0" w:color="000000"/>
            </w:tcBorders>
          </w:tcPr>
          <w:p>
            <w:pPr/>
          </w:p>
        </w:tc>
        <w:tc>
          <w:tcPr>
            <w:tcW w:w="1559"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
        </w:tc>
        <w:tc>
          <w:tcPr>
            <w:tcW w:w="1559" w:type="dxa"/>
            <w:tcBorders>
              <w:top w:val="single" w:sz="12" w:space="0" w:color="000000"/>
              <w:left w:val="single" w:sz="6" w:space="0" w:color="000000"/>
              <w:bottom w:val="single" w:sz="6" w:space="0" w:color="000000"/>
              <w:right w:val="single" w:sz="12" w:space="0" w:color="000000"/>
            </w:tcBorders>
          </w:tcPr>
          <w:p>
            <w:pPr/>
          </w:p>
        </w:tc>
      </w:tr>
      <w:tr>
        <w:trPr>
          <w:trHeight w:val="63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8"/>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．本期提</w:t>
            </w:r>
            <w:r>
              <w:rPr>
                <w:rFonts w:ascii="宋体" w:hAnsi="宋体" w:cs="宋体" w:eastAsia="宋体" w:hint="default"/>
                <w:sz w:val="18"/>
                <w:szCs w:val="18"/>
              </w:rPr>
              <w:t> 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2"/>
              <w:ind w:left="13" w:right="1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．本期使</w:t>
            </w:r>
            <w:r>
              <w:rPr>
                <w:rFonts w:ascii="宋体" w:hAnsi="宋体" w:cs="宋体" w:eastAsia="宋体" w:hint="default"/>
                <w:sz w:val="18"/>
                <w:szCs w:val="18"/>
              </w:rPr>
              <w:t> 用</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85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95"/>
              <w:jc w:val="left"/>
              <w:rPr>
                <w:rFonts w:ascii="宋体" w:hAnsi="宋体" w:cs="宋体" w:eastAsia="宋体" w:hint="default"/>
                <w:sz w:val="18"/>
                <w:szCs w:val="18"/>
              </w:rPr>
            </w:pPr>
            <w:r>
              <w:rPr>
                <w:rFonts w:ascii="宋体" w:hAnsi="宋体" w:cs="宋体" w:eastAsia="宋体" w:hint="default"/>
                <w:sz w:val="18"/>
                <w:szCs w:val="18"/>
              </w:rPr>
              <w:t>（六）其 他</w:t>
            </w:r>
          </w:p>
        </w:tc>
        <w:tc>
          <w:tcPr>
            <w:tcW w:w="1419"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12" w:space="0" w:color="000000"/>
            </w:tcBorders>
          </w:tcPr>
          <w:p>
            <w:pPr/>
          </w:p>
        </w:tc>
      </w:tr>
      <w:tr>
        <w:trPr>
          <w:trHeight w:val="647" w:hRule="exact"/>
        </w:trPr>
        <w:tc>
          <w:tcPr>
            <w:tcW w:w="8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11"/>
              <w:ind w:left="13" w:right="95"/>
              <w:jc w:val="left"/>
              <w:rPr>
                <w:rFonts w:ascii="宋体" w:hAnsi="宋体" w:cs="宋体" w:eastAsia="宋体" w:hint="default"/>
                <w:sz w:val="18"/>
                <w:szCs w:val="18"/>
              </w:rPr>
            </w:pPr>
            <w:r>
              <w:rPr>
                <w:rFonts w:ascii="宋体" w:hAnsi="宋体" w:cs="宋体" w:eastAsia="宋体" w:hint="default"/>
                <w:sz w:val="18"/>
                <w:szCs w:val="18"/>
              </w:rPr>
              <w:t>四、本期 期末余额</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130,005,000.00</w:t>
            </w: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363,528,902.61</w:t>
            </w:r>
          </w:p>
        </w:tc>
        <w:tc>
          <w:tcPr>
            <w:tcW w:w="567"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52" w:right="0"/>
              <w:jc w:val="left"/>
              <w:rPr>
                <w:rFonts w:ascii="宋体" w:hAnsi="宋体" w:cs="宋体" w:eastAsia="宋体" w:hint="default"/>
                <w:sz w:val="18"/>
                <w:szCs w:val="18"/>
              </w:rPr>
            </w:pPr>
            <w:r>
              <w:rPr>
                <w:rFonts w:ascii="宋体"/>
                <w:sz w:val="18"/>
              </w:rPr>
              <w:t>17,728,817.66</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120,558,358.81</w:t>
            </w:r>
          </w:p>
        </w:tc>
        <w:tc>
          <w:tcPr>
            <w:tcW w:w="15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62" w:right="0"/>
              <w:jc w:val="left"/>
              <w:rPr>
                <w:rFonts w:ascii="宋体" w:hAnsi="宋体" w:cs="宋体" w:eastAsia="宋体" w:hint="default"/>
                <w:sz w:val="18"/>
                <w:szCs w:val="18"/>
              </w:rPr>
            </w:pPr>
            <w:r>
              <w:rPr>
                <w:rFonts w:ascii="宋体"/>
                <w:sz w:val="18"/>
              </w:rPr>
              <w:t>631,821,079.08</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ind w:left="974" w:right="153"/>
        <w:jc w:val="left"/>
        <w:rPr>
          <w:b w:val="0"/>
          <w:bCs w:val="0"/>
        </w:rPr>
      </w:pPr>
      <w:bookmarkStart w:name="三、公司基本情况" w:id="118"/>
      <w:bookmarkEnd w:id="118"/>
      <w:r>
        <w:rPr>
          <w:b w:val="0"/>
          <w:bCs w:val="0"/>
        </w:rPr>
      </w: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973" w:right="153" w:firstLine="374"/>
        <w:jc w:val="left"/>
      </w:pPr>
      <w:r>
        <w:rPr>
          <w:spacing w:val="2"/>
        </w:rPr>
        <w:t>光一科技股份有限公司</w:t>
      </w:r>
      <w:r>
        <w:rPr>
          <w:rFonts w:ascii="宋体" w:hAnsi="宋体" w:cs="宋体" w:eastAsia="宋体" w:hint="default"/>
          <w:spacing w:val="2"/>
        </w:rPr>
        <w:t>(</w:t>
      </w:r>
      <w:r>
        <w:rPr>
          <w:spacing w:val="2"/>
        </w:rPr>
        <w:t>以下简称“本公司”)为境内公开发行</w:t>
      </w:r>
      <w:r>
        <w:rPr>
          <w:rFonts w:ascii="宋体" w:hAnsi="宋体" w:cs="宋体" w:eastAsia="宋体" w:hint="default"/>
          <w:spacing w:val="2"/>
        </w:rPr>
        <w:t>A</w:t>
      </w:r>
      <w:r>
        <w:rPr>
          <w:spacing w:val="2"/>
        </w:rPr>
        <w:t>股股票并在深圳证券交易所创业板上</w:t>
      </w:r>
      <w:r>
        <w:rPr/>
        <w:t> 市的股份有限公司，证券代码</w:t>
      </w:r>
      <w:r>
        <w:rPr>
          <w:rFonts w:ascii="宋体" w:hAnsi="宋体" w:cs="宋体" w:eastAsia="宋体" w:hint="default"/>
        </w:rPr>
        <w:t>300356</w:t>
      </w:r>
      <w:r>
        <w:rPr/>
        <w:t>。本公司于</w:t>
      </w: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11</w:t>
      </w:r>
      <w:r>
        <w:rPr/>
        <w:t>日经批准由江苏光一科技有限责任公司整体 改制成为股份有限公司，持有江苏省南京市工商行政管理局核发的注册号</w:t>
      </w:r>
      <w:r>
        <w:rPr>
          <w:rFonts w:ascii="宋体" w:hAnsi="宋体" w:cs="宋体" w:eastAsia="宋体" w:hint="default"/>
        </w:rPr>
        <w:t>320121000030643</w:t>
      </w:r>
      <w:r>
        <w:rPr/>
        <w:t>号《企业法人</w:t>
      </w:r>
      <w:r>
        <w:rPr>
          <w:spacing w:val="-27"/>
        </w:rPr>
        <w:t> </w:t>
      </w:r>
      <w:r>
        <w:rPr>
          <w:spacing w:val="-27"/>
        </w:rPr>
      </w:r>
      <w:r>
        <w:rPr>
          <w:spacing w:val="-3"/>
        </w:rPr>
        <w:t>营业执照》，注册地址为南京市江宁经济技术开发区胜太路</w:t>
      </w:r>
      <w:r>
        <w:rPr>
          <w:rFonts w:ascii="宋体" w:hAnsi="宋体" w:cs="宋体" w:eastAsia="宋体" w:hint="default"/>
          <w:spacing w:val="-3"/>
        </w:rPr>
        <w:t>88</w:t>
      </w:r>
      <w:r>
        <w:rPr>
          <w:spacing w:val="-3"/>
        </w:rPr>
        <w:t>号。本公司经营范围为电力设备、仪器仪表、</w:t>
      </w:r>
      <w:r>
        <w:rPr>
          <w:spacing w:val="-93"/>
        </w:rPr>
        <w:t> </w:t>
      </w:r>
      <w:r>
        <w:rPr>
          <w:spacing w:val="-93"/>
        </w:rPr>
      </w:r>
      <w:r>
        <w:rPr/>
        <w:t>计算机软硬件的开发、设计、制造、销售及服务；信息系统设计、销售、施工、服务及技术咨询；电子设</w:t>
      </w:r>
      <w:r>
        <w:rPr/>
        <w:t> 备与器件、通信产品（不含地面卫星接收设备）的销售、服务及技术咨询；实业投资；电力工程、建筑工 程承包。</w:t>
      </w:r>
    </w:p>
    <w:p>
      <w:pPr>
        <w:pStyle w:val="BodyText"/>
        <w:spacing w:line="408" w:lineRule="auto"/>
        <w:ind w:left="974" w:right="886" w:firstLine="374"/>
        <w:jc w:val="both"/>
      </w:pP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24</w:t>
      </w:r>
      <w:r>
        <w:rPr/>
        <w:t>日，经中国证券监督管理委员会《关于核准光一科技股份有限公司向任昌兆等发行股份 购买资产的批复》（证监许可</w:t>
      </w:r>
      <w:r>
        <w:rPr>
          <w:rFonts w:ascii="宋体" w:hAnsi="宋体" w:cs="宋体" w:eastAsia="宋体" w:hint="default"/>
        </w:rPr>
        <w:t>[2014]1399 </w:t>
      </w:r>
      <w:r>
        <w:rPr/>
        <w:t>号）核准，本公司以发行股份及支付现金购买资产的方式向任</w:t>
      </w:r>
      <w:r>
        <w:rPr>
          <w:spacing w:val="-30"/>
        </w:rPr>
        <w:t> </w:t>
      </w:r>
      <w:r>
        <w:rPr>
          <w:spacing w:val="-30"/>
        </w:rPr>
      </w:r>
      <w:r>
        <w:rPr/>
        <w:t>昌兆等</w:t>
      </w:r>
      <w:r>
        <w:rPr>
          <w:rFonts w:ascii="宋体" w:hAnsi="宋体" w:cs="宋体" w:eastAsia="宋体" w:hint="default"/>
        </w:rPr>
        <w:t>33</w:t>
      </w:r>
      <w:r>
        <w:rPr/>
        <w:t>名交易对方定向发行股份</w:t>
      </w:r>
      <w:r>
        <w:rPr>
          <w:rFonts w:ascii="宋体" w:hAnsi="宋体" w:cs="宋体" w:eastAsia="宋体" w:hint="default"/>
        </w:rPr>
        <w:t>31,216,848</w:t>
      </w:r>
      <w:r>
        <w:rPr/>
        <w:t>股，初步完成了对索瑞电气的重大资产重组，公司注册资本 由 </w:t>
      </w:r>
      <w:r>
        <w:rPr>
          <w:rFonts w:ascii="宋体" w:hAnsi="宋体" w:cs="宋体" w:eastAsia="宋体" w:hint="default"/>
        </w:rPr>
        <w:t>13,000.50 </w:t>
      </w:r>
      <w:r>
        <w:rPr/>
        <w:t>万元增加至 </w:t>
      </w:r>
      <w:r>
        <w:rPr>
          <w:rFonts w:ascii="宋体" w:hAnsi="宋体" w:cs="宋体" w:eastAsia="宋体" w:hint="default"/>
        </w:rPr>
        <w:t>16,122.1848</w:t>
      </w:r>
      <w:r>
        <w:rPr>
          <w:rFonts w:ascii="宋体" w:hAnsi="宋体" w:cs="宋体" w:eastAsia="宋体" w:hint="default"/>
          <w:spacing w:val="-29"/>
        </w:rPr>
        <w:t> </w:t>
      </w:r>
      <w:r>
        <w:rPr/>
        <w:t>万元。上述注册资本变更已于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13</w:t>
      </w:r>
      <w:r>
        <w:rPr/>
        <w:t>日公司完成工商变更。</w:t>
      </w:r>
    </w:p>
    <w:p>
      <w:pPr>
        <w:pStyle w:val="BodyText"/>
        <w:spacing w:line="240" w:lineRule="auto"/>
        <w:ind w:left="1348" w:right="153"/>
        <w:jc w:val="left"/>
      </w:pPr>
      <w:r>
        <w:rPr/>
        <w:t>本财务报告批准报出日为：</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21</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974" w:right="153"/>
        <w:jc w:val="left"/>
      </w:pPr>
      <w:r>
        <w:rPr>
          <w:spacing w:val="-3"/>
        </w:rPr>
        <w:t>本年度合并财务报表范围为光一科技股份有限公司及其子公司，具体详见“本附注八、本附注九”的披露。</w:t>
      </w:r>
    </w:p>
    <w:p>
      <w:pPr>
        <w:spacing w:line="240" w:lineRule="auto" w:before="0"/>
        <w:rPr>
          <w:rFonts w:ascii="宋体" w:hAnsi="宋体" w:cs="宋体" w:eastAsia="宋体" w:hint="default"/>
          <w:sz w:val="20"/>
          <w:szCs w:val="20"/>
        </w:rPr>
      </w:pPr>
    </w:p>
    <w:p>
      <w:pPr>
        <w:pStyle w:val="Heading2"/>
        <w:spacing w:line="240" w:lineRule="auto" w:before="131"/>
        <w:ind w:left="973" w:right="153"/>
        <w:jc w:val="left"/>
        <w:rPr>
          <w:b w:val="0"/>
          <w:bCs w:val="0"/>
        </w:rPr>
      </w:pPr>
      <w:bookmarkStart w:name="四、财务报表的编制基础" w:id="119"/>
      <w:bookmarkEnd w:id="119"/>
      <w:r>
        <w:rPr>
          <w:b w:val="0"/>
          <w:bCs w:val="0"/>
        </w:rPr>
      </w:r>
      <w:r>
        <w:rPr/>
        <w:t>四、财务报表的编制基础</w:t>
      </w:r>
      <w:r>
        <w:rPr>
          <w:b w:val="0"/>
          <w:bCs w:val="0"/>
        </w:rPr>
      </w:r>
    </w:p>
    <w:p>
      <w:pPr>
        <w:spacing w:line="240" w:lineRule="auto" w:before="6"/>
        <w:rPr>
          <w:rFonts w:ascii="宋体" w:hAnsi="宋体" w:cs="宋体" w:eastAsia="宋体" w:hint="default"/>
          <w:b/>
          <w:bCs/>
          <w:sz w:val="30"/>
          <w:szCs w:val="30"/>
        </w:rPr>
      </w:pPr>
    </w:p>
    <w:p>
      <w:pPr>
        <w:pStyle w:val="Heading4"/>
        <w:spacing w:line="240" w:lineRule="auto"/>
        <w:ind w:left="973" w:right="153"/>
        <w:jc w:val="left"/>
        <w:rPr>
          <w:b w:val="0"/>
          <w:bCs w:val="0"/>
        </w:rPr>
      </w:pPr>
      <w:bookmarkStart w:name="1、编制基础" w:id="120"/>
      <w:bookmarkEnd w:id="120"/>
      <w:r>
        <w:rPr>
          <w:b w:val="0"/>
          <w:bCs w:val="0"/>
        </w:rPr>
      </w:r>
      <w:r>
        <w:rPr>
          <w:rFonts w:ascii="宋体" w:hAnsi="宋体" w:cs="宋体" w:eastAsia="宋体" w:hint="default"/>
        </w:rPr>
        <w:t>1</w:t>
      </w:r>
      <w:r>
        <w:rPr/>
        <w:t>、编制基础</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973" w:right="153" w:firstLine="374"/>
        <w:jc w:val="left"/>
      </w:pPr>
      <w:r>
        <w:rPr/>
        <w:t>本公司以持续经营为基础，根据实际发生的交易和事项，按照《企业会计准则—基本准则》和其他各 项会计准则的规定进行确认和计量，在此基础上编制财务报表。</w:t>
      </w:r>
    </w:p>
    <w:p>
      <w:pPr>
        <w:pStyle w:val="BodyText"/>
        <w:spacing w:line="408" w:lineRule="auto"/>
        <w:ind w:left="973" w:right="153" w:firstLine="374"/>
        <w:jc w:val="left"/>
      </w:pPr>
      <w:r>
        <w:rPr>
          <w:spacing w:val="-6"/>
        </w:rPr>
        <w:t>根据财政部《关于印发修订</w:t>
      </w:r>
      <w:r>
        <w:rPr>
          <w:rFonts w:ascii="宋体" w:hAnsi="宋体" w:cs="宋体" w:eastAsia="宋体" w:hint="default"/>
          <w:spacing w:val="-6"/>
        </w:rPr>
        <w:t>&lt;</w:t>
      </w:r>
      <w:r>
        <w:rPr>
          <w:spacing w:val="-6"/>
        </w:rPr>
        <w:t>企业会计准则第</w:t>
      </w:r>
      <w:r>
        <w:rPr>
          <w:rFonts w:ascii="宋体" w:hAnsi="宋体" w:cs="宋体" w:eastAsia="宋体" w:hint="default"/>
          <w:spacing w:val="-6"/>
        </w:rPr>
        <w:t>2</w:t>
      </w:r>
      <w:r>
        <w:rPr>
          <w:spacing w:val="-6"/>
        </w:rPr>
        <w:t>号——长期股权投资</w:t>
      </w:r>
      <w:r>
        <w:rPr>
          <w:rFonts w:ascii="宋体" w:hAnsi="宋体" w:cs="宋体" w:eastAsia="宋体" w:hint="default"/>
          <w:spacing w:val="-6"/>
        </w:rPr>
        <w:t>&gt;</w:t>
      </w:r>
      <w:r>
        <w:rPr>
          <w:spacing w:val="-6"/>
        </w:rPr>
        <w:t>的通知》等</w:t>
      </w:r>
      <w:r>
        <w:rPr>
          <w:rFonts w:ascii="宋体" w:hAnsi="宋体" w:cs="宋体" w:eastAsia="宋体" w:hint="default"/>
          <w:spacing w:val="-6"/>
        </w:rPr>
        <w:t>7</w:t>
      </w:r>
      <w:r>
        <w:rPr>
          <w:spacing w:val="-6"/>
        </w:rPr>
        <w:t>项通知（财会</w:t>
      </w:r>
      <w:r>
        <w:rPr>
          <w:rFonts w:ascii="宋体" w:hAnsi="宋体" w:cs="宋体" w:eastAsia="宋体" w:hint="default"/>
          <w:spacing w:val="-6"/>
        </w:rPr>
        <w:t>[2014]6~8</w:t>
      </w:r>
      <w:r>
        <w:rPr>
          <w:rFonts w:ascii="宋体" w:hAnsi="宋体" w:cs="宋体" w:eastAsia="宋体" w:hint="default"/>
        </w:rPr>
        <w:t> </w:t>
      </w:r>
      <w:r>
        <w:rPr>
          <w:spacing w:val="-1"/>
        </w:rPr>
        <w:t>号、</w:t>
      </w:r>
      <w:r>
        <w:rPr>
          <w:rFonts w:ascii="宋体" w:hAnsi="宋体" w:cs="宋体" w:eastAsia="宋体" w:hint="default"/>
          <w:spacing w:val="-1"/>
        </w:rPr>
        <w:t>10~11</w:t>
      </w:r>
      <w:r>
        <w:rPr>
          <w:spacing w:val="-1"/>
        </w:rPr>
        <w:t>号、</w:t>
      </w:r>
      <w:r>
        <w:rPr>
          <w:rFonts w:ascii="宋体" w:hAnsi="宋体" w:cs="宋体" w:eastAsia="宋体" w:hint="default"/>
          <w:spacing w:val="-1"/>
        </w:rPr>
        <w:t>14</w:t>
      </w:r>
      <w:r>
        <w:rPr>
          <w:spacing w:val="-1"/>
        </w:rPr>
        <w:t>号、</w:t>
      </w:r>
      <w:r>
        <w:rPr>
          <w:rFonts w:ascii="宋体" w:hAnsi="宋体" w:cs="宋体" w:eastAsia="宋体" w:hint="default"/>
          <w:spacing w:val="-1"/>
        </w:rPr>
        <w:t>16</w:t>
      </w:r>
      <w:r>
        <w:rPr>
          <w:spacing w:val="-1"/>
        </w:rPr>
        <w:t>号）等规定，本公司自</w:t>
      </w:r>
      <w:r>
        <w:rPr>
          <w:rFonts w:ascii="宋体" w:hAnsi="宋体" w:cs="宋体" w:eastAsia="宋体" w:hint="default"/>
          <w:spacing w:val="-1"/>
        </w:rPr>
        <w:t>2014</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w:t>
      </w:r>
      <w:r>
        <w:rPr>
          <w:spacing w:val="-1"/>
        </w:rPr>
        <w:t>日起执行财政部</w:t>
      </w:r>
      <w:r>
        <w:rPr>
          <w:rFonts w:ascii="宋体" w:hAnsi="宋体" w:cs="宋体" w:eastAsia="宋体" w:hint="default"/>
          <w:spacing w:val="-1"/>
        </w:rPr>
        <w:t>2014</w:t>
      </w:r>
      <w:r>
        <w:rPr>
          <w:spacing w:val="-1"/>
        </w:rPr>
        <w:t>年发布的前述</w:t>
      </w:r>
      <w:r>
        <w:rPr>
          <w:rFonts w:ascii="宋体" w:hAnsi="宋体" w:cs="宋体" w:eastAsia="宋体" w:hint="default"/>
          <w:spacing w:val="-1"/>
        </w:rPr>
        <w:t>7</w:t>
      </w:r>
      <w:r>
        <w:rPr>
          <w:spacing w:val="-1"/>
        </w:rPr>
        <w:t>项企业会计</w:t>
      </w:r>
    </w:p>
    <w:p>
      <w:pPr>
        <w:spacing w:after="0" w:line="408" w:lineRule="auto"/>
        <w:jc w:val="left"/>
        <w:sectPr>
          <w:pgSz w:w="11910" w:h="16840"/>
          <w:pgMar w:header="747" w:footer="1000" w:top="1040" w:bottom="1180" w:left="160" w:right="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102"/>
        <w:jc w:val="left"/>
      </w:pPr>
      <w:r>
        <w:rPr/>
        <w:t>准则。</w:t>
      </w:r>
    </w:p>
    <w:p>
      <w:pPr>
        <w:spacing w:line="240" w:lineRule="auto" w:before="10"/>
        <w:rPr>
          <w:rFonts w:ascii="宋体" w:hAnsi="宋体" w:cs="宋体" w:eastAsia="宋体" w:hint="default"/>
          <w:sz w:val="14"/>
          <w:szCs w:val="14"/>
        </w:rPr>
      </w:pPr>
    </w:p>
    <w:p>
      <w:pPr>
        <w:pStyle w:val="BodyText"/>
        <w:spacing w:line="408" w:lineRule="auto" w:before="0"/>
        <w:ind w:right="102" w:firstLine="374"/>
        <w:jc w:val="left"/>
      </w:pPr>
      <w:r>
        <w:rPr/>
        <w:t>根据财政部《中华人民共和国财政部令第</w:t>
      </w:r>
      <w:r>
        <w:rPr>
          <w:rFonts w:ascii="宋体" w:hAnsi="宋体" w:cs="宋体" w:eastAsia="宋体" w:hint="default"/>
        </w:rPr>
        <w:t>76</w:t>
      </w:r>
      <w:r>
        <w:rPr/>
        <w:t>号——财政部关于修改</w:t>
      </w:r>
      <w:r>
        <w:rPr>
          <w:rFonts w:ascii="宋体" w:hAnsi="宋体" w:cs="宋体" w:eastAsia="宋体" w:hint="default"/>
        </w:rPr>
        <w:t>&lt;</w:t>
      </w:r>
      <w:r>
        <w:rPr/>
        <w:t>企业会计准则——基本准则</w:t>
      </w:r>
      <w:r>
        <w:rPr>
          <w:rFonts w:ascii="宋体" w:hAnsi="宋体" w:cs="宋体" w:eastAsia="宋体" w:hint="default"/>
        </w:rPr>
        <w:t>&gt;</w:t>
      </w:r>
      <w:r>
        <w:rPr/>
        <w:t>的决</w:t>
      </w:r>
      <w:r>
        <w:rPr>
          <w:spacing w:val="1"/>
        </w:rPr>
        <w:t> </w:t>
      </w:r>
      <w:r>
        <w:rPr/>
        <w:t>定》，本公司自</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23</w:t>
      </w:r>
      <w:r>
        <w:rPr/>
        <w:t>日起执行该决定。</w:t>
      </w:r>
    </w:p>
    <w:p>
      <w:pPr>
        <w:pStyle w:val="BodyText"/>
        <w:spacing w:line="408" w:lineRule="auto"/>
        <w:ind w:left="154" w:right="102" w:firstLine="374"/>
        <w:jc w:val="left"/>
      </w:pPr>
      <w:r>
        <w:rPr>
          <w:spacing w:val="-2"/>
        </w:rPr>
        <w:t>根据财政部《关于印发修订</w:t>
      </w:r>
      <w:r>
        <w:rPr>
          <w:rFonts w:ascii="宋体" w:hAnsi="宋体" w:cs="宋体" w:eastAsia="宋体" w:hint="default"/>
          <w:spacing w:val="-2"/>
        </w:rPr>
        <w:t>&lt;</w:t>
      </w:r>
      <w:r>
        <w:rPr>
          <w:spacing w:val="-2"/>
        </w:rPr>
        <w:t>企业会计准则第</w:t>
      </w:r>
      <w:r>
        <w:rPr>
          <w:rFonts w:ascii="宋体" w:hAnsi="宋体" w:cs="宋体" w:eastAsia="宋体" w:hint="default"/>
          <w:spacing w:val="-2"/>
        </w:rPr>
        <w:t>37</w:t>
      </w:r>
      <w:r>
        <w:rPr>
          <w:spacing w:val="-2"/>
        </w:rPr>
        <w:t>号</w:t>
      </w:r>
      <w:r>
        <w:rPr>
          <w:rFonts w:ascii="宋体" w:hAnsi="宋体" w:cs="宋体" w:eastAsia="宋体" w:hint="default"/>
          <w:spacing w:val="-2"/>
        </w:rPr>
        <w:t>--</w:t>
      </w:r>
      <w:r>
        <w:rPr>
          <w:spacing w:val="-2"/>
        </w:rPr>
        <w:t>金融工具列报</w:t>
      </w:r>
      <w:r>
        <w:rPr>
          <w:rFonts w:ascii="宋体" w:hAnsi="宋体" w:cs="宋体" w:eastAsia="宋体" w:hint="default"/>
          <w:spacing w:val="-2"/>
        </w:rPr>
        <w:t>&gt;</w:t>
      </w:r>
      <w:r>
        <w:rPr>
          <w:spacing w:val="-2"/>
        </w:rPr>
        <w:t>的通知》（财会</w:t>
      </w:r>
      <w:r>
        <w:rPr>
          <w:rFonts w:ascii="宋体" w:hAnsi="宋体" w:cs="宋体" w:eastAsia="宋体" w:hint="default"/>
          <w:spacing w:val="-2"/>
        </w:rPr>
        <w:t>[2014]23</w:t>
      </w:r>
      <w:r>
        <w:rPr>
          <w:spacing w:val="-2"/>
        </w:rPr>
        <w:t>号的规定，</w:t>
      </w:r>
      <w:r>
        <w:rPr/>
        <w:t> 本公司自</w:t>
      </w:r>
      <w:r>
        <w:rPr>
          <w:rFonts w:ascii="宋体" w:hAnsi="宋体" w:cs="宋体" w:eastAsia="宋体" w:hint="default"/>
        </w:rPr>
        <w:t>2014</w:t>
      </w:r>
      <w:r>
        <w:rPr/>
        <w:t>年度起执行该规定。</w:t>
      </w:r>
    </w:p>
    <w:p>
      <w:pPr>
        <w:pStyle w:val="Heading4"/>
        <w:spacing w:line="240" w:lineRule="auto" w:before="46"/>
        <w:ind w:left="153" w:right="102"/>
        <w:jc w:val="left"/>
        <w:rPr>
          <w:b w:val="0"/>
          <w:bCs w:val="0"/>
        </w:rPr>
      </w:pPr>
      <w:bookmarkStart w:name="2、持续经营" w:id="121"/>
      <w:bookmarkEnd w:id="121"/>
      <w:r>
        <w:rPr>
          <w:b w:val="0"/>
          <w:bCs w:val="0"/>
        </w:rPr>
      </w:r>
      <w:r>
        <w:rPr>
          <w:rFonts w:ascii="宋体" w:hAnsi="宋体" w:cs="宋体" w:eastAsia="宋体" w:hint="default"/>
        </w:rPr>
        <w:t>2</w:t>
      </w:r>
      <w:r>
        <w:rPr/>
        <w:t>、持续经营</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02" w:firstLine="420"/>
        <w:jc w:val="left"/>
      </w:pPr>
      <w:r>
        <w:rPr>
          <w:spacing w:val="-1"/>
        </w:rPr>
        <w:t>经本公司评估，自本报告期末起的</w:t>
      </w:r>
      <w:r>
        <w:rPr>
          <w:rFonts w:ascii="宋体" w:hAnsi="宋体" w:cs="宋体" w:eastAsia="宋体" w:hint="default"/>
          <w:spacing w:val="-1"/>
        </w:rPr>
        <w:t>12</w:t>
      </w:r>
      <w:r>
        <w:rPr>
          <w:spacing w:val="-1"/>
        </w:rPr>
        <w:t>个月内，本公司持续经营能力良好，不存在导致对本公司持续经</w:t>
      </w:r>
      <w:r>
        <w:rPr/>
        <w:t> 营能力产生重大怀疑的因素。</w:t>
      </w:r>
    </w:p>
    <w:p>
      <w:pPr>
        <w:pStyle w:val="Heading2"/>
        <w:spacing w:line="240" w:lineRule="auto" w:before="23"/>
        <w:ind w:right="102"/>
        <w:jc w:val="left"/>
        <w:rPr>
          <w:b w:val="0"/>
          <w:bCs w:val="0"/>
        </w:rPr>
      </w:pPr>
      <w:bookmarkStart w:name="五、重要会计政策及会计估计" w:id="122"/>
      <w:bookmarkEnd w:id="122"/>
      <w:r>
        <w:rPr>
          <w:b w:val="0"/>
          <w:bCs w:val="0"/>
        </w:rPr>
      </w:r>
      <w:r>
        <w:rPr/>
        <w:t>五、重要会计政策及会计估计</w:t>
      </w:r>
      <w:r>
        <w:rPr>
          <w:b w:val="0"/>
          <w:bCs w:val="0"/>
        </w:rPr>
      </w:r>
    </w:p>
    <w:p>
      <w:pPr>
        <w:pStyle w:val="BodyText"/>
        <w:spacing w:line="408" w:lineRule="auto" w:before="177"/>
        <w:ind w:left="577" w:right="102" w:hanging="424"/>
        <w:jc w:val="left"/>
      </w:pPr>
      <w:r>
        <w:rPr/>
        <w:t>具体会计政策和会计估计提示： </w:t>
      </w:r>
      <w:r>
        <w:rPr>
          <w:spacing w:val="-1"/>
        </w:rPr>
        <w:t>本公司根据实际生产经营特点，依据相关企业会计准则的规定，对应收款项坏帐准备计提、固定资产</w:t>
      </w:r>
    </w:p>
    <w:p>
      <w:pPr>
        <w:pStyle w:val="BodyText"/>
        <w:spacing w:line="408" w:lineRule="auto"/>
        <w:ind w:right="102"/>
        <w:jc w:val="left"/>
      </w:pPr>
      <w:r>
        <w:rPr>
          <w:spacing w:val="-1"/>
        </w:rPr>
        <w:t>折旧、无形资产摊销、存货跌价准备、收入确认等交易或事项制定了具体会计政策和会计估计，请参阅本</w:t>
      </w:r>
      <w:r>
        <w:rPr>
          <w:spacing w:val="-86"/>
        </w:rPr>
        <w:t> </w:t>
      </w:r>
      <w:r>
        <w:rPr>
          <w:spacing w:val="-86"/>
        </w:rPr>
      </w:r>
      <w:r>
        <w:rPr/>
        <w:t>节重要会计政策及会计估计中的各项具体描述。</w:t>
      </w:r>
    </w:p>
    <w:p>
      <w:pPr>
        <w:spacing w:line="408" w:lineRule="auto" w:before="46"/>
        <w:ind w:left="574" w:right="102" w:hanging="420"/>
        <w:jc w:val="left"/>
        <w:rPr>
          <w:rFonts w:ascii="宋体" w:hAnsi="宋体" w:cs="宋体" w:eastAsia="宋体" w:hint="default"/>
          <w:sz w:val="21"/>
          <w:szCs w:val="21"/>
        </w:rPr>
      </w:pPr>
      <w:bookmarkStart w:name="1、遵循企业会计准则的声明" w:id="123"/>
      <w:bookmarkEnd w:id="123"/>
      <w:r>
        <w:rPr/>
      </w:r>
      <w:r>
        <w:rPr>
          <w:rFonts w:ascii="宋体" w:hAnsi="宋体" w:cs="宋体" w:eastAsia="宋体"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本公司所编制的财务报表符合企业会计准则的要求，真实、完整地反映了本公司的财务状况、经营成</w:t>
      </w:r>
    </w:p>
    <w:p>
      <w:pPr>
        <w:spacing w:line="408" w:lineRule="auto" w:before="46"/>
        <w:ind w:left="154" w:right="5632" w:firstLine="0"/>
        <w:jc w:val="left"/>
        <w:rPr>
          <w:rFonts w:ascii="宋体" w:hAnsi="宋体" w:cs="宋体" w:eastAsia="宋体" w:hint="default"/>
          <w:sz w:val="21"/>
          <w:szCs w:val="21"/>
        </w:rPr>
      </w:pPr>
      <w:r>
        <w:rPr>
          <w:rFonts w:ascii="宋体" w:hAnsi="宋体" w:cs="宋体" w:eastAsia="宋体" w:hint="default"/>
          <w:sz w:val="21"/>
          <w:szCs w:val="21"/>
        </w:rPr>
        <w:t>果、所有者权益变动和现金流量等有关信息。 </w:t>
      </w:r>
      <w:bookmarkStart w:name="2、会计期间" w:id="124"/>
      <w:bookmarkEnd w:id="124"/>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408" w:lineRule="auto" w:before="46"/>
        <w:ind w:left="154" w:right="5632" w:firstLine="420"/>
        <w:jc w:val="left"/>
        <w:rPr>
          <w:rFonts w:ascii="宋体" w:hAnsi="宋体" w:cs="宋体" w:eastAsia="宋体" w:hint="default"/>
          <w:sz w:val="21"/>
          <w:szCs w:val="21"/>
        </w:rPr>
      </w:pPr>
      <w:r>
        <w:rPr>
          <w:rFonts w:ascii="宋体" w:hAnsi="宋体" w:cs="宋体" w:eastAsia="宋体" w:hint="default"/>
          <w:sz w:val="21"/>
          <w:szCs w:val="21"/>
        </w:rPr>
        <w:t>会计期间自公历</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日起至</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 </w:t>
      </w:r>
      <w:bookmarkStart w:name="3、营业周期" w:id="125"/>
      <w:bookmarkEnd w:id="125"/>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408" w:lineRule="auto"/>
        <w:ind w:left="154" w:right="194" w:firstLine="420"/>
        <w:jc w:val="left"/>
      </w:pPr>
      <w:r>
        <w:rPr/>
        <w:t>营业周期是指本公司从购买用于加工的资产起至实现现金或现金等价物的期间。本公司以 </w:t>
      </w:r>
      <w:r>
        <w:rPr>
          <w:rFonts w:ascii="宋体" w:hAnsi="宋体" w:cs="宋体" w:eastAsia="宋体" w:hint="default"/>
        </w:rPr>
        <w:t>12</w:t>
      </w:r>
      <w:r>
        <w:rPr>
          <w:rFonts w:ascii="宋体" w:hAnsi="宋体" w:cs="宋体" w:eastAsia="宋体" w:hint="default"/>
          <w:spacing w:val="-22"/>
        </w:rPr>
        <w:t> </w:t>
      </w:r>
      <w:r>
        <w:rPr/>
        <w:t>个月作 为一个营业周期，并以其作为资产和负债的流动性划分标准。</w:t>
      </w:r>
    </w:p>
    <w:p>
      <w:pPr>
        <w:pStyle w:val="Heading4"/>
        <w:spacing w:line="240" w:lineRule="auto" w:before="46"/>
        <w:ind w:right="102"/>
        <w:jc w:val="left"/>
        <w:rPr>
          <w:b w:val="0"/>
          <w:bCs w:val="0"/>
        </w:rPr>
      </w:pPr>
      <w:bookmarkStart w:name="4、记账本位币" w:id="126"/>
      <w:bookmarkEnd w:id="126"/>
      <w:r>
        <w:rPr>
          <w:b w:val="0"/>
          <w:bCs w:val="0"/>
        </w:rPr>
      </w:r>
      <w:r>
        <w:rPr>
          <w:rFonts w:ascii="宋体" w:hAnsi="宋体" w:cs="宋体" w:eastAsia="宋体" w:hint="default"/>
        </w:rPr>
        <w:t>4</w:t>
      </w:r>
      <w:r>
        <w:rPr/>
        <w:t>、记账本位币</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4666" w:firstLine="420"/>
        <w:jc w:val="left"/>
        <w:rPr>
          <w:rFonts w:ascii="宋体" w:hAnsi="宋体" w:cs="宋体" w:eastAsia="宋体" w:hint="default"/>
          <w:sz w:val="21"/>
          <w:szCs w:val="21"/>
        </w:rPr>
      </w:pPr>
      <w:r>
        <w:rPr>
          <w:rFonts w:ascii="宋体" w:hAnsi="宋体" w:cs="宋体" w:eastAsia="宋体" w:hint="default"/>
          <w:sz w:val="21"/>
          <w:szCs w:val="21"/>
        </w:rPr>
        <w:t>记账本位币为人民币。 </w:t>
      </w:r>
      <w:bookmarkStart w:name="5、同一控制下和非同一控制下企业合并的会计处理方法" w:id="127"/>
      <w:bookmarkEnd w:id="127"/>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pStyle w:val="BodyText"/>
        <w:spacing w:line="408" w:lineRule="auto"/>
        <w:ind w:left="574" w:right="102"/>
        <w:jc w:val="left"/>
      </w:pPr>
      <w:r>
        <w:rPr/>
        <w:t>（</w:t>
      </w:r>
      <w:r>
        <w:rPr>
          <w:rFonts w:ascii="宋体" w:hAnsi="宋体" w:cs="宋体" w:eastAsia="宋体" w:hint="default"/>
        </w:rPr>
        <w:t>1</w:t>
      </w:r>
      <w:r>
        <w:rPr/>
        <w:t>）同一控制下的企业合并 </w:t>
      </w:r>
      <w:r>
        <w:rPr>
          <w:spacing w:val="-1"/>
        </w:rPr>
        <w:t>参与合并的企业在合并前后均受同一方或相同的多方最终控制且该控制并非暂时性的，认定为同一控</w:t>
      </w:r>
    </w:p>
    <w:p>
      <w:pPr>
        <w:pStyle w:val="BodyText"/>
        <w:spacing w:line="408" w:lineRule="auto"/>
        <w:ind w:left="574" w:right="102" w:hanging="420"/>
        <w:jc w:val="left"/>
      </w:pPr>
      <w:r>
        <w:rPr/>
        <w:t>制下的企业合并。 </w:t>
      </w:r>
      <w:r>
        <w:rPr>
          <w:spacing w:val="-1"/>
        </w:rPr>
        <w:t>合并方以支付现金、转让非现金资产或承担债务方式作为合并对价的，在合并日按照被合并方所有者</w:t>
      </w:r>
    </w:p>
    <w:p>
      <w:pPr>
        <w:pStyle w:val="BodyText"/>
        <w:spacing w:line="408" w:lineRule="auto"/>
        <w:ind w:left="154" w:right="102"/>
        <w:jc w:val="left"/>
      </w:pPr>
      <w:r>
        <w:rPr>
          <w:spacing w:val="-1"/>
        </w:rPr>
        <w:t>权益在最终控制方合并财务报表中的账面价值的份额作为长期股权投资的初始投资成本。长期股权投资初</w:t>
      </w:r>
      <w:r>
        <w:rPr>
          <w:spacing w:val="-81"/>
        </w:rPr>
        <w:t> </w:t>
      </w:r>
      <w:r>
        <w:rPr>
          <w:spacing w:val="-81"/>
        </w:rPr>
      </w:r>
      <w:r>
        <w:rPr>
          <w:spacing w:val="-1"/>
        </w:rPr>
        <w:t>始投资成本与支付的现金、转让的非现金资产以及所承担债务账面价值之间的差额，调整资本公积；资本</w:t>
      </w:r>
    </w:p>
    <w:p>
      <w:pPr>
        <w:spacing w:after="0" w:line="408" w:lineRule="auto"/>
        <w:jc w:val="left"/>
        <w:sectPr>
          <w:footerReference w:type="default" r:id="rId17"/>
          <w:pgSz w:w="11910" w:h="16840"/>
          <w:pgMar w:footer="1000" w:header="747" w:top="1040" w:bottom="1180" w:left="980" w:right="920"/>
          <w:pgNumType w:start="92"/>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573" w:right="0" w:hanging="420"/>
        <w:jc w:val="left"/>
      </w:pPr>
      <w:r>
        <w:rPr/>
        <w:t>公积不足冲减的，调整留存收益。 </w:t>
      </w:r>
      <w:r>
        <w:rPr>
          <w:spacing w:val="-1"/>
        </w:rPr>
        <w:t>合并方以发行权益性证券作为合并对价的，在合并日按照被合并方所有者权益在最终控制方合并财务</w:t>
      </w:r>
    </w:p>
    <w:p>
      <w:pPr>
        <w:pStyle w:val="BodyText"/>
        <w:spacing w:line="408" w:lineRule="auto"/>
        <w:ind w:right="151"/>
        <w:jc w:val="both"/>
      </w:pPr>
      <w:r>
        <w:rPr>
          <w:spacing w:val="-1"/>
        </w:rPr>
        <w:t>报表中的账面价值的份额作为长期股权投资的初始投资成本。按照发行股份的面值总额作为股本，长期股</w:t>
      </w:r>
      <w:r>
        <w:rPr>
          <w:spacing w:val="-81"/>
        </w:rPr>
        <w:t> </w:t>
      </w:r>
      <w:r>
        <w:rPr>
          <w:spacing w:val="-81"/>
        </w:rPr>
      </w:r>
      <w:r>
        <w:rPr>
          <w:spacing w:val="-1"/>
        </w:rPr>
        <w:t>权投资初始投资成本与所发行股份面值总额之间的差额，调整资本公积；资本公积不足冲减的，调整留存</w:t>
      </w:r>
      <w:r>
        <w:rPr>
          <w:spacing w:val="-83"/>
        </w:rPr>
        <w:t> </w:t>
      </w:r>
      <w:r>
        <w:rPr>
          <w:spacing w:val="-83"/>
        </w:rPr>
      </w:r>
      <w:r>
        <w:rPr/>
        <w:t>收益。</w:t>
      </w:r>
    </w:p>
    <w:p>
      <w:pPr>
        <w:pStyle w:val="BodyText"/>
        <w:spacing w:line="408" w:lineRule="auto"/>
        <w:ind w:right="0" w:firstLine="420"/>
        <w:jc w:val="left"/>
      </w:pPr>
      <w:r>
        <w:rPr>
          <w:spacing w:val="-1"/>
        </w:rPr>
        <w:t>合并方为企业合并发生的审计、法律服务、评估咨询等中介费用以及其他相关管理费用，于发生时计</w:t>
      </w:r>
      <w:r>
        <w:rPr/>
        <w:t> 入当期损益。</w:t>
      </w:r>
    </w:p>
    <w:p>
      <w:pPr>
        <w:pStyle w:val="BodyText"/>
        <w:spacing w:line="408" w:lineRule="auto"/>
        <w:ind w:left="574" w:right="112"/>
        <w:jc w:val="left"/>
      </w:pPr>
      <w:r>
        <w:rPr/>
        <w:t>（</w:t>
      </w:r>
      <w:r>
        <w:rPr>
          <w:rFonts w:ascii="宋体" w:hAnsi="宋体" w:cs="宋体" w:eastAsia="宋体" w:hint="default"/>
        </w:rPr>
        <w:t>2</w:t>
      </w:r>
      <w:r>
        <w:rPr/>
        <w:t>）非同一控制下的企业合并 参与合并的各方在合并前后不受同一方或相同的多方最终控制的，认定为非同一控制下的企业合并。 </w:t>
      </w:r>
      <w:r>
        <w:rPr>
          <w:spacing w:val="-1"/>
        </w:rPr>
        <w:t>购买方通过一次交换交易实现的企业合并，合并成本为购买方在购买日为取得对被购买方的控制权而</w:t>
      </w:r>
    </w:p>
    <w:p>
      <w:pPr>
        <w:pStyle w:val="BodyText"/>
        <w:spacing w:line="408" w:lineRule="auto"/>
        <w:ind w:left="154" w:right="151"/>
        <w:jc w:val="both"/>
      </w:pPr>
      <w:r>
        <w:rPr>
          <w:spacing w:val="-1"/>
        </w:rPr>
        <w:t>付出的资产、发生或承担的负债以及发行的权益性证券的公允价值。购买方为企业合并发生的审计、法律</w:t>
      </w:r>
      <w:r>
        <w:rPr>
          <w:spacing w:val="-83"/>
        </w:rPr>
        <w:t> </w:t>
      </w:r>
      <w:r>
        <w:rPr>
          <w:spacing w:val="-83"/>
        </w:rPr>
      </w:r>
      <w:r>
        <w:rPr>
          <w:spacing w:val="-1"/>
        </w:rPr>
        <w:t>服务、评估咨询等中介费用以及其他相关管理费用，于发生时计入当期损益；购买方作为合并对价发行的</w:t>
      </w:r>
      <w:r>
        <w:rPr>
          <w:spacing w:val="-83"/>
        </w:rPr>
        <w:t> </w:t>
      </w:r>
      <w:r>
        <w:rPr>
          <w:spacing w:val="-83"/>
        </w:rPr>
      </w:r>
      <w:r>
        <w:rPr/>
        <w:t>权益性证券或债务性证券的交易费用，计入权益性证券或债务性证券的初始确认金额。</w:t>
      </w:r>
    </w:p>
    <w:p>
      <w:pPr>
        <w:pStyle w:val="BodyText"/>
        <w:spacing w:line="408" w:lineRule="auto"/>
        <w:ind w:left="154" w:right="151" w:firstLine="420"/>
        <w:jc w:val="both"/>
      </w:pPr>
      <w:r>
        <w:rPr>
          <w:spacing w:val="-1"/>
        </w:rPr>
        <w:t>购买方的合并成本和购买方在合并中取得的可辨认净资产按购买日的公允价值计量。合并成本大于合</w:t>
      </w:r>
      <w:r>
        <w:rPr/>
        <w:t> </w:t>
      </w:r>
      <w:r>
        <w:rPr>
          <w:spacing w:val="-1"/>
        </w:rPr>
        <w:t>并中取得的被购买方于购买日可辨认净资产公允价值份额的差额，确认为商誉；合并成本小于合并中取得</w:t>
      </w:r>
      <w:r>
        <w:rPr>
          <w:spacing w:val="-81"/>
        </w:rPr>
        <w:t> </w:t>
      </w:r>
      <w:r>
        <w:rPr>
          <w:spacing w:val="-81"/>
        </w:rPr>
      </w:r>
      <w:r>
        <w:rPr/>
        <w:t>的被购买方可辨认净资产公允价值份额的差额，计入当期损益。</w:t>
      </w:r>
    </w:p>
    <w:p>
      <w:pPr>
        <w:pStyle w:val="BodyText"/>
        <w:spacing w:line="408" w:lineRule="auto"/>
        <w:ind w:left="574" w:right="0"/>
        <w:jc w:val="left"/>
      </w:pPr>
      <w:r>
        <w:rPr/>
        <w:t>（</w:t>
      </w:r>
      <w:r>
        <w:rPr>
          <w:rFonts w:ascii="宋体" w:hAnsi="宋体" w:cs="宋体" w:eastAsia="宋体" w:hint="default"/>
        </w:rPr>
        <w:t>3</w:t>
      </w:r>
      <w:r>
        <w:rPr/>
        <w:t>）因追加投资等原因能够对非同一控制下的被投资单位实施控制的 </w:t>
      </w:r>
      <w:r>
        <w:rPr>
          <w:spacing w:val="-1"/>
        </w:rPr>
        <w:t>在编制个别财务报表时，按照原持有的股权投资账面价值加上新增投资成本之和，作为改按成本法核</w:t>
      </w:r>
    </w:p>
    <w:p>
      <w:pPr>
        <w:pStyle w:val="BodyText"/>
        <w:spacing w:line="408" w:lineRule="auto"/>
        <w:ind w:left="154" w:right="150"/>
        <w:jc w:val="both"/>
      </w:pPr>
      <w:r>
        <w:rPr>
          <w:spacing w:val="-1"/>
        </w:rPr>
        <w:t>算的初始投资成本。购买日之前持有的股权投资因采用权益法核算而确认的其他综合收益，在处置该项投</w:t>
      </w:r>
      <w:r>
        <w:rPr>
          <w:spacing w:val="-81"/>
        </w:rPr>
        <w:t> </w:t>
      </w:r>
      <w:r>
        <w:rPr>
          <w:spacing w:val="-81"/>
        </w:rPr>
      </w:r>
      <w:r>
        <w:rPr>
          <w:spacing w:val="-1"/>
        </w:rPr>
        <w:t>资时采用与被投资单位直接处置相关资产或负债相同的基础进行会计处理。购买日之前持有的股权投资按</w:t>
      </w:r>
      <w:r>
        <w:rPr>
          <w:spacing w:val="-80"/>
        </w:rPr>
        <w:t> </w:t>
      </w:r>
      <w:r>
        <w:rPr>
          <w:spacing w:val="-80"/>
        </w:rPr>
      </w:r>
      <w:r>
        <w:rPr>
          <w:spacing w:val="-1"/>
        </w:rPr>
        <w:t>照《企业会计准则第</w:t>
      </w:r>
      <w:r>
        <w:rPr>
          <w:rFonts w:ascii="宋体" w:hAnsi="宋体" w:cs="宋体" w:eastAsia="宋体" w:hint="default"/>
          <w:spacing w:val="-1"/>
        </w:rPr>
        <w:t>22</w:t>
      </w:r>
      <w:r>
        <w:rPr>
          <w:spacing w:val="-1"/>
        </w:rPr>
        <w:t>号——金融工具确认和计量》的有关规定进行会计处理的，原计入其他综合收益的</w:t>
      </w:r>
      <w:r>
        <w:rPr>
          <w:spacing w:val="-83"/>
        </w:rPr>
        <w:t> </w:t>
      </w:r>
      <w:r>
        <w:rPr>
          <w:spacing w:val="-83"/>
        </w:rPr>
      </w:r>
      <w:r>
        <w:rPr/>
        <w:t>累计公允价值变动在改按成本法核算时转入当期损益。</w:t>
      </w:r>
    </w:p>
    <w:p>
      <w:pPr>
        <w:pStyle w:val="BodyText"/>
        <w:spacing w:line="408" w:lineRule="auto"/>
        <w:ind w:right="0" w:firstLine="420"/>
        <w:jc w:val="left"/>
        <w:rPr>
          <w:rFonts w:ascii="宋体" w:hAnsi="宋体" w:cs="宋体" w:eastAsia="宋体" w:hint="default"/>
        </w:rPr>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新计量，公允价值与其账面价值的差额计入当期投资收益；购买日之前持有的被购买方的股权涉及权益法</w:t>
      </w:r>
      <w:r>
        <w:rPr>
          <w:spacing w:val="-81"/>
        </w:rPr>
        <w:t> </w:t>
      </w:r>
      <w:r>
        <w:rPr>
          <w:spacing w:val="-81"/>
        </w:rPr>
      </w:r>
      <w:r>
        <w:rPr/>
        <w:t>核算下的其他综合收益等的，与其相关的其他综合收益等应当转为购买日所属当期收益。 </w:t>
      </w:r>
      <w:bookmarkStart w:name="6、合并财务报表的编制方法" w:id="128"/>
      <w:bookmarkEnd w:id="128"/>
      <w:r>
        <w:rPr/>
      </w:r>
      <w:r>
        <w:rPr>
          <w:rFonts w:ascii="宋体" w:hAnsi="宋体" w:cs="宋体" w:eastAsia="宋体" w:hint="default"/>
          <w:b/>
          <w:bCs/>
        </w:rPr>
        <w:t>6</w:t>
      </w:r>
      <w:r>
        <w:rPr>
          <w:rFonts w:ascii="宋体" w:hAnsi="宋体" w:cs="宋体" w:eastAsia="宋体" w:hint="default"/>
          <w:b/>
          <w:bCs/>
        </w:rPr>
        <w:t>、合并财务报表的编制方法</w:t>
      </w:r>
      <w:r>
        <w:rPr>
          <w:rFonts w:ascii="宋体" w:hAnsi="宋体" w:cs="宋体" w:eastAsia="宋体" w:hint="default"/>
        </w:rPr>
      </w:r>
    </w:p>
    <w:p>
      <w:pPr>
        <w:pStyle w:val="BodyText"/>
        <w:spacing w:line="408" w:lineRule="auto"/>
        <w:ind w:left="573" w:right="323"/>
        <w:jc w:val="left"/>
      </w:pPr>
      <w:r>
        <w:rPr/>
        <w:t>（</w:t>
      </w:r>
      <w:r>
        <w:rPr>
          <w:rFonts w:ascii="宋体" w:hAnsi="宋体" w:cs="宋体" w:eastAsia="宋体" w:hint="default"/>
        </w:rPr>
        <w:t>1</w:t>
      </w:r>
      <w:r>
        <w:rPr/>
        <w:t>）合并范围 合并财务报表的合并范围包括本公司及子公司。合并财务报表的合并范围以控制为基础予以确定。</w:t>
      </w:r>
    </w:p>
    <w:p>
      <w:pPr>
        <w:pStyle w:val="BodyText"/>
        <w:spacing w:line="408" w:lineRule="auto"/>
        <w:ind w:left="573" w:right="0"/>
        <w:jc w:val="left"/>
      </w:pPr>
      <w:r>
        <w:rPr/>
        <w:t>（</w:t>
      </w:r>
      <w:r>
        <w:rPr>
          <w:rFonts w:ascii="宋体" w:hAnsi="宋体" w:cs="宋体" w:eastAsia="宋体" w:hint="default"/>
        </w:rPr>
        <w:t>2</w:t>
      </w:r>
      <w:r>
        <w:rPr/>
        <w:t>）控制的依据 </w:t>
      </w:r>
      <w:r>
        <w:rPr>
          <w:spacing w:val="-1"/>
        </w:rPr>
        <w:t>投资方拥有对被投资方的权力，通过参与被投资方的相关活动而享有可变回报，并且有能力运用对被</w:t>
      </w:r>
    </w:p>
    <w:p>
      <w:pPr>
        <w:spacing w:after="0" w:line="408" w:lineRule="auto"/>
        <w:jc w:val="left"/>
        <w:sectPr>
          <w:footerReference w:type="default" r:id="rId18"/>
          <w:pgSz w:w="11910" w:h="16840"/>
          <w:pgMar w:footer="1000" w:header="747" w:top="1040" w:bottom="1180" w:left="980" w:right="980"/>
          <w:pgNumType w:start="93"/>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0"/>
        <w:jc w:val="left"/>
      </w:pPr>
      <w:r>
        <w:rPr>
          <w:spacing w:val="-1"/>
        </w:rPr>
        <w:t>投资方的权力影响其回报金额，视为投资方控制被投资方。相关活动，系为对被投资方的回报产生重大影</w:t>
      </w:r>
      <w:r>
        <w:rPr>
          <w:spacing w:val="-83"/>
        </w:rPr>
        <w:t> </w:t>
      </w:r>
      <w:r>
        <w:rPr>
          <w:spacing w:val="-83"/>
        </w:rPr>
      </w:r>
      <w:r>
        <w:rPr/>
        <w:t>响的活动。</w:t>
      </w:r>
    </w:p>
    <w:p>
      <w:pPr>
        <w:pStyle w:val="BodyText"/>
        <w:spacing w:line="408" w:lineRule="auto"/>
        <w:ind w:left="573" w:right="0"/>
        <w:jc w:val="left"/>
      </w:pPr>
      <w:r>
        <w:rPr/>
        <w:t>（</w:t>
      </w:r>
      <w:r>
        <w:rPr>
          <w:rFonts w:ascii="宋体" w:hAnsi="宋体" w:cs="宋体" w:eastAsia="宋体" w:hint="default"/>
        </w:rPr>
        <w:t>3</w:t>
      </w:r>
      <w:r>
        <w:rPr/>
        <w:t>）决策者和代理人 </w:t>
      </w:r>
      <w:r>
        <w:rPr>
          <w:spacing w:val="-1"/>
        </w:rPr>
        <w:t>代理人仅代表主要责任人行使决策权，不控制被投资方。投资方将被投资方相关活动的决策权委托给</w:t>
      </w:r>
    </w:p>
    <w:p>
      <w:pPr>
        <w:pStyle w:val="BodyText"/>
        <w:spacing w:line="408" w:lineRule="auto"/>
        <w:ind w:left="573" w:right="533" w:hanging="420"/>
        <w:jc w:val="left"/>
      </w:pPr>
      <w:r>
        <w:rPr/>
        <w:t>代理人的，将该决策权视为自身直接持有。 在确定决策者是否为代理人时，公司综合考虑该决策者与被投资方以及其他投资方之间的关系。 </w:t>
      </w:r>
      <w:r>
        <w:rPr>
          <w:rFonts w:ascii="宋体" w:hAnsi="宋体" w:cs="宋体" w:eastAsia="宋体" w:hint="default"/>
        </w:rPr>
        <w:t>1</w:t>
      </w:r>
      <w:r>
        <w:rPr/>
        <w:t>）存在单独一方拥有实质性权利可以无条件罢免决策者的，该决策者为代理人。</w:t>
      </w:r>
    </w:p>
    <w:p>
      <w:pPr>
        <w:pStyle w:val="BodyText"/>
        <w:spacing w:line="408" w:lineRule="auto"/>
        <w:ind w:left="154" w:right="0" w:firstLine="420"/>
        <w:jc w:val="left"/>
      </w:pPr>
      <w:r>
        <w:rPr>
          <w:rFonts w:ascii="宋体" w:hAnsi="宋体" w:cs="宋体" w:eastAsia="宋体" w:hint="default"/>
          <w:spacing w:val="-1"/>
        </w:rPr>
        <w:t>2</w:t>
      </w:r>
      <w:r>
        <w:rPr>
          <w:spacing w:val="-1"/>
        </w:rPr>
        <w:t>）除</w:t>
      </w:r>
      <w:r>
        <w:rPr>
          <w:rFonts w:ascii="宋体" w:hAnsi="宋体" w:cs="宋体" w:eastAsia="宋体" w:hint="default"/>
          <w:spacing w:val="-1"/>
        </w:rPr>
        <w:t>1</w:t>
      </w:r>
      <w:r>
        <w:rPr>
          <w:spacing w:val="-1"/>
        </w:rPr>
        <w:t>）以外的情况下，综合考虑决策者对被投资方的决策权范围、其他方享有的实质性权利、决策</w:t>
      </w:r>
      <w:r>
        <w:rPr/>
        <w:t> 者的薪酬水平、决策者因持有被投资方中的其他权益所承担可变回报的风险等相关因素进行判断。</w:t>
      </w:r>
    </w:p>
    <w:p>
      <w:pPr>
        <w:pStyle w:val="BodyText"/>
        <w:spacing w:line="408" w:lineRule="auto"/>
        <w:ind w:left="574" w:right="5362"/>
        <w:jc w:val="left"/>
      </w:pPr>
      <w:r>
        <w:rPr/>
        <w:t>（</w:t>
      </w:r>
      <w:r>
        <w:rPr>
          <w:rFonts w:ascii="宋体" w:hAnsi="宋体" w:cs="宋体" w:eastAsia="宋体" w:hint="default"/>
        </w:rPr>
        <w:t>4</w:t>
      </w:r>
      <w:r>
        <w:rPr/>
        <w:t>）投资性主体 当同时满足下列条件时，视为投资性主体：</w:t>
      </w:r>
    </w:p>
    <w:p>
      <w:pPr>
        <w:pStyle w:val="BodyText"/>
        <w:spacing w:line="240" w:lineRule="auto"/>
        <w:ind w:left="574" w:right="0"/>
        <w:jc w:val="left"/>
      </w:pPr>
      <w:r>
        <w:rPr>
          <w:rFonts w:ascii="宋体" w:hAnsi="宋体" w:cs="宋体" w:eastAsia="宋体" w:hint="default"/>
        </w:rPr>
        <w:t>1</w:t>
      </w:r>
      <w:r>
        <w:rPr/>
        <w:t>）该公司是以向投资者提供投资管理服务为目的，从一个或多个投资者处获取资金；</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2</w:t>
      </w:r>
      <w:r>
        <w:rPr/>
        <w:t>）该公司的唯一经营目的，是通过资本增值、投资收益或两者兼有而让投资者获得回报；</w:t>
      </w:r>
    </w:p>
    <w:p>
      <w:pPr>
        <w:spacing w:line="240" w:lineRule="auto" w:before="10"/>
        <w:rPr>
          <w:rFonts w:ascii="宋体" w:hAnsi="宋体" w:cs="宋体" w:eastAsia="宋体" w:hint="default"/>
          <w:sz w:val="14"/>
          <w:szCs w:val="14"/>
        </w:rPr>
      </w:pPr>
    </w:p>
    <w:p>
      <w:pPr>
        <w:pStyle w:val="BodyText"/>
        <w:spacing w:line="408" w:lineRule="auto" w:before="0"/>
        <w:ind w:left="574" w:right="3367"/>
        <w:jc w:val="left"/>
      </w:pPr>
      <w:r>
        <w:rPr>
          <w:rFonts w:ascii="宋体" w:hAnsi="宋体" w:cs="宋体" w:eastAsia="宋体" w:hint="default"/>
        </w:rPr>
        <w:t>3</w:t>
      </w:r>
      <w:r>
        <w:rPr/>
        <w:t>）该公司按照公允价值对几乎所有投资的业绩进行考量和评价。 属于投资性主体的，通常情况下符合下列所有特征： </w:t>
      </w:r>
      <w:r>
        <w:rPr>
          <w:rFonts w:ascii="宋体" w:hAnsi="宋体" w:cs="宋体" w:eastAsia="宋体" w:hint="default"/>
        </w:rPr>
        <w:t>1</w:t>
      </w:r>
      <w:r>
        <w:rPr/>
        <w:t>）拥有一个以上投资；</w:t>
      </w:r>
    </w:p>
    <w:p>
      <w:pPr>
        <w:pStyle w:val="BodyText"/>
        <w:spacing w:line="240" w:lineRule="auto"/>
        <w:ind w:left="574" w:right="0"/>
        <w:jc w:val="left"/>
      </w:pPr>
      <w:r>
        <w:rPr>
          <w:rFonts w:ascii="宋体" w:hAnsi="宋体" w:cs="宋体" w:eastAsia="宋体" w:hint="default"/>
        </w:rPr>
        <w:t>2</w:t>
      </w:r>
      <w:r>
        <w:rPr/>
        <w:t>）拥有一个以上投资者；</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3</w:t>
      </w:r>
      <w:r>
        <w:rPr/>
        <w:t>）投资者不是该主体的关联方；</w:t>
      </w:r>
    </w:p>
    <w:p>
      <w:pPr>
        <w:spacing w:line="240" w:lineRule="auto" w:before="10"/>
        <w:rPr>
          <w:rFonts w:ascii="宋体" w:hAnsi="宋体" w:cs="宋体" w:eastAsia="宋体" w:hint="default"/>
          <w:sz w:val="14"/>
          <w:szCs w:val="14"/>
        </w:rPr>
      </w:pPr>
    </w:p>
    <w:p>
      <w:pPr>
        <w:pStyle w:val="BodyText"/>
        <w:spacing w:line="408" w:lineRule="auto" w:before="0"/>
        <w:ind w:left="574" w:right="0"/>
        <w:jc w:val="left"/>
      </w:pPr>
      <w:r>
        <w:rPr>
          <w:rFonts w:ascii="宋体" w:hAnsi="宋体" w:cs="宋体" w:eastAsia="宋体" w:hint="default"/>
        </w:rPr>
        <w:t>4</w:t>
      </w:r>
      <w:r>
        <w:rPr/>
        <w:t>）其所有者权益以股权或类似权益方式存在。 </w:t>
      </w:r>
      <w:r>
        <w:rPr>
          <w:spacing w:val="-1"/>
        </w:rPr>
        <w:t>如果母公司是投资性主体，则母公司仅将为其投资活动提供相关服务的子公司</w:t>
      </w:r>
      <w:r>
        <w:rPr>
          <w:rFonts w:ascii="宋体" w:hAnsi="宋体" w:cs="宋体" w:eastAsia="宋体" w:hint="default"/>
          <w:spacing w:val="-1"/>
        </w:rPr>
        <w:t>(</w:t>
      </w:r>
      <w:r>
        <w:rPr>
          <w:spacing w:val="-1"/>
        </w:rPr>
        <w:t>如有</w:t>
      </w:r>
      <w:r>
        <w:rPr>
          <w:rFonts w:ascii="宋体" w:hAnsi="宋体" w:cs="宋体" w:eastAsia="宋体" w:hint="default"/>
          <w:spacing w:val="-1"/>
        </w:rPr>
        <w:t>)</w:t>
      </w:r>
      <w:r>
        <w:rPr>
          <w:spacing w:val="-1"/>
        </w:rPr>
        <w:t>纳入合并范围并</w:t>
      </w:r>
    </w:p>
    <w:p>
      <w:pPr>
        <w:pStyle w:val="BodyText"/>
        <w:spacing w:line="408" w:lineRule="auto"/>
        <w:ind w:left="154" w:right="0"/>
        <w:jc w:val="left"/>
      </w:pPr>
      <w:r>
        <w:rPr>
          <w:spacing w:val="-1"/>
        </w:rPr>
        <w:t>编制合并财务报表；其他子公司不予以合并，母公司对其他子公司的投资按照公允价值计量且其变动计入</w:t>
      </w:r>
      <w:r>
        <w:rPr>
          <w:spacing w:val="-81"/>
        </w:rPr>
        <w:t> </w:t>
      </w:r>
      <w:r>
        <w:rPr>
          <w:spacing w:val="-81"/>
        </w:rPr>
      </w:r>
      <w:r>
        <w:rPr/>
        <w:t>当期损益。</w:t>
      </w:r>
    </w:p>
    <w:p>
      <w:pPr>
        <w:pStyle w:val="BodyText"/>
        <w:spacing w:line="408" w:lineRule="auto"/>
        <w:ind w:left="154" w:right="0" w:firstLine="420"/>
        <w:jc w:val="left"/>
      </w:pPr>
      <w:r>
        <w:rPr>
          <w:spacing w:val="-1"/>
        </w:rPr>
        <w:t>投资性主体的母公司本身不是投资性主体，则将其控制的全部主体，包括那些通过投资性主体所间接</w:t>
      </w:r>
      <w:r>
        <w:rPr/>
        <w:t> 控制的主体，纳入合并财务报表范围。</w:t>
      </w:r>
    </w:p>
    <w:p>
      <w:pPr>
        <w:pStyle w:val="BodyText"/>
        <w:spacing w:line="408" w:lineRule="auto"/>
        <w:ind w:left="574" w:right="0"/>
        <w:jc w:val="left"/>
      </w:pPr>
      <w:r>
        <w:rPr/>
        <w:t>（</w:t>
      </w:r>
      <w:r>
        <w:rPr>
          <w:rFonts w:ascii="宋体" w:hAnsi="宋体" w:cs="宋体" w:eastAsia="宋体" w:hint="default"/>
        </w:rPr>
        <w:t>5</w:t>
      </w:r>
      <w:r>
        <w:rPr/>
        <w:t>）合并程序 </w:t>
      </w:r>
      <w:r>
        <w:rPr>
          <w:spacing w:val="-1"/>
        </w:rPr>
        <w:t>子公司所采用的会计政策或会计期间与本公司不一致的，按照本公司的会计政策或会计期间对子公司</w:t>
      </w:r>
    </w:p>
    <w:p>
      <w:pPr>
        <w:pStyle w:val="BodyText"/>
        <w:spacing w:line="408" w:lineRule="auto"/>
        <w:ind w:left="574" w:right="0" w:hanging="420"/>
        <w:jc w:val="left"/>
      </w:pPr>
      <w:r>
        <w:rPr/>
        <w:t>财务报表进行必要的调整；或者要求子公司按照本公司的会计政策或会计期间另行编报财务报表。 </w:t>
      </w:r>
      <w:r>
        <w:rPr>
          <w:spacing w:val="-1"/>
        </w:rPr>
        <w:t>合并资产负债表、合并利润表、合并现金流量表及合并所有者（股东）权益变动表分别以本公司和子</w:t>
      </w:r>
    </w:p>
    <w:p>
      <w:pPr>
        <w:pStyle w:val="BodyText"/>
        <w:spacing w:line="408" w:lineRule="auto"/>
        <w:ind w:left="154" w:right="112"/>
        <w:jc w:val="left"/>
      </w:pPr>
      <w:r>
        <w:rPr/>
        <w:t>公司的资产负债表、利润表、现金流量表及所有者（股东）权益变动表为基础，在抵销本公司与子公司、 子公司相互之间发生的内部交易对合并资产负债表、合并利润表、合并现金流量表及合并所有者（股东）</w:t>
      </w:r>
    </w:p>
    <w:p>
      <w:pPr>
        <w:spacing w:after="0" w:line="408" w:lineRule="auto"/>
        <w:jc w:val="left"/>
        <w:sectPr>
          <w:footerReference w:type="default" r:id="rId19"/>
          <w:pgSz w:w="11910" w:h="16840"/>
          <w:pgMar w:footer="1000" w:header="747" w:top="1040" w:bottom="1180" w:left="980" w:right="980"/>
          <w:pgNumType w:start="94"/>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573" w:right="533" w:hanging="420"/>
        <w:jc w:val="left"/>
      </w:pPr>
      <w:r>
        <w:rPr/>
        <w:t>权益变动表的影响后，由本公司合并编制。 本公司向子公司出售资产所发生的未实现内部交易损益，全额抵销“归属于母公司所有者的净利</w:t>
      </w:r>
    </w:p>
    <w:p>
      <w:pPr>
        <w:pStyle w:val="BodyText"/>
        <w:spacing w:line="408" w:lineRule="auto"/>
        <w:ind w:right="150"/>
        <w:jc w:val="both"/>
      </w:pPr>
      <w:r>
        <w:rPr>
          <w:spacing w:val="-1"/>
        </w:rPr>
        <w:t>润”。子公司向本公司出售资产所发生的未实现内部交易损益，按照本公司对该子公司的分配比例在“归</w:t>
      </w:r>
      <w:r>
        <w:rPr>
          <w:spacing w:val="-81"/>
        </w:rPr>
        <w:t> </w:t>
      </w:r>
      <w:r>
        <w:rPr>
          <w:spacing w:val="-81"/>
        </w:rPr>
      </w:r>
      <w:r>
        <w:rPr>
          <w:spacing w:val="-1"/>
        </w:rPr>
        <w:t>属于母公司所有者的净利润”和“少数股东损益”之间分配抵销。子公司之间出售资产所发生的未实现内</w:t>
      </w:r>
      <w:r>
        <w:rPr>
          <w:spacing w:val="-83"/>
        </w:rPr>
        <w:t> </w:t>
      </w:r>
      <w:r>
        <w:rPr>
          <w:spacing w:val="-83"/>
        </w:rPr>
      </w:r>
      <w:r>
        <w:rPr>
          <w:spacing w:val="-1"/>
        </w:rPr>
        <w:t>部交易损益，应当按照本公司对出售方子公司的分配比例在“归属于母公司所有者的净利润”和“少数股</w:t>
      </w:r>
      <w:r>
        <w:rPr>
          <w:spacing w:val="-82"/>
        </w:rPr>
        <w:t> </w:t>
      </w:r>
      <w:r>
        <w:rPr>
          <w:spacing w:val="-82"/>
        </w:rPr>
      </w:r>
      <w:r>
        <w:rPr/>
        <w:t>东损益”之间分配抵销。</w:t>
      </w:r>
    </w:p>
    <w:p>
      <w:pPr>
        <w:pStyle w:val="BodyText"/>
        <w:spacing w:line="408" w:lineRule="auto"/>
        <w:ind w:right="150" w:firstLine="420"/>
        <w:jc w:val="both"/>
      </w:pPr>
      <w:r>
        <w:rPr>
          <w:spacing w:val="-1"/>
        </w:rPr>
        <w:t>子公司所有者权益中不属于本公司的份额，作为少数股东权益，在合并资产负债表中所有者权益项目</w:t>
      </w:r>
      <w:r>
        <w:rPr/>
        <w:t> </w:t>
      </w:r>
      <w:r>
        <w:rPr>
          <w:spacing w:val="-1"/>
        </w:rPr>
        <w:t>下以“少数股东权益”项目列示。子公司当期净损益中属于少数股东权益的份额，在合并利润表中净利润</w:t>
      </w:r>
      <w:r>
        <w:rPr>
          <w:spacing w:val="-82"/>
        </w:rPr>
        <w:t> </w:t>
      </w:r>
      <w:r>
        <w:rPr>
          <w:spacing w:val="-82"/>
        </w:rPr>
      </w:r>
      <w:r>
        <w:rPr>
          <w:spacing w:val="-1"/>
        </w:rPr>
        <w:t>项目下以“少数股东损益”项目列示。子公司当期综合收益中属于少数股东权益的份额，在合并利润表中</w:t>
      </w:r>
      <w:r>
        <w:rPr>
          <w:spacing w:val="-82"/>
        </w:rPr>
        <w:t> </w:t>
      </w:r>
      <w:r>
        <w:rPr>
          <w:spacing w:val="-82"/>
        </w:rPr>
      </w:r>
      <w:r>
        <w:rPr>
          <w:spacing w:val="-1"/>
        </w:rPr>
        <w:t>综合收益总额项目下以“归属于少数股东的综合收益总额”项目列示。有少数股东的，在合并所有者权益</w:t>
      </w:r>
      <w:r>
        <w:rPr>
          <w:spacing w:val="-83"/>
        </w:rPr>
        <w:t> </w:t>
      </w:r>
      <w:r>
        <w:rPr>
          <w:spacing w:val="-83"/>
        </w:rPr>
      </w:r>
      <w:r>
        <w:rPr>
          <w:spacing w:val="-1"/>
        </w:rPr>
        <w:t>变动表中增加“少数股东权益”栏目，反映少数股东权益变动的情况。子公司少数股东分担的当期亏损超</w:t>
      </w:r>
      <w:r>
        <w:rPr>
          <w:spacing w:val="-82"/>
        </w:rPr>
        <w:t> </w:t>
      </w:r>
      <w:r>
        <w:rPr>
          <w:spacing w:val="-82"/>
        </w:rPr>
      </w:r>
      <w:r>
        <w:rPr/>
        <w:t>过了少数股东在该子公司期初所有者权益中所享有的份额的，其余额仍应当冲减少数股东权益。</w:t>
      </w:r>
    </w:p>
    <w:p>
      <w:pPr>
        <w:pStyle w:val="BodyText"/>
        <w:spacing w:line="408" w:lineRule="auto"/>
        <w:ind w:right="129" w:firstLine="420"/>
        <w:jc w:val="both"/>
      </w:pPr>
      <w:r>
        <w:rPr>
          <w:spacing w:val="-1"/>
        </w:rPr>
        <w:t>本公司在报告期内因同一控制下企业合并增加的子公司以及业务，编制合并资产负债表时，调整合并</w:t>
      </w:r>
      <w:r>
        <w:rPr/>
        <w:t> 资产负债表的期初数；编制合并利润表时，将该子公司以及业务合并当期期初至报告期末的收入、费用、 </w:t>
      </w:r>
      <w:r>
        <w:rPr>
          <w:spacing w:val="-1"/>
        </w:rPr>
        <w:t>利润纳入合并利润表；编制现金流量表时，将该子公司以及业务合并当期期初至报告期末的现金流量纳入</w:t>
      </w:r>
      <w:r>
        <w:rPr>
          <w:spacing w:val="-81"/>
        </w:rPr>
        <w:t> </w:t>
      </w:r>
      <w:r>
        <w:rPr>
          <w:spacing w:val="-81"/>
        </w:rPr>
      </w:r>
      <w:r>
        <w:rPr>
          <w:spacing w:val="-1"/>
        </w:rPr>
        <w:t>合并现金流量表；同时对比较报表的相关项目进行调整，视同合并后的报告主体自最终控制方开始控制时</w:t>
      </w:r>
      <w:r>
        <w:rPr>
          <w:spacing w:val="-81"/>
        </w:rPr>
        <w:t> </w:t>
      </w:r>
      <w:r>
        <w:rPr>
          <w:spacing w:val="-81"/>
        </w:rPr>
      </w:r>
      <w:r>
        <w:rPr/>
        <w:t>点起一直存在。</w:t>
      </w:r>
    </w:p>
    <w:p>
      <w:pPr>
        <w:pStyle w:val="BodyText"/>
        <w:spacing w:line="408" w:lineRule="auto"/>
        <w:ind w:right="151" w:firstLine="420"/>
        <w:jc w:val="both"/>
      </w:pPr>
      <w:r>
        <w:rPr>
          <w:spacing w:val="-1"/>
        </w:rPr>
        <w:t>因非同一控制下企业合并或其他方式增加的子公司以及业务，编制合并资产负债表时，不调整合并资</w:t>
      </w:r>
      <w:r>
        <w:rPr/>
        <w:t> </w:t>
      </w:r>
      <w:r>
        <w:rPr>
          <w:spacing w:val="-1"/>
        </w:rPr>
        <w:t>产负债表的期初数；编制合并利润表时，将该子公司以及业务购买日至报告期末的收入、费用、利润纳入</w:t>
      </w:r>
      <w:r>
        <w:rPr>
          <w:spacing w:val="-86"/>
        </w:rPr>
        <w:t> </w:t>
      </w:r>
      <w:r>
        <w:rPr>
          <w:spacing w:val="-86"/>
        </w:rPr>
      </w:r>
      <w:r>
        <w:rPr/>
        <w:t>合并利润表；编制合并现金流量表时，将该子公司购买日至报告期末的现金流量纳入合并现金流量表。</w:t>
      </w:r>
    </w:p>
    <w:p>
      <w:pPr>
        <w:pStyle w:val="BodyText"/>
        <w:spacing w:line="408" w:lineRule="auto"/>
        <w:ind w:right="130" w:firstLine="420"/>
        <w:jc w:val="both"/>
      </w:pPr>
      <w:r>
        <w:rPr/>
        <w:t>本公司在报告期内处置子公司以及业务，编制合并资产负债表时，不调整合并资产负债表的期初数； </w:t>
      </w:r>
      <w:r>
        <w:rPr>
          <w:spacing w:val="-1"/>
        </w:rPr>
        <w:t>编制合并利润表时，将该子公司以及业务期初至处置日的收入、费用、利润纳入合并利润表；编制合并现</w:t>
      </w:r>
      <w:r>
        <w:rPr>
          <w:spacing w:val="-86"/>
        </w:rPr>
        <w:t> </w:t>
      </w:r>
      <w:r>
        <w:rPr>
          <w:spacing w:val="-86"/>
        </w:rPr>
      </w:r>
      <w:r>
        <w:rPr/>
        <w:t>金流量表时，将该子公司以及业务期初至处置日的现金流量纳入合并现金流量表。</w:t>
      </w:r>
    </w:p>
    <w:p>
      <w:pPr>
        <w:pStyle w:val="BodyText"/>
        <w:spacing w:line="408" w:lineRule="auto"/>
        <w:ind w:left="573" w:right="5468"/>
        <w:jc w:val="left"/>
      </w:pPr>
      <w:r>
        <w:rPr/>
        <w:t>（</w:t>
      </w:r>
      <w:r>
        <w:rPr>
          <w:rFonts w:ascii="宋体" w:hAnsi="宋体" w:cs="宋体" w:eastAsia="宋体" w:hint="default"/>
        </w:rPr>
        <w:t>6</w:t>
      </w:r>
      <w:r>
        <w:rPr/>
        <w:t>）特殊交易会计处理 </w:t>
      </w:r>
      <w:r>
        <w:rPr>
          <w:rFonts w:ascii="宋体" w:hAnsi="宋体" w:cs="宋体" w:eastAsia="宋体" w:hint="default"/>
        </w:rPr>
        <w:t>1</w:t>
      </w:r>
      <w:r>
        <w:rPr/>
        <w:t>）购买子公司少数股东拥有的子公司股权</w:t>
      </w:r>
    </w:p>
    <w:p>
      <w:pPr>
        <w:pStyle w:val="BodyText"/>
        <w:spacing w:line="408" w:lineRule="auto"/>
        <w:ind w:right="151" w:firstLine="420"/>
        <w:jc w:val="both"/>
      </w:pPr>
      <w:r>
        <w:rPr>
          <w:spacing w:val="-1"/>
        </w:rPr>
        <w:t>在合并财务报表中，因购买少数股权新取得的长期股权投资与按照新增持股比例计算应享有子公司自</w:t>
      </w:r>
      <w:r>
        <w:rPr/>
        <w:t> </w:t>
      </w:r>
      <w:r>
        <w:rPr>
          <w:spacing w:val="-1"/>
        </w:rPr>
        <w:t>购买日或合并日开始持续计算的净资产份额之间的差额，调整资本公积</w:t>
      </w:r>
      <w:r>
        <w:rPr>
          <w:rFonts w:ascii="宋体" w:hAnsi="宋体" w:cs="宋体" w:eastAsia="宋体" w:hint="default"/>
          <w:spacing w:val="-1"/>
        </w:rPr>
        <w:t>(</w:t>
      </w:r>
      <w:r>
        <w:rPr>
          <w:spacing w:val="-1"/>
        </w:rPr>
        <w:t>资本溢价或股本溢价</w:t>
      </w:r>
      <w:r>
        <w:rPr>
          <w:rFonts w:ascii="宋体" w:hAnsi="宋体" w:cs="宋体" w:eastAsia="宋体" w:hint="default"/>
          <w:spacing w:val="-1"/>
        </w:rPr>
        <w:t>)</w:t>
      </w:r>
      <w:r>
        <w:rPr>
          <w:spacing w:val="-1"/>
        </w:rPr>
        <w:t>，资本公积</w:t>
      </w:r>
      <w:r>
        <w:rPr>
          <w:spacing w:val="-83"/>
        </w:rPr>
        <w:t> </w:t>
      </w:r>
      <w:r>
        <w:rPr>
          <w:spacing w:val="-83"/>
        </w:rPr>
      </w:r>
      <w:r>
        <w:rPr/>
        <w:t>不足冲减的，调整留存收益。</w:t>
      </w:r>
    </w:p>
    <w:p>
      <w:pPr>
        <w:pStyle w:val="BodyText"/>
        <w:spacing w:line="408" w:lineRule="auto"/>
        <w:ind w:left="574" w:right="0"/>
        <w:jc w:val="left"/>
      </w:pPr>
      <w:r>
        <w:rPr>
          <w:rFonts w:ascii="宋体" w:hAnsi="宋体" w:cs="宋体" w:eastAsia="宋体" w:hint="default"/>
        </w:rPr>
        <w:t>2</w:t>
      </w:r>
      <w:r>
        <w:rPr/>
        <w:t>）不丧失控制权的情况下处置对子公司长期股权投资 </w:t>
      </w:r>
      <w:r>
        <w:rPr>
          <w:spacing w:val="-1"/>
        </w:rPr>
        <w:t>在不丧失控制权的情况下部分处置对子公司的长期股权投资，在合并财务报表中，处置价款与处置长</w:t>
      </w:r>
    </w:p>
    <w:p>
      <w:pPr>
        <w:spacing w:after="0" w:line="408" w:lineRule="auto"/>
        <w:jc w:val="left"/>
        <w:sectPr>
          <w:footerReference w:type="default" r:id="rId20"/>
          <w:pgSz w:w="11910" w:h="16840"/>
          <w:pgMar w:footer="1000" w:header="747" w:top="1040" w:bottom="1180" w:left="980" w:right="980"/>
          <w:pgNumType w:start="95"/>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152"/>
        <w:jc w:val="both"/>
      </w:pPr>
      <w:r>
        <w:rPr>
          <w:spacing w:val="-1"/>
        </w:rPr>
        <w:t>期股权投资相对应享有子公司自购买日或合并日开始持续计算的净资产份额之间的差额，应当调整资本公</w:t>
      </w:r>
      <w:r>
        <w:rPr>
          <w:spacing w:val="-81"/>
        </w:rPr>
        <w:t> </w:t>
      </w:r>
      <w:r>
        <w:rPr>
          <w:spacing w:val="-81"/>
        </w:rPr>
      </w:r>
      <w:r>
        <w:rPr/>
        <w:t>积</w:t>
      </w:r>
      <w:r>
        <w:rPr>
          <w:rFonts w:ascii="宋体" w:hAnsi="宋体" w:cs="宋体" w:eastAsia="宋体" w:hint="default"/>
        </w:rPr>
        <w:t>(</w:t>
      </w:r>
      <w:r>
        <w:rPr/>
        <w:t>资本溢价或股本溢价</w:t>
      </w:r>
      <w:r>
        <w:rPr>
          <w:rFonts w:ascii="宋体" w:hAnsi="宋体" w:cs="宋体" w:eastAsia="宋体" w:hint="default"/>
        </w:rPr>
        <w:t>)</w:t>
      </w:r>
      <w:r>
        <w:rPr/>
        <w:t>，资本公积不足冲减的，调整留存收益。</w:t>
      </w:r>
    </w:p>
    <w:p>
      <w:pPr>
        <w:pStyle w:val="BodyText"/>
        <w:spacing w:line="408" w:lineRule="auto"/>
        <w:ind w:left="574" w:right="0"/>
        <w:jc w:val="left"/>
      </w:pPr>
      <w:r>
        <w:rPr>
          <w:rFonts w:ascii="宋体" w:hAnsi="宋体" w:cs="宋体" w:eastAsia="宋体" w:hint="default"/>
        </w:rPr>
        <w:t>3</w:t>
      </w:r>
      <w:r>
        <w:rPr/>
        <w:t>）处置部分股权投资等原因丧失了对被投资方的控制权时，对于剩余股权的处理 </w:t>
      </w:r>
      <w:r>
        <w:rPr>
          <w:spacing w:val="-1"/>
        </w:rPr>
        <w:t>在编制合并财务报表时，对于剩余股权，按照其在丧失控制权日的公允价值进行重新计量。处置股权</w:t>
      </w:r>
    </w:p>
    <w:p>
      <w:pPr>
        <w:pStyle w:val="BodyText"/>
        <w:spacing w:line="408" w:lineRule="auto"/>
        <w:ind w:left="154" w:right="151"/>
        <w:jc w:val="both"/>
      </w:pPr>
      <w:r>
        <w:rPr>
          <w:spacing w:val="-1"/>
        </w:rPr>
        <w:t>取得的对价与剩余股权公允价值之和，减去按原持股比例计算应享有原有子公司自购买日或合并日开始持</w:t>
      </w:r>
      <w:r>
        <w:rPr>
          <w:spacing w:val="-81"/>
        </w:rPr>
        <w:t> </w:t>
      </w:r>
      <w:r>
        <w:rPr>
          <w:spacing w:val="-81"/>
        </w:rPr>
      </w:r>
      <w:r>
        <w:rPr>
          <w:spacing w:val="-1"/>
        </w:rPr>
        <w:t>续计算的净资产的份额之间的差额，计入丧失控制权当期的投资收益，同时冲减商誉。与原有子公司股权</w:t>
      </w:r>
      <w:r>
        <w:rPr>
          <w:spacing w:val="-83"/>
        </w:rPr>
        <w:t> </w:t>
      </w:r>
      <w:r>
        <w:rPr>
          <w:spacing w:val="-83"/>
        </w:rPr>
      </w:r>
      <w:r>
        <w:rPr/>
        <w:t>投资相关的其他综合收益等，在丧失控制权时转为当期投资收益。</w:t>
      </w:r>
    </w:p>
    <w:p>
      <w:pPr>
        <w:pStyle w:val="BodyText"/>
        <w:spacing w:line="408" w:lineRule="auto"/>
        <w:ind w:left="154" w:right="217" w:firstLine="420"/>
        <w:jc w:val="left"/>
      </w:pPr>
      <w:r>
        <w:rPr>
          <w:rFonts w:ascii="宋体" w:hAnsi="宋体" w:cs="宋体" w:eastAsia="宋体" w:hint="default"/>
        </w:rPr>
        <w:t>4</w:t>
      </w:r>
      <w:r>
        <w:rPr/>
        <w:t>）企业通过多次交易分步处置对子公司股权投资直至丧失控制权，且该多次交易属于一揽子交易的 处理</w:t>
      </w:r>
    </w:p>
    <w:p>
      <w:pPr>
        <w:pStyle w:val="BodyText"/>
        <w:spacing w:line="408" w:lineRule="auto"/>
        <w:ind w:left="154" w:right="151" w:firstLine="420"/>
        <w:jc w:val="both"/>
      </w:pPr>
      <w:r>
        <w:rPr>
          <w:spacing w:val="-1"/>
        </w:rPr>
        <w:t>处置对子公司股权投资直至丧失控制权的各项交易属于一揽子交易的，应当将各项交易作为一项处置</w:t>
      </w:r>
      <w:r>
        <w:rPr/>
        <w:t> </w:t>
      </w:r>
      <w:r>
        <w:rPr>
          <w:spacing w:val="-1"/>
        </w:rPr>
        <w:t>子公司并丧失控制权的交易进行会计处理；但是，在丧失控制权之前每一次处置价款与处置投资对应的享</w:t>
      </w:r>
      <w:r>
        <w:rPr>
          <w:spacing w:val="-81"/>
        </w:rPr>
        <w:t> </w:t>
      </w:r>
      <w:r>
        <w:rPr>
          <w:spacing w:val="-81"/>
        </w:rPr>
      </w:r>
      <w:r>
        <w:rPr>
          <w:spacing w:val="-1"/>
        </w:rPr>
        <w:t>有该子公司净资产份额的差额，在合并财务报表中确认为其他综合收益，在丧失控制权时一并转入丧失控</w:t>
      </w:r>
      <w:r>
        <w:rPr>
          <w:spacing w:val="-81"/>
        </w:rPr>
        <w:t> </w:t>
      </w:r>
      <w:r>
        <w:rPr>
          <w:spacing w:val="-81"/>
        </w:rPr>
      </w:r>
      <w:r>
        <w:rPr/>
        <w:t>制权当期的损益。</w:t>
      </w:r>
    </w:p>
    <w:p>
      <w:pPr>
        <w:pStyle w:val="BodyText"/>
        <w:spacing w:line="408" w:lineRule="auto"/>
        <w:ind w:left="573" w:right="0"/>
        <w:jc w:val="left"/>
      </w:pPr>
      <w:r>
        <w:rPr/>
        <w:t>判断分步处置股权至丧失控制权过程的各项交易是否属于一揽子交易的原则如下： </w:t>
      </w:r>
      <w:r>
        <w:rPr>
          <w:spacing w:val="-1"/>
        </w:rPr>
        <w:t>处置对子公司股权投资的各项交易的条款、条件以及经济影响符合以下一种或多种情况，通常表明多</w:t>
      </w:r>
    </w:p>
    <w:p>
      <w:pPr>
        <w:pStyle w:val="BodyText"/>
        <w:spacing w:line="408" w:lineRule="auto"/>
        <w:ind w:left="574" w:right="3787" w:hanging="420"/>
        <w:jc w:val="left"/>
      </w:pPr>
      <w:r>
        <w:rPr/>
        <w:t>次交易事项属于一揽子交易： </w:t>
      </w:r>
      <w:r>
        <w:rPr>
          <w:rFonts w:ascii="宋体" w:hAnsi="宋体" w:cs="宋体" w:eastAsia="宋体" w:hint="default"/>
        </w:rPr>
        <w:t>1</w:t>
      </w:r>
      <w:r>
        <w:rPr/>
        <w:t>）这些交易是同时或者在考虑了彼此影响的情况下订立的；</w:t>
      </w:r>
    </w:p>
    <w:p>
      <w:pPr>
        <w:pStyle w:val="BodyText"/>
        <w:spacing w:line="240" w:lineRule="auto"/>
        <w:ind w:left="573" w:right="0"/>
        <w:jc w:val="left"/>
      </w:pPr>
      <w:r>
        <w:rPr>
          <w:rFonts w:ascii="宋体" w:hAnsi="宋体" w:cs="宋体" w:eastAsia="宋体" w:hint="default"/>
        </w:rPr>
        <w:t>2</w:t>
      </w:r>
      <w:r>
        <w:rPr/>
        <w:t>）这些交易整体才能达成一项完整的商业结果；</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3</w:t>
      </w:r>
      <w:r>
        <w:rPr/>
        <w:t>）一项交易的发生取决于其他至少一项交易的发生；</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4</w:t>
      </w:r>
      <w:r>
        <w:rPr/>
        <w:t>）一项交易单独看是不经济的，但是和其他交易一并考虑时是经济的。</w:t>
      </w: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7、合营安排分类及共同经营会计处理方法" w:id="129"/>
      <w:bookmarkEnd w:id="129"/>
      <w:r>
        <w:rPr>
          <w:b w:val="0"/>
          <w:bCs w:val="0"/>
        </w:rPr>
      </w:r>
      <w:r>
        <w:rPr>
          <w:rFonts w:ascii="宋体" w:hAnsi="宋体" w:cs="宋体" w:eastAsia="宋体" w:hint="default"/>
        </w:rPr>
        <w:t>7</w:t>
      </w:r>
      <w:r>
        <w:rPr/>
        <w:t>、合营安排分类及共同经营会计处理方法</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4" w:right="5992"/>
        <w:jc w:val="left"/>
      </w:pPr>
      <w:r>
        <w:rPr/>
        <w:t>（</w:t>
      </w:r>
      <w:r>
        <w:rPr>
          <w:rFonts w:ascii="宋体" w:hAnsi="宋体" w:cs="宋体" w:eastAsia="宋体" w:hint="default"/>
        </w:rPr>
        <w:t>1</w:t>
      </w:r>
      <w:r>
        <w:rPr/>
        <w:t>）合营安排的分类 合营安排分为共同经营和合营企业。</w:t>
      </w:r>
    </w:p>
    <w:p>
      <w:pPr>
        <w:pStyle w:val="BodyText"/>
        <w:spacing w:line="408" w:lineRule="auto"/>
        <w:ind w:left="574" w:right="322"/>
        <w:jc w:val="left"/>
      </w:pPr>
      <w:r>
        <w:rPr/>
        <w:t>（</w:t>
      </w:r>
      <w:r>
        <w:rPr>
          <w:rFonts w:ascii="宋体" w:hAnsi="宋体" w:cs="宋体" w:eastAsia="宋体" w:hint="default"/>
        </w:rPr>
        <w:t>2</w:t>
      </w:r>
      <w:r>
        <w:rPr/>
        <w:t>）共同经营参与方的会计处理 合营方确认其与共同经营中利益份额相关的下列项目，并按照相关企业会计准则的规定进行会计处</w:t>
      </w:r>
    </w:p>
    <w:p>
      <w:pPr>
        <w:pStyle w:val="BodyText"/>
        <w:spacing w:line="240" w:lineRule="auto"/>
        <w:ind w:left="154" w:right="0"/>
        <w:jc w:val="both"/>
      </w:pPr>
      <w:r>
        <w:rPr/>
        <w:t>理：</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1</w:t>
      </w:r>
      <w:r>
        <w:rPr/>
        <w:t>）确认单独所持有的资产，以及按其份额确认共同持有的资产；</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2</w:t>
      </w:r>
      <w:r>
        <w:rPr/>
        <w:t>）确认单独所承担的负债，以及按其份额确认共同承担的负债；</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3</w:t>
      </w:r>
      <w:r>
        <w:rPr/>
        <w:t>）确认出售其享有的共同经营产出份额所产生的收入；</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4</w:t>
      </w:r>
      <w:r>
        <w:rPr/>
        <w:t>）按其份额确认共同经营因出售产出所产生的收入；</w:t>
      </w:r>
    </w:p>
    <w:p>
      <w:pPr>
        <w:spacing w:after="0" w:line="240" w:lineRule="auto"/>
        <w:jc w:val="left"/>
        <w:sectPr>
          <w:footerReference w:type="default" r:id="rId21"/>
          <w:pgSz w:w="11910" w:h="16840"/>
          <w:pgMar w:footer="1000" w:header="747" w:top="1040" w:bottom="1180" w:left="980" w:right="980"/>
          <w:pgNumType w:start="96"/>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573" w:right="0"/>
        <w:jc w:val="left"/>
      </w:pPr>
      <w:r>
        <w:rPr>
          <w:rFonts w:ascii="宋体" w:hAnsi="宋体" w:cs="宋体" w:eastAsia="宋体" w:hint="default"/>
        </w:rPr>
        <w:t>5</w:t>
      </w:r>
      <w:r>
        <w:rPr/>
        <w:t>）确认单独所发生的费用，以及按其份额确认共同经营发生的费用。 </w:t>
      </w:r>
      <w:r>
        <w:rPr>
          <w:spacing w:val="-1"/>
        </w:rPr>
        <w:t>合营方向共同经营投出或出售资产等</w:t>
      </w:r>
      <w:r>
        <w:rPr>
          <w:rFonts w:ascii="宋体" w:hAnsi="宋体" w:cs="宋体" w:eastAsia="宋体" w:hint="default"/>
          <w:spacing w:val="-1"/>
        </w:rPr>
        <w:t>(</w:t>
      </w:r>
      <w:r>
        <w:rPr>
          <w:spacing w:val="-1"/>
        </w:rPr>
        <w:t>该资产构成业务的除外</w:t>
      </w:r>
      <w:r>
        <w:rPr>
          <w:rFonts w:ascii="宋体" w:hAnsi="宋体" w:cs="宋体" w:eastAsia="宋体" w:hint="default"/>
          <w:spacing w:val="-1"/>
        </w:rPr>
        <w:t>)</w:t>
      </w:r>
      <w:r>
        <w:rPr>
          <w:spacing w:val="-1"/>
        </w:rPr>
        <w:t>，在该资产等由共同经营出售给第三方</w:t>
      </w:r>
    </w:p>
    <w:p>
      <w:pPr>
        <w:pStyle w:val="BodyText"/>
        <w:spacing w:line="408" w:lineRule="auto"/>
        <w:ind w:right="0"/>
        <w:jc w:val="left"/>
      </w:pPr>
      <w:r>
        <w:rPr>
          <w:spacing w:val="-1"/>
        </w:rPr>
        <w:t>之前，仅确认因该交易产生的损益中归属于共同经营其他参与方的部分。投出或出售的资产发生符合《企</w:t>
      </w:r>
      <w:r>
        <w:rPr>
          <w:spacing w:val="-83"/>
        </w:rPr>
        <w:t> </w:t>
      </w:r>
      <w:r>
        <w:rPr>
          <w:spacing w:val="-83"/>
        </w:rPr>
      </w:r>
      <w:r>
        <w:rPr/>
        <w:t>业会计准则第</w:t>
      </w:r>
      <w:r>
        <w:rPr>
          <w:rFonts w:ascii="宋体" w:hAnsi="宋体" w:cs="宋体" w:eastAsia="宋体" w:hint="default"/>
        </w:rPr>
        <w:t>8</w:t>
      </w:r>
      <w:r>
        <w:rPr/>
        <w:t>号——资产减值》等规定的资产减值损失的，合营方全额确认该损失。</w:t>
      </w:r>
    </w:p>
    <w:p>
      <w:pPr>
        <w:pStyle w:val="BodyText"/>
        <w:spacing w:line="408" w:lineRule="auto"/>
        <w:ind w:right="0" w:firstLine="420"/>
        <w:jc w:val="left"/>
      </w:pPr>
      <w:r>
        <w:rPr>
          <w:spacing w:val="-1"/>
        </w:rPr>
        <w:t>合营方自共同经营购买资产等</w:t>
      </w:r>
      <w:r>
        <w:rPr>
          <w:rFonts w:ascii="宋体" w:hAnsi="宋体" w:cs="宋体" w:eastAsia="宋体" w:hint="default"/>
          <w:spacing w:val="-1"/>
        </w:rPr>
        <w:t>(</w:t>
      </w:r>
      <w:r>
        <w:rPr>
          <w:spacing w:val="-1"/>
        </w:rPr>
        <w:t>该资产构成业务的除外</w:t>
      </w:r>
      <w:r>
        <w:rPr>
          <w:rFonts w:ascii="宋体" w:hAnsi="宋体" w:cs="宋体" w:eastAsia="宋体" w:hint="default"/>
          <w:spacing w:val="-1"/>
        </w:rPr>
        <w:t>)</w:t>
      </w:r>
      <w:r>
        <w:rPr>
          <w:spacing w:val="-1"/>
        </w:rPr>
        <w:t>，在将该资产等出售给第三方之前，仅确认因</w:t>
      </w:r>
      <w:r>
        <w:rPr/>
        <w:t> 该交易产生的损益中归属于共同经营其他参与方的部分。购入的资产发生符合《企业会计准则第</w:t>
      </w:r>
      <w:r>
        <w:rPr>
          <w:rFonts w:ascii="宋体" w:hAnsi="宋体" w:cs="宋体" w:eastAsia="宋体" w:hint="default"/>
        </w:rPr>
        <w:t>8</w:t>
      </w:r>
      <w:r>
        <w:rPr/>
        <w:t>号—— 资产减值》等规定的资产减值损失的，合营方按其承担的份额确认该部分损失。</w:t>
      </w:r>
    </w:p>
    <w:p>
      <w:pPr>
        <w:pStyle w:val="BodyText"/>
        <w:spacing w:line="408" w:lineRule="auto"/>
        <w:ind w:right="113" w:firstLine="420"/>
        <w:jc w:val="left"/>
        <w:rPr>
          <w:rFonts w:ascii="宋体" w:hAnsi="宋体" w:cs="宋体" w:eastAsia="宋体" w:hint="default"/>
        </w:rPr>
      </w:pPr>
      <w:r>
        <w:rPr/>
        <w:t>对共同经营不享有共同控制的参与方，如果享有该共同经营相关资产且承担该共同经营相关负债的， 按照上述方法进行会计处理；否则，按照相关企业会计准则的规定进行会计处理。 </w:t>
      </w:r>
      <w:bookmarkStart w:name="8、现金及现金等价物的确定标准" w:id="130"/>
      <w:bookmarkEnd w:id="130"/>
      <w:r>
        <w:rPr/>
      </w:r>
      <w:r>
        <w:rPr>
          <w:rFonts w:ascii="宋体" w:hAnsi="宋体" w:cs="宋体" w:eastAsia="宋体" w:hint="default"/>
          <w:b/>
          <w:bCs/>
        </w:rPr>
        <w:t>8</w:t>
      </w:r>
      <w:r>
        <w:rPr>
          <w:rFonts w:ascii="宋体" w:hAnsi="宋体" w:cs="宋体" w:eastAsia="宋体" w:hint="default"/>
          <w:b/>
          <w:bCs/>
        </w:rPr>
        <w:t>、现金及现金等价物的确定标准</w:t>
      </w:r>
      <w:r>
        <w:rPr>
          <w:rFonts w:ascii="宋体" w:hAnsi="宋体" w:cs="宋体" w:eastAsia="宋体" w:hint="default"/>
        </w:rPr>
      </w:r>
    </w:p>
    <w:p>
      <w:pPr>
        <w:pStyle w:val="BodyText"/>
        <w:spacing w:line="240" w:lineRule="auto"/>
        <w:ind w:left="573" w:right="0"/>
        <w:jc w:val="left"/>
      </w:pPr>
      <w:r>
        <w:rPr/>
        <w:t>列示于现金流量表中的现金是指库存现金及可随时用于支付的存款，现金等价物是指持有的期限短</w:t>
      </w:r>
    </w:p>
    <w:p>
      <w:pPr>
        <w:spacing w:line="240" w:lineRule="auto" w:before="10"/>
        <w:rPr>
          <w:rFonts w:ascii="宋体" w:hAnsi="宋体" w:cs="宋体" w:eastAsia="宋体" w:hint="default"/>
          <w:sz w:val="14"/>
          <w:szCs w:val="14"/>
        </w:rPr>
      </w:pPr>
    </w:p>
    <w:p>
      <w:pPr>
        <w:spacing w:line="408" w:lineRule="auto" w:before="0"/>
        <w:ind w:left="154" w:right="112" w:firstLine="0"/>
        <w:jc w:val="left"/>
        <w:rPr>
          <w:rFonts w:ascii="宋体" w:hAnsi="宋体" w:cs="宋体" w:eastAsia="宋体" w:hint="default"/>
          <w:sz w:val="21"/>
          <w:szCs w:val="21"/>
        </w:rPr>
      </w:pPr>
      <w:r>
        <w:rPr>
          <w:rFonts w:ascii="宋体" w:hAnsi="宋体" w:cs="宋体" w:eastAsia="宋体" w:hint="default"/>
          <w:sz w:val="21"/>
          <w:szCs w:val="21"/>
        </w:rPr>
        <w:t>（一般指从购买日起三个月内到期）、流动性强、易于转换为已知金额现金及价值变动风险很小的投资。 </w:t>
      </w:r>
      <w:bookmarkStart w:name="9、外币业务和外币报表折算" w:id="131"/>
      <w:bookmarkEnd w:id="131"/>
      <w:r>
        <w:rPr>
          <w:rFonts w:ascii="宋体" w:hAnsi="宋体" w:cs="宋体" w:eastAsia="宋体" w:hint="default"/>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pStyle w:val="BodyText"/>
        <w:spacing w:line="408" w:lineRule="auto"/>
        <w:ind w:left="574" w:right="3262"/>
        <w:jc w:val="left"/>
      </w:pPr>
      <w:r>
        <w:rPr/>
        <w:t>（</w:t>
      </w:r>
      <w:r>
        <w:rPr>
          <w:rFonts w:ascii="宋体" w:hAnsi="宋体" w:cs="宋体" w:eastAsia="宋体" w:hint="default"/>
        </w:rPr>
        <w:t>1</w:t>
      </w:r>
      <w:r>
        <w:rPr/>
        <w:t>）外币业务 外币业务按业务发生日的即期汇率将外币金额折算为人民币入账。</w:t>
      </w:r>
    </w:p>
    <w:p>
      <w:pPr>
        <w:pStyle w:val="BodyText"/>
        <w:spacing w:line="408" w:lineRule="auto"/>
        <w:ind w:left="154" w:right="151" w:firstLine="420"/>
        <w:jc w:val="both"/>
      </w:pPr>
      <w:r>
        <w:rPr>
          <w:spacing w:val="-1"/>
        </w:rPr>
        <w:t>于资产负债表日，外币货币性项目采用资产负债表日的即期汇率折算为人民币，所产生的折算差额除</w:t>
      </w:r>
      <w:r>
        <w:rPr/>
        <w:t> </w:t>
      </w:r>
      <w:r>
        <w:rPr>
          <w:spacing w:val="-1"/>
        </w:rPr>
        <w:t>了为购建或生产符合资本化条件的资产而借入的外币借款产生的汇兑差额按资本化的原则处理外，直接计</w:t>
      </w:r>
      <w:r>
        <w:rPr>
          <w:spacing w:val="-81"/>
        </w:rPr>
        <w:t> </w:t>
      </w:r>
      <w:r>
        <w:rPr>
          <w:spacing w:val="-81"/>
        </w:rPr>
      </w:r>
      <w:r>
        <w:rPr/>
        <w:t>入当期损益。以历史成本计量的外币非货币性项目，于资产负债表日采用交易发生日的即期汇率折算。</w:t>
      </w:r>
    </w:p>
    <w:p>
      <w:pPr>
        <w:pStyle w:val="BodyText"/>
        <w:spacing w:line="408" w:lineRule="auto"/>
        <w:ind w:left="573" w:right="0"/>
        <w:jc w:val="left"/>
      </w:pPr>
      <w:r>
        <w:rPr/>
        <w:t>（</w:t>
      </w:r>
      <w:r>
        <w:rPr>
          <w:rFonts w:ascii="宋体" w:hAnsi="宋体" w:cs="宋体" w:eastAsia="宋体" w:hint="default"/>
        </w:rPr>
        <w:t>2</w:t>
      </w:r>
      <w:r>
        <w:rPr/>
        <w:t>）外币财务报表的折算 </w:t>
      </w:r>
      <w:r>
        <w:rPr>
          <w:spacing w:val="-1"/>
        </w:rPr>
        <w:t>以非记账本位币编制的资产负债表中的资产和负债项目，采用资产负债表日的即期汇率折算成记账本</w:t>
      </w:r>
    </w:p>
    <w:p>
      <w:pPr>
        <w:pStyle w:val="BodyText"/>
        <w:spacing w:line="408" w:lineRule="auto"/>
        <w:ind w:right="150"/>
        <w:jc w:val="left"/>
        <w:rPr>
          <w:rFonts w:ascii="宋体" w:hAnsi="宋体" w:cs="宋体" w:eastAsia="宋体" w:hint="default"/>
        </w:rPr>
      </w:pPr>
      <w:r>
        <w:rPr>
          <w:spacing w:val="-1"/>
        </w:rPr>
        <w:t>位币，所有者权益中除未分配利润项目外，其他项目采用发生时的即期汇率折算。以非记账本位币编制的</w:t>
      </w:r>
      <w:r>
        <w:rPr>
          <w:spacing w:val="-83"/>
        </w:rPr>
        <w:t> </w:t>
      </w:r>
      <w:r>
        <w:rPr>
          <w:spacing w:val="-83"/>
        </w:rPr>
      </w:r>
      <w:r>
        <w:rPr>
          <w:spacing w:val="-1"/>
        </w:rPr>
        <w:t>利润表中的收入与费用项目，采用交易发生日的即期汇率折算成记账本位币。上述折算产生的外币报表折</w:t>
      </w:r>
      <w:r>
        <w:rPr>
          <w:spacing w:val="-81"/>
        </w:rPr>
        <w:t> </w:t>
      </w:r>
      <w:r>
        <w:rPr>
          <w:spacing w:val="-81"/>
        </w:rPr>
      </w:r>
      <w:r>
        <w:rPr>
          <w:spacing w:val="-1"/>
        </w:rPr>
        <w:t>算差额，在其他综合收益中核算。以非记账本位币编制的现金流量表中各项目的现金流量采用现金流量发</w:t>
      </w:r>
      <w:r>
        <w:rPr>
          <w:spacing w:val="-81"/>
        </w:rPr>
        <w:t> </w:t>
      </w:r>
      <w:r>
        <w:rPr>
          <w:spacing w:val="-81"/>
        </w:rPr>
      </w:r>
      <w:r>
        <w:rPr/>
        <w:t>生日的即期汇率折算成记账本位币。汇率变动对现金的影响额，在现金流量表中单独列示。 </w:t>
      </w:r>
      <w:bookmarkStart w:name="10、金融工具" w:id="132"/>
      <w:bookmarkEnd w:id="132"/>
      <w:r>
        <w:rPr/>
      </w:r>
      <w:r>
        <w:rPr>
          <w:rFonts w:ascii="宋体" w:hAnsi="宋体" w:cs="宋体" w:eastAsia="宋体" w:hint="default"/>
          <w:b/>
          <w:bCs/>
        </w:rPr>
        <w:t>10</w:t>
      </w:r>
      <w:r>
        <w:rPr>
          <w:rFonts w:ascii="宋体" w:hAnsi="宋体" w:cs="宋体" w:eastAsia="宋体" w:hint="default"/>
          <w:b/>
          <w:bCs/>
        </w:rPr>
        <w:t>、金融工具</w:t>
      </w:r>
      <w:r>
        <w:rPr>
          <w:rFonts w:ascii="宋体" w:hAnsi="宋体" w:cs="宋体" w:eastAsia="宋体" w:hint="default"/>
        </w:rPr>
      </w:r>
    </w:p>
    <w:p>
      <w:pPr>
        <w:pStyle w:val="BodyText"/>
        <w:spacing w:line="408" w:lineRule="auto"/>
        <w:ind w:left="573" w:right="3053"/>
        <w:jc w:val="left"/>
      </w:pPr>
      <w:r>
        <w:rPr/>
        <w:t>（</w:t>
      </w:r>
      <w:r>
        <w:rPr>
          <w:rFonts w:ascii="宋体" w:hAnsi="宋体" w:cs="宋体" w:eastAsia="宋体" w:hint="default"/>
        </w:rPr>
        <w:t>1</w:t>
      </w:r>
      <w:r>
        <w:rPr/>
        <w:t>）金融工具的确认和终止确认 本公司于成为金融工具合同的一方时确认一项金融资产或金融负债。 金融资产满足下列条件之一的，终止确认： </w:t>
      </w:r>
      <w:r>
        <w:rPr>
          <w:rFonts w:ascii="宋体" w:hAnsi="宋体" w:cs="宋体" w:eastAsia="宋体" w:hint="default"/>
        </w:rPr>
        <w:t>1</w:t>
      </w:r>
      <w:r>
        <w:rPr/>
        <w:t>）收取该金融资产现金流量的合同权利终止；</w:t>
      </w:r>
    </w:p>
    <w:p>
      <w:pPr>
        <w:pStyle w:val="BodyText"/>
        <w:spacing w:line="240" w:lineRule="auto"/>
        <w:ind w:left="574" w:right="0"/>
        <w:jc w:val="left"/>
      </w:pPr>
      <w:r>
        <w:rPr>
          <w:rFonts w:ascii="宋体" w:hAnsi="宋体" w:cs="宋体" w:eastAsia="宋体" w:hint="default"/>
        </w:rPr>
        <w:t>2</w:t>
      </w:r>
      <w:r>
        <w:rPr/>
        <w:t>）该金融资产已转移，且符合《企业会计准则第</w:t>
      </w:r>
      <w:r>
        <w:rPr>
          <w:rFonts w:ascii="宋体" w:hAnsi="宋体" w:cs="宋体" w:eastAsia="宋体" w:hint="default"/>
        </w:rPr>
        <w:t>23</w:t>
      </w:r>
      <w:r>
        <w:rPr/>
        <w:t>号－金融资产转移》规定的金融资产终止确认条</w:t>
      </w:r>
    </w:p>
    <w:p>
      <w:pPr>
        <w:spacing w:after="0" w:line="240" w:lineRule="auto"/>
        <w:jc w:val="left"/>
        <w:sectPr>
          <w:footerReference w:type="default" r:id="rId22"/>
          <w:pgSz w:w="11910" w:h="16840"/>
          <w:pgMar w:footer="1000" w:header="747" w:top="1040" w:bottom="1180" w:left="980" w:right="980"/>
          <w:pgNumType w:start="97"/>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0"/>
        <w:jc w:val="left"/>
      </w:pPr>
      <w:r>
        <w:rPr/>
        <w:t>件。</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金融负债的现时义务全部或部分已经解除的，终止确认该金融负债或其一部分。</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w:t>
      </w:r>
      <w:r>
        <w:rPr>
          <w:rFonts w:ascii="宋体" w:hAnsi="宋体" w:cs="宋体" w:eastAsia="宋体" w:hint="default"/>
        </w:rPr>
        <w:t>2</w:t>
      </w:r>
      <w:r>
        <w:rPr/>
        <w:t>）金融资产的分类 </w:t>
      </w:r>
      <w:r>
        <w:rPr>
          <w:spacing w:val="-1"/>
        </w:rPr>
        <w:t>金融资产于初始确认时分类为：以公允价值计量且其变动计入当期损益的金融资产、应收款项、可供</w:t>
      </w:r>
    </w:p>
    <w:p>
      <w:pPr>
        <w:pStyle w:val="BodyText"/>
        <w:spacing w:line="408" w:lineRule="auto"/>
        <w:ind w:left="573" w:right="0" w:hanging="420"/>
        <w:jc w:val="left"/>
      </w:pPr>
      <w:r>
        <w:rPr/>
        <w:t>出售金融资产和持有至到期投资。金融资产的分类取决于本公司对金融资产的持有意图和持有能力。 </w:t>
      </w:r>
      <w:r>
        <w:rPr>
          <w:rFonts w:ascii="宋体" w:hAnsi="宋体" w:cs="宋体" w:eastAsia="宋体" w:hint="default"/>
        </w:rPr>
        <w:t>1</w:t>
      </w:r>
      <w:r>
        <w:rPr/>
        <w:t>）以公允价值计量且其变动计入当期损益的金融资产 </w:t>
      </w:r>
      <w:r>
        <w:rPr>
          <w:spacing w:val="-1"/>
        </w:rPr>
        <w:t>以公允价值计量且其变动计入当期损益的金融资产包括持有目的为短期内出售的金融资产，该资产在</w:t>
      </w:r>
    </w:p>
    <w:p>
      <w:pPr>
        <w:pStyle w:val="BodyText"/>
        <w:spacing w:line="408" w:lineRule="auto"/>
        <w:ind w:left="573" w:right="6203" w:hanging="420"/>
        <w:jc w:val="left"/>
      </w:pPr>
      <w:r>
        <w:rPr/>
        <w:t>资产负债表中以交易性金融资产列示。 </w:t>
      </w:r>
      <w:r>
        <w:rPr>
          <w:rFonts w:ascii="宋体" w:hAnsi="宋体" w:cs="宋体" w:eastAsia="宋体" w:hint="default"/>
        </w:rPr>
        <w:t>2</w:t>
      </w:r>
      <w:r>
        <w:rPr/>
        <w:t>）应收款项</w:t>
      </w:r>
    </w:p>
    <w:p>
      <w:pPr>
        <w:pStyle w:val="BodyText"/>
        <w:spacing w:line="408" w:lineRule="auto"/>
        <w:ind w:right="151" w:firstLine="420"/>
        <w:jc w:val="both"/>
      </w:pPr>
      <w:r>
        <w:rPr>
          <w:spacing w:val="-1"/>
        </w:rPr>
        <w:t>应收款项是指在活跃市场中没有报价、回收金额固定或可确定的非衍生金融资产，包括应收账款、其</w:t>
      </w:r>
      <w:r>
        <w:rPr/>
        <w:t> 他应收款和长期应收款等。</w:t>
      </w:r>
    </w:p>
    <w:p>
      <w:pPr>
        <w:pStyle w:val="BodyText"/>
        <w:spacing w:line="408" w:lineRule="auto"/>
        <w:ind w:left="574" w:right="322"/>
        <w:jc w:val="left"/>
      </w:pPr>
      <w:r>
        <w:rPr>
          <w:rFonts w:ascii="宋体" w:hAnsi="宋体" w:cs="宋体" w:eastAsia="宋体" w:hint="default"/>
        </w:rPr>
        <w:t>3</w:t>
      </w:r>
      <w:r>
        <w:rPr/>
        <w:t>）可供出售金融资产 可供出售金融资产包括初始确认时即被指定为可供出售的非衍生金融资产及未被划分为其他类的金</w:t>
      </w:r>
    </w:p>
    <w:p>
      <w:pPr>
        <w:pStyle w:val="BodyText"/>
        <w:spacing w:line="408" w:lineRule="auto"/>
        <w:ind w:right="0"/>
        <w:jc w:val="left"/>
      </w:pPr>
      <w:r>
        <w:rPr>
          <w:spacing w:val="-1"/>
        </w:rPr>
        <w:t>融资产。自资产负债表日起</w:t>
      </w:r>
      <w:r>
        <w:rPr>
          <w:rFonts w:ascii="宋体" w:hAnsi="宋体" w:cs="宋体" w:eastAsia="宋体" w:hint="default"/>
          <w:spacing w:val="-1"/>
        </w:rPr>
        <w:t>12</w:t>
      </w:r>
      <w:r>
        <w:rPr>
          <w:spacing w:val="-1"/>
        </w:rPr>
        <w:t>个月内将出售的可供出售金融资产在资产负债表中列示为一年内到期的非流</w:t>
      </w:r>
      <w:r>
        <w:rPr>
          <w:spacing w:val="-82"/>
        </w:rPr>
        <w:t> </w:t>
      </w:r>
      <w:r>
        <w:rPr>
          <w:spacing w:val="-82"/>
        </w:rPr>
      </w:r>
      <w:r>
        <w:rPr/>
        <w:t>动资产。</w:t>
      </w:r>
    </w:p>
    <w:p>
      <w:pPr>
        <w:pStyle w:val="BodyText"/>
        <w:spacing w:line="408" w:lineRule="auto"/>
        <w:ind w:left="574" w:right="0"/>
        <w:jc w:val="left"/>
      </w:pPr>
      <w:r>
        <w:rPr>
          <w:rFonts w:ascii="宋体" w:hAnsi="宋体" w:cs="宋体" w:eastAsia="宋体" w:hint="default"/>
        </w:rPr>
        <w:t>4</w:t>
      </w:r>
      <w:r>
        <w:rPr/>
        <w:t>）持有至到期投资 </w:t>
      </w:r>
      <w:r>
        <w:rPr>
          <w:spacing w:val="-1"/>
        </w:rPr>
        <w:t>持有至到期投资是指到期日固定、回收金额固定或可确定，且管理层有明确意图和能力持有至到期的</w:t>
      </w:r>
    </w:p>
    <w:p>
      <w:pPr>
        <w:pStyle w:val="BodyText"/>
        <w:spacing w:line="408" w:lineRule="auto"/>
        <w:ind w:right="0"/>
        <w:jc w:val="left"/>
      </w:pPr>
      <w:r>
        <w:rPr>
          <w:spacing w:val="-1"/>
        </w:rPr>
        <w:t>非衍生金融资产。自资产负债表日起</w:t>
      </w:r>
      <w:r>
        <w:rPr>
          <w:rFonts w:ascii="宋体" w:hAnsi="宋体" w:cs="宋体" w:eastAsia="宋体" w:hint="default"/>
          <w:spacing w:val="-1"/>
        </w:rPr>
        <w:t>12</w:t>
      </w:r>
      <w:r>
        <w:rPr>
          <w:spacing w:val="-1"/>
        </w:rPr>
        <w:t>个月内到期的持有至到期投资在资产负债表中列示为一年内到期的</w:t>
      </w:r>
      <w:r>
        <w:rPr>
          <w:spacing w:val="-82"/>
        </w:rPr>
        <w:t> </w:t>
      </w:r>
      <w:r>
        <w:rPr>
          <w:spacing w:val="-82"/>
        </w:rPr>
      </w:r>
      <w:r>
        <w:rPr/>
        <w:t>非流动资产。</w:t>
      </w:r>
    </w:p>
    <w:p>
      <w:pPr>
        <w:pStyle w:val="BodyText"/>
        <w:spacing w:line="408" w:lineRule="auto"/>
        <w:ind w:left="574" w:right="0"/>
        <w:jc w:val="left"/>
      </w:pPr>
      <w:r>
        <w:rPr/>
        <w:t>（</w:t>
      </w:r>
      <w:r>
        <w:rPr>
          <w:rFonts w:ascii="宋体" w:hAnsi="宋体" w:cs="宋体" w:eastAsia="宋体" w:hint="default"/>
        </w:rPr>
        <w:t>3</w:t>
      </w:r>
      <w:r>
        <w:rPr/>
        <w:t>）</w:t>
      </w:r>
      <w:r>
        <w:rPr>
          <w:spacing w:val="-1"/>
        </w:rPr>
        <w:t> </w:t>
      </w:r>
      <w:r>
        <w:rPr/>
        <w:t>金融资产的计量</w:t>
      </w:r>
      <w:r>
        <w:rPr/>
        <w:t> </w:t>
      </w:r>
      <w:r>
        <w:rPr>
          <w:spacing w:val="-1"/>
        </w:rPr>
        <w:t>金融资产于本公司成为金融工具合同的一方时，按公允价值在资产负债表内确认。以公允价值计量且</w:t>
      </w:r>
    </w:p>
    <w:p>
      <w:pPr>
        <w:pStyle w:val="BodyText"/>
        <w:spacing w:line="408" w:lineRule="auto"/>
        <w:ind w:left="154" w:right="0"/>
        <w:jc w:val="left"/>
      </w:pPr>
      <w:r>
        <w:rPr>
          <w:spacing w:val="-1"/>
        </w:rPr>
        <w:t>其变动计入当期损益的金融资产，取得时发生的相关交易费用直接计入当期损益。其他金融资产的相关交</w:t>
      </w:r>
      <w:r>
        <w:rPr>
          <w:spacing w:val="-81"/>
        </w:rPr>
        <w:t> </w:t>
      </w:r>
      <w:r>
        <w:rPr>
          <w:spacing w:val="-81"/>
        </w:rPr>
      </w:r>
      <w:r>
        <w:rPr/>
        <w:t>易费用计入初始确认金额。</w:t>
      </w:r>
    </w:p>
    <w:p>
      <w:pPr>
        <w:pStyle w:val="BodyText"/>
        <w:spacing w:line="408" w:lineRule="auto"/>
        <w:ind w:left="154" w:right="130" w:firstLine="420"/>
        <w:jc w:val="both"/>
      </w:pPr>
      <w:r>
        <w:rPr/>
        <w:t>以公允价值计量且其变动计入当期损益的金融资产和可供出售金融资产按照公允价值进行后续计量， </w:t>
      </w:r>
      <w:r>
        <w:rPr>
          <w:spacing w:val="-1"/>
        </w:rPr>
        <w:t>但在活跃市场中没有报价且其公允价值不能可靠计量的权益工具投资，按照成本计量；应收款项以及持有</w:t>
      </w:r>
      <w:r>
        <w:rPr>
          <w:spacing w:val="-81"/>
        </w:rPr>
        <w:t> </w:t>
      </w:r>
      <w:r>
        <w:rPr>
          <w:spacing w:val="-81"/>
        </w:rPr>
      </w:r>
      <w:r>
        <w:rPr/>
        <w:t>至到期投资采用实际利率法，以摊余成本计量。</w:t>
      </w:r>
    </w:p>
    <w:p>
      <w:pPr>
        <w:pStyle w:val="BodyText"/>
        <w:spacing w:line="408" w:lineRule="auto"/>
        <w:ind w:left="154" w:right="152" w:firstLine="420"/>
        <w:jc w:val="both"/>
      </w:pPr>
      <w:r>
        <w:rPr>
          <w:spacing w:val="-1"/>
        </w:rPr>
        <w:t>以公允价值计量且其变动计入当期损益的金融资产的公允价值变动计入公允价值变动损益；在资产持</w:t>
      </w:r>
      <w:r>
        <w:rPr/>
        <w:t> 有期间所取得的利息或现金股利以及在处置时产生的处置损益，计入当期损益。</w:t>
      </w:r>
    </w:p>
    <w:p>
      <w:pPr>
        <w:pStyle w:val="BodyText"/>
        <w:spacing w:line="408" w:lineRule="auto"/>
        <w:ind w:right="151" w:firstLine="420"/>
        <w:jc w:val="both"/>
      </w:pPr>
      <w:r>
        <w:rPr>
          <w:spacing w:val="-1"/>
        </w:rPr>
        <w:t>除减值损失及外币货币性金融资产形成的汇兑损益外，可供出售金融资产公允价值变动计入所有者权</w:t>
      </w:r>
      <w:r>
        <w:rPr/>
        <w:t> </w:t>
      </w:r>
      <w:r>
        <w:rPr>
          <w:spacing w:val="-1"/>
        </w:rPr>
        <w:t>益，待该金融资产终止确认时，原直接计入权益的公允价值变动累计额转入当期损益。可供出售债务工具</w:t>
      </w:r>
    </w:p>
    <w:p>
      <w:pPr>
        <w:spacing w:after="0" w:line="408" w:lineRule="auto"/>
        <w:jc w:val="both"/>
        <w:sectPr>
          <w:footerReference w:type="default" r:id="rId23"/>
          <w:pgSz w:w="11910" w:h="16840"/>
          <w:pgMar w:footer="1000" w:header="747" w:top="1040" w:bottom="1180" w:left="980" w:right="980"/>
          <w:pgNumType w:start="98"/>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0"/>
        <w:jc w:val="left"/>
      </w:pPr>
      <w:r>
        <w:rPr>
          <w:spacing w:val="-1"/>
        </w:rPr>
        <w:t>投资在持有期间按实际利率法计算利息，计入投资收益；可供出售权益工具投资的现金股利，于被投资单</w:t>
      </w:r>
      <w:r>
        <w:rPr>
          <w:spacing w:val="-83"/>
        </w:rPr>
        <w:t> </w:t>
      </w:r>
      <w:r>
        <w:rPr>
          <w:spacing w:val="-83"/>
        </w:rPr>
      </w:r>
      <w:r>
        <w:rPr/>
        <w:t>位宣告发放股利时计入投资收益。</w:t>
      </w:r>
    </w:p>
    <w:p>
      <w:pPr>
        <w:pStyle w:val="BodyText"/>
        <w:spacing w:line="408" w:lineRule="auto"/>
        <w:ind w:left="573" w:right="0"/>
        <w:jc w:val="left"/>
      </w:pPr>
      <w:r>
        <w:rPr/>
        <w:t>（</w:t>
      </w:r>
      <w:r>
        <w:rPr>
          <w:rFonts w:ascii="宋体" w:hAnsi="宋体" w:cs="宋体" w:eastAsia="宋体" w:hint="default"/>
        </w:rPr>
        <w:t>4</w:t>
      </w:r>
      <w:r>
        <w:rPr/>
        <w:t>）金融资产转移的确认依据和计量方法 </w:t>
      </w:r>
      <w:r>
        <w:rPr>
          <w:spacing w:val="-1"/>
        </w:rPr>
        <w:t>公司已将金融资产所有权上几乎所有的风险和报酬转移给转入方的，终止确认该金融资产；保留了金</w:t>
      </w:r>
    </w:p>
    <w:p>
      <w:pPr>
        <w:pStyle w:val="BodyText"/>
        <w:spacing w:line="408" w:lineRule="auto"/>
        <w:ind w:left="573" w:right="2003" w:hanging="420"/>
        <w:jc w:val="left"/>
      </w:pPr>
      <w:r>
        <w:rPr/>
        <w:t>融资产所有权上几乎所有的风险和报酬的，不终止确认该金融资产。 金融资产整体转移满足终止确认条件的，将下列两项金额的差额计入当期损益： </w:t>
      </w:r>
      <w:r>
        <w:rPr>
          <w:rFonts w:ascii="宋体" w:hAnsi="宋体" w:cs="宋体" w:eastAsia="宋体" w:hint="default"/>
        </w:rPr>
        <w:t>1</w:t>
      </w:r>
      <w:r>
        <w:rPr/>
        <w:t>）所转移金融资产的账面价值；</w:t>
      </w:r>
    </w:p>
    <w:p>
      <w:pPr>
        <w:pStyle w:val="BodyText"/>
        <w:spacing w:line="408" w:lineRule="auto"/>
        <w:ind w:right="235" w:firstLine="420"/>
        <w:jc w:val="both"/>
      </w:pPr>
      <w:r>
        <w:rPr>
          <w:rFonts w:ascii="宋体" w:hAnsi="宋体" w:cs="宋体" w:eastAsia="宋体" w:hint="default"/>
        </w:rPr>
        <w:t>2</w:t>
      </w:r>
      <w:r>
        <w:rPr/>
        <w:t>）因转移而收到的对价，与原直接计入所有者权益的公允价值变动累计额（涉及转移的金融资产为 可供出售金融资产的情形）之和。</w:t>
      </w:r>
    </w:p>
    <w:p>
      <w:pPr>
        <w:pStyle w:val="BodyText"/>
        <w:spacing w:line="408" w:lineRule="auto"/>
        <w:ind w:right="152" w:firstLine="420"/>
        <w:jc w:val="both"/>
      </w:pPr>
      <w:r>
        <w:rPr>
          <w:spacing w:val="-1"/>
        </w:rPr>
        <w:t>因金融资产转移获得了新金融资产或承担了新金融负债的，在转移日按照公允价值确认该金融资产或</w:t>
      </w:r>
      <w:r>
        <w:rPr/>
        <w:t> </w:t>
      </w:r>
      <w:r>
        <w:rPr>
          <w:spacing w:val="-1"/>
        </w:rPr>
        <w:t>金融负债（包括看涨期权、看跌期权、担保负债、远期合同、互换等），并将该金融资产扣除金融负债后</w:t>
      </w:r>
      <w:r>
        <w:rPr>
          <w:spacing w:val="-85"/>
        </w:rPr>
        <w:t> </w:t>
      </w:r>
      <w:r>
        <w:rPr>
          <w:spacing w:val="-85"/>
        </w:rPr>
      </w:r>
      <w:r>
        <w:rPr/>
        <w:t>的净额作为上述对价的组成部分。</w:t>
      </w:r>
    </w:p>
    <w:p>
      <w:pPr>
        <w:pStyle w:val="BodyText"/>
        <w:spacing w:line="408" w:lineRule="auto"/>
        <w:ind w:right="150" w:firstLine="420"/>
        <w:jc w:val="both"/>
      </w:pPr>
      <w:r>
        <w:rPr>
          <w:spacing w:val="-1"/>
        </w:rPr>
        <w:t>公司与金融资产转入方签订服务合同提供相关服务的（包括收取该金融资产的现金流量，并将所收取</w:t>
      </w:r>
      <w:r>
        <w:rPr/>
        <w:t> </w:t>
      </w:r>
      <w:r>
        <w:rPr>
          <w:spacing w:val="-1"/>
        </w:rPr>
        <w:t>的现金流量交付给指定的资金保管机构等），就该服务合同确认一项服务资产或服务负债。服务负债应当</w:t>
      </w:r>
      <w:r>
        <w:rPr>
          <w:spacing w:val="-83"/>
        </w:rPr>
        <w:t> </w:t>
      </w:r>
      <w:r>
        <w:rPr>
          <w:spacing w:val="-83"/>
        </w:rPr>
      </w:r>
      <w:r>
        <w:rPr/>
        <w:t>按照公允价值进行初始计量，并作为上述对价的组成部分。</w:t>
      </w:r>
    </w:p>
    <w:p>
      <w:pPr>
        <w:pStyle w:val="BodyText"/>
        <w:spacing w:line="408" w:lineRule="auto"/>
        <w:ind w:left="154" w:right="151" w:firstLine="420"/>
        <w:jc w:val="both"/>
      </w:pPr>
      <w:r>
        <w:rPr>
          <w:spacing w:val="-1"/>
        </w:rPr>
        <w:t>金融资产部分转移满足终止确认条件的，将所转移金融资产整体的账面价值，在终止确认部分和未终</w:t>
      </w:r>
      <w:r>
        <w:rPr/>
        <w:t> </w:t>
      </w:r>
      <w:r>
        <w:rPr>
          <w:spacing w:val="-1"/>
        </w:rPr>
        <w:t>止确认部分（在此种情况下，所保留的服务资产视同未终止确认金融资产的一部分）之间，按照各自的相</w:t>
      </w:r>
      <w:r>
        <w:rPr>
          <w:spacing w:val="-85"/>
        </w:rPr>
        <w:t> </w:t>
      </w:r>
      <w:r>
        <w:rPr>
          <w:spacing w:val="-85"/>
        </w:rPr>
      </w:r>
      <w:r>
        <w:rPr/>
        <w:t>对公允价值进行分摊，并将下列两项金额的差额计入当期损益：</w:t>
      </w:r>
    </w:p>
    <w:p>
      <w:pPr>
        <w:pStyle w:val="BodyText"/>
        <w:spacing w:line="240" w:lineRule="auto"/>
        <w:ind w:left="573" w:right="0"/>
        <w:jc w:val="left"/>
      </w:pPr>
      <w:r>
        <w:rPr>
          <w:rFonts w:ascii="宋体" w:hAnsi="宋体" w:cs="宋体" w:eastAsia="宋体" w:hint="default"/>
        </w:rPr>
        <w:t>1</w:t>
      </w:r>
      <w:r>
        <w:rPr/>
        <w:t>）终止确认部分的账面价值；</w:t>
      </w:r>
    </w:p>
    <w:p>
      <w:pPr>
        <w:spacing w:line="240" w:lineRule="auto" w:before="10"/>
        <w:rPr>
          <w:rFonts w:ascii="宋体" w:hAnsi="宋体" w:cs="宋体" w:eastAsia="宋体" w:hint="default"/>
          <w:sz w:val="14"/>
          <w:szCs w:val="14"/>
        </w:rPr>
      </w:pPr>
    </w:p>
    <w:p>
      <w:pPr>
        <w:pStyle w:val="BodyText"/>
        <w:spacing w:line="408" w:lineRule="auto" w:before="0"/>
        <w:ind w:right="234" w:firstLine="420"/>
        <w:jc w:val="both"/>
      </w:pPr>
      <w:r>
        <w:rPr>
          <w:rFonts w:ascii="宋体" w:hAnsi="宋体" w:cs="宋体" w:eastAsia="宋体" w:hint="default"/>
        </w:rPr>
        <w:t>2</w:t>
      </w:r>
      <w:r>
        <w:rPr/>
        <w:t>）终止确认部分的对价，与原直接计入所有者权益的公允价值变动累计额中对应终止确认部分的金 额（涉及转移的金融资产为可供出售金融资产的情形）之和。</w:t>
      </w:r>
    </w:p>
    <w:p>
      <w:pPr>
        <w:pStyle w:val="BodyText"/>
        <w:spacing w:line="408" w:lineRule="auto"/>
        <w:ind w:right="152" w:firstLine="420"/>
        <w:jc w:val="both"/>
      </w:pPr>
      <w:r>
        <w:rPr>
          <w:spacing w:val="-1"/>
        </w:rPr>
        <w:t>原直接计入所有者权益的公允价值变动累计额中对应终止确认部分的金额，按照金融资产终止确认部</w:t>
      </w:r>
      <w:r>
        <w:rPr/>
        <w:t> 分和未终止确认部分的相对公允价值，对该累计额进行分摊后确定。</w:t>
      </w:r>
    </w:p>
    <w:p>
      <w:pPr>
        <w:pStyle w:val="BodyText"/>
        <w:spacing w:line="408" w:lineRule="auto"/>
        <w:ind w:left="573" w:right="113"/>
        <w:jc w:val="left"/>
      </w:pPr>
      <w:r>
        <w:rPr/>
        <w:t>（</w:t>
      </w:r>
      <w:r>
        <w:rPr>
          <w:rFonts w:ascii="宋体" w:hAnsi="宋体" w:cs="宋体" w:eastAsia="宋体" w:hint="default"/>
        </w:rPr>
        <w:t>5</w:t>
      </w:r>
      <w:r>
        <w:rPr/>
        <w:t>）金融负债的分类 金融负债于初始确认时分类为：以公允价值计量且其变动计入当期损益的金融负债和其他金融负债。</w:t>
      </w:r>
    </w:p>
    <w:p>
      <w:pPr>
        <w:pStyle w:val="BodyText"/>
        <w:spacing w:line="408" w:lineRule="auto"/>
        <w:ind w:right="0"/>
        <w:jc w:val="left"/>
      </w:pPr>
      <w:r>
        <w:rPr>
          <w:spacing w:val="-1"/>
        </w:rPr>
        <w:t>以公允价值计量且其变动计入当期损益的金融负债，包括交易性金融负债和初始确认时指定为以公允价值</w:t>
      </w:r>
      <w:r>
        <w:rPr>
          <w:spacing w:val="-81"/>
        </w:rPr>
        <w:t> </w:t>
      </w:r>
      <w:r>
        <w:rPr>
          <w:spacing w:val="-81"/>
        </w:rPr>
      </w:r>
      <w:r>
        <w:rPr/>
        <w:t>计量且其变动计入当期损益的金融负债。</w:t>
      </w:r>
    </w:p>
    <w:p>
      <w:pPr>
        <w:pStyle w:val="BodyText"/>
        <w:spacing w:line="408" w:lineRule="auto"/>
        <w:ind w:left="573" w:right="0"/>
        <w:jc w:val="left"/>
      </w:pPr>
      <w:r>
        <w:rPr/>
        <w:t>（</w:t>
      </w:r>
      <w:r>
        <w:rPr>
          <w:rFonts w:ascii="宋体" w:hAnsi="宋体" w:cs="宋体" w:eastAsia="宋体" w:hint="default"/>
        </w:rPr>
        <w:t>6</w:t>
      </w:r>
      <w:r>
        <w:rPr/>
        <w:t>）金融负债的计量 </w:t>
      </w:r>
      <w:r>
        <w:rPr>
          <w:spacing w:val="-1"/>
        </w:rPr>
        <w:t>金融负债于本公司成为金融工具合同的一方时，按公允价值在资产负债表内确认。以公允价值计量且</w:t>
      </w:r>
    </w:p>
    <w:p>
      <w:pPr>
        <w:pStyle w:val="BodyText"/>
        <w:spacing w:line="240" w:lineRule="auto"/>
        <w:ind w:right="0"/>
        <w:jc w:val="left"/>
      </w:pPr>
      <w:r>
        <w:rPr/>
        <w:t>其变动计入当期损益的金融负债，取得时发生的相关交易费用直接计入当期损益；其他金融负债的相关交</w:t>
      </w:r>
    </w:p>
    <w:p>
      <w:pPr>
        <w:spacing w:after="0" w:line="240" w:lineRule="auto"/>
        <w:jc w:val="left"/>
        <w:sectPr>
          <w:footerReference w:type="default" r:id="rId24"/>
          <w:pgSz w:w="11910" w:h="16840"/>
          <w:pgMar w:footer="1000" w:header="747" w:top="1040" w:bottom="1180" w:left="980" w:right="980"/>
          <w:pgNumType w:start="99"/>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573" w:right="0" w:hanging="420"/>
        <w:jc w:val="left"/>
      </w:pPr>
      <w:r>
        <w:rPr/>
        <w:t>易费用计入初始确认金额。 </w:t>
      </w:r>
      <w:r>
        <w:rPr>
          <w:spacing w:val="-1"/>
        </w:rPr>
        <w:t>以公允价值计量且其变动计入当期损益的金融负债，按照公允价值后续计量，且不扣除将来结清金融</w:t>
      </w:r>
    </w:p>
    <w:p>
      <w:pPr>
        <w:pStyle w:val="BodyText"/>
        <w:spacing w:line="240" w:lineRule="auto"/>
        <w:ind w:right="0"/>
        <w:jc w:val="left"/>
      </w:pPr>
      <w:r>
        <w:rPr/>
        <w:t>负债时可能发生的交易费用。其他金融负债，采用实际利率法，按照摊余成本进行后续计量。</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w:t>
      </w:r>
      <w:r>
        <w:rPr>
          <w:rFonts w:ascii="宋体" w:hAnsi="宋体" w:cs="宋体" w:eastAsia="宋体" w:hint="default"/>
        </w:rPr>
        <w:t>7</w:t>
      </w:r>
      <w:r>
        <w:rPr/>
        <w:t>）金融资产和金融负债的公允价值的确定方法 </w:t>
      </w:r>
      <w:r>
        <w:rPr>
          <w:spacing w:val="-1"/>
        </w:rPr>
        <w:t>存在活跃市场的金融资产或金融负债，采用活跃市场中的报价确定其公允价值。金融工具不存在活跃</w:t>
      </w:r>
    </w:p>
    <w:p>
      <w:pPr>
        <w:pStyle w:val="BodyText"/>
        <w:spacing w:line="408" w:lineRule="auto"/>
        <w:ind w:right="113"/>
        <w:jc w:val="left"/>
      </w:pPr>
      <w:r>
        <w:rPr>
          <w:spacing w:val="-1"/>
        </w:rPr>
        <w:t>市场的，采用估值技术确定其公允价值，估值技术包括参考熟悉情况并自愿交易的各方最近进行的市场交</w:t>
      </w:r>
      <w:r>
        <w:rPr>
          <w:spacing w:val="-81"/>
        </w:rPr>
        <w:t> </w:t>
      </w:r>
      <w:r>
        <w:rPr>
          <w:spacing w:val="-81"/>
        </w:rPr>
      </w:r>
      <w:r>
        <w:rPr/>
        <w:t>易中使用的价格、参照实质上相同的其他金融工具的当前公允价值、现金流量折现法和期权定价模型等。</w:t>
      </w:r>
    </w:p>
    <w:p>
      <w:pPr>
        <w:pStyle w:val="BodyText"/>
        <w:spacing w:line="408" w:lineRule="auto"/>
        <w:ind w:left="573" w:right="0"/>
        <w:jc w:val="left"/>
      </w:pPr>
      <w:r>
        <w:rPr/>
        <w:t>（</w:t>
      </w:r>
      <w:r>
        <w:rPr>
          <w:rFonts w:ascii="宋体" w:hAnsi="宋体" w:cs="宋体" w:eastAsia="宋体" w:hint="default"/>
        </w:rPr>
        <w:t>8</w:t>
      </w:r>
      <w:r>
        <w:rPr/>
        <w:t>）金融资产减值测试方法及会计处理方法 </w:t>
      </w:r>
      <w:r>
        <w:rPr>
          <w:spacing w:val="-1"/>
        </w:rPr>
        <w:t>除以公允价值计量且其变动计入当期损益的金融资产外，本公司于资产负债表日对金融资产的账面价</w:t>
      </w:r>
    </w:p>
    <w:p>
      <w:pPr>
        <w:pStyle w:val="BodyText"/>
        <w:spacing w:line="408" w:lineRule="auto"/>
        <w:ind w:left="573" w:right="0" w:hanging="420"/>
        <w:jc w:val="left"/>
      </w:pPr>
      <w:r>
        <w:rPr/>
        <w:t>值进行检查，如果有客观证据表明某项金融资产发生减值的，计提减值准备。 </w:t>
      </w:r>
      <w:r>
        <w:rPr>
          <w:spacing w:val="-1"/>
        </w:rPr>
        <w:t>以摊余成本计量的金融资产发生减值时，按预计未来现金流量</w:t>
      </w:r>
      <w:r>
        <w:rPr>
          <w:rFonts w:ascii="宋体" w:hAnsi="宋体" w:cs="宋体" w:eastAsia="宋体" w:hint="default"/>
          <w:spacing w:val="-1"/>
        </w:rPr>
        <w:t>(</w:t>
      </w:r>
      <w:r>
        <w:rPr>
          <w:spacing w:val="-1"/>
        </w:rPr>
        <w:t>不包括尚未发生的未来信用损失</w:t>
      </w:r>
      <w:r>
        <w:rPr>
          <w:rFonts w:ascii="宋体" w:hAnsi="宋体" w:cs="宋体" w:eastAsia="宋体" w:hint="default"/>
          <w:spacing w:val="-1"/>
        </w:rPr>
        <w:t>)</w:t>
      </w:r>
      <w:r>
        <w:rPr>
          <w:spacing w:val="-1"/>
        </w:rPr>
        <w:t>现值</w:t>
      </w:r>
    </w:p>
    <w:p>
      <w:pPr>
        <w:pStyle w:val="BodyText"/>
        <w:spacing w:line="408" w:lineRule="auto"/>
        <w:ind w:right="0"/>
        <w:jc w:val="left"/>
      </w:pPr>
      <w:r>
        <w:rPr>
          <w:spacing w:val="-1"/>
        </w:rPr>
        <w:t>低于账面价值的差额，计提减值准备。如果有客观证据表明该金融资产价值已恢复，且客观上与确认该损</w:t>
      </w:r>
      <w:r>
        <w:rPr>
          <w:spacing w:val="-82"/>
        </w:rPr>
        <w:t> </w:t>
      </w:r>
      <w:r>
        <w:rPr>
          <w:spacing w:val="-82"/>
        </w:rPr>
      </w:r>
      <w:r>
        <w:rPr/>
        <w:t>失后发生的事项有关，原确认的减值损失予以转回，计入当期损益。</w:t>
      </w:r>
    </w:p>
    <w:p>
      <w:pPr>
        <w:pStyle w:val="BodyText"/>
        <w:spacing w:line="408" w:lineRule="auto"/>
        <w:ind w:right="151" w:firstLine="420"/>
        <w:jc w:val="both"/>
      </w:pPr>
      <w:r>
        <w:rPr>
          <w:spacing w:val="-1"/>
        </w:rPr>
        <w:t>当可供出售金融资产的公允价值发生较大幅度或非暂时性下降，原直接计入所有者权益的因公允价值</w:t>
      </w:r>
      <w:r>
        <w:rPr/>
        <w:t> </w:t>
      </w:r>
      <w:r>
        <w:rPr>
          <w:spacing w:val="-1"/>
        </w:rPr>
        <w:t>下降形成的累计损失计入减值损失。对已确认减值损失的可供出售债务工具投资，在期后公允价值上升且</w:t>
      </w:r>
      <w:r>
        <w:rPr>
          <w:spacing w:val="-81"/>
        </w:rPr>
        <w:t> </w:t>
      </w:r>
      <w:r>
        <w:rPr>
          <w:spacing w:val="-81"/>
        </w:rPr>
      </w:r>
      <w:r>
        <w:rPr>
          <w:spacing w:val="-1"/>
        </w:rPr>
        <w:t>客观上与确认原减值损失确认后发生的事项有关的，原确认的减值损失予以转回，计入当期损益。对已确</w:t>
      </w:r>
      <w:r>
        <w:rPr>
          <w:spacing w:val="-83"/>
        </w:rPr>
        <w:t> </w:t>
      </w:r>
      <w:r>
        <w:rPr>
          <w:spacing w:val="-83"/>
        </w:rPr>
      </w:r>
      <w:r>
        <w:rPr>
          <w:spacing w:val="-1"/>
        </w:rPr>
        <w:t>认减值损失的可供出售权益工具投资，在期后公允价值上升且客观上与确认原减值损失后发生的事项有关</w:t>
      </w:r>
      <w:r>
        <w:rPr>
          <w:spacing w:val="-81"/>
        </w:rPr>
        <w:t> </w:t>
      </w:r>
      <w:r>
        <w:rPr>
          <w:spacing w:val="-81"/>
        </w:rPr>
      </w:r>
      <w:r>
        <w:rPr>
          <w:spacing w:val="-1"/>
        </w:rPr>
        <w:t>的，原确认的减值损失予以转回，直接计入所有者权益。在活跃市场中没有报价且其公允价值不能可靠计</w:t>
      </w:r>
      <w:r>
        <w:rPr>
          <w:spacing w:val="-83"/>
        </w:rPr>
        <w:t> </w:t>
      </w:r>
      <w:r>
        <w:rPr>
          <w:spacing w:val="-83"/>
        </w:rPr>
      </w:r>
      <w:r>
        <w:rPr/>
        <w:t>量的权益工具投资发生的减值损失，如果在以后期间价值得以恢复，也不予转回。</w:t>
      </w:r>
    </w:p>
    <w:p>
      <w:pPr>
        <w:pStyle w:val="Heading4"/>
        <w:spacing w:line="240" w:lineRule="auto" w:before="46"/>
        <w:ind w:left="153" w:right="0"/>
        <w:jc w:val="left"/>
        <w:rPr>
          <w:b w:val="0"/>
          <w:bCs w:val="0"/>
        </w:rPr>
      </w:pPr>
      <w:bookmarkStart w:name="11、应收款项" w:id="133"/>
      <w:bookmarkEnd w:id="133"/>
      <w:r>
        <w:rPr>
          <w:b w:val="0"/>
          <w:bCs w:val="0"/>
        </w:rPr>
      </w:r>
      <w:r>
        <w:rPr>
          <w:rFonts w:ascii="宋体" w:hAnsi="宋体" w:cs="宋体" w:eastAsia="宋体" w:hint="default"/>
        </w:rPr>
        <w:t>11</w:t>
      </w:r>
      <w:r>
        <w:rPr/>
        <w:t>、应收款项</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53" w:right="0"/>
        <w:jc w:val="left"/>
        <w:rPr>
          <w:b w:val="0"/>
          <w:bCs w:val="0"/>
        </w:rPr>
      </w:pPr>
      <w:bookmarkStart w:name="（1）单项金额重大并单独计提坏账准备的应收款项" w:id="134"/>
      <w:bookmarkEnd w:id="134"/>
      <w:r>
        <w:rPr>
          <w:b w:val="0"/>
          <w:bCs w:val="0"/>
        </w:rPr>
      </w:r>
      <w:r>
        <w:rPr/>
        <w:t>（</w:t>
      </w:r>
      <w:r>
        <w:rPr>
          <w:rFonts w:ascii="宋体" w:hAnsi="宋体" w:cs="宋体" w:eastAsia="宋体" w:hint="default"/>
        </w:rPr>
        <w:t>1</w:t>
      </w:r>
      <w:r>
        <w:rPr/>
        <w:t>）单项金额重大并单独计提坏账准备的应收款项</w:t>
      </w:r>
      <w:r>
        <w:rPr>
          <w:b w:val="0"/>
          <w:bCs w:val="0"/>
        </w:rPr>
      </w:r>
    </w:p>
    <w:p>
      <w:pPr>
        <w:spacing w:line="240" w:lineRule="auto" w:before="12"/>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4786"/>
        <w:gridCol w:w="4783"/>
      </w:tblGrid>
      <w:tr>
        <w:trPr>
          <w:trHeight w:val="727"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公司单项金额重大的应收款项指单笔金额为</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万元以上的</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客户应收账款及单笔金额为</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万元以上的其他应收款。</w:t>
            </w:r>
          </w:p>
        </w:tc>
      </w:tr>
      <w:tr>
        <w:trPr>
          <w:trHeight w:val="727" w:hRule="exact"/>
        </w:trPr>
        <w:tc>
          <w:tcPr>
            <w:tcW w:w="47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51"/>
              <w:ind w:left="20" w:right="5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值的差额，确认减值损失，计提坏账准备。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35"/>
      <w:bookmarkEnd w:id="135"/>
      <w:r>
        <w:rPr>
          <w:b w:val="0"/>
          <w:bCs w:val="0"/>
        </w:rPr>
      </w:r>
      <w:r>
        <w:rPr/>
        <w:t>（</w:t>
      </w: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4786"/>
        <w:gridCol w:w="4783"/>
      </w:tblGrid>
      <w:tr>
        <w:trPr>
          <w:trHeight w:val="414"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16" w:hRule="exact"/>
        </w:trPr>
        <w:tc>
          <w:tcPr>
            <w:tcW w:w="478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63"/>
        <w:ind w:left="154" w:right="0"/>
        <w:jc w:val="left"/>
      </w:pPr>
      <w:r>
        <w:rPr/>
        <w:t>组合中，采用账龄分析法计提坏账准备的：</w:t>
      </w:r>
    </w:p>
    <w:p>
      <w:pPr>
        <w:spacing w:line="240" w:lineRule="auto" w:before="10"/>
        <w:rPr>
          <w:rFonts w:ascii="宋体" w:hAnsi="宋体" w:cs="宋体" w:eastAsia="宋体" w:hint="default"/>
          <w:sz w:val="14"/>
          <w:szCs w:val="14"/>
        </w:rPr>
      </w:pPr>
    </w:p>
    <w:p>
      <w:pPr>
        <w:pStyle w:val="BodyText"/>
        <w:spacing w:line="240" w:lineRule="auto" w:before="0"/>
        <w:ind w:left="154" w:right="0"/>
        <w:jc w:val="left"/>
      </w:pPr>
      <w:r>
        <w:rPr/>
        <w:t>√ 适用 □</w:t>
      </w:r>
      <w:r>
        <w:rPr>
          <w:spacing w:val="-1"/>
        </w:rPr>
        <w:t> </w:t>
      </w:r>
      <w:r>
        <w:rPr/>
        <w:t>不适用</w:t>
      </w:r>
    </w:p>
    <w:p>
      <w:pPr>
        <w:spacing w:after="0" w:line="240" w:lineRule="auto"/>
        <w:jc w:val="left"/>
        <w:sectPr>
          <w:footerReference w:type="default" r:id="rId25"/>
          <w:pgSz w:w="11910" w:h="16840"/>
          <w:pgMar w:footer="1000" w:header="747" w:top="1040" w:bottom="1180" w:left="980" w:right="980"/>
          <w:pgNumType w:start="100"/>
        </w:sectPr>
      </w:pPr>
    </w:p>
    <w:p>
      <w:pPr>
        <w:spacing w:line="240" w:lineRule="auto" w:before="3"/>
        <w:rPr>
          <w:rFonts w:ascii="宋体" w:hAnsi="宋体" w:cs="宋体" w:eastAsia="宋体" w:hint="default"/>
          <w:sz w:val="29"/>
          <w:szCs w:val="29"/>
        </w:rPr>
      </w:pPr>
    </w:p>
    <w:tbl>
      <w:tblPr>
        <w:tblW w:w="0" w:type="auto"/>
        <w:jc w:val="left"/>
        <w:tblInd w:w="145" w:type="dxa"/>
        <w:tblLayout w:type="fixed"/>
        <w:tblCellMar>
          <w:top w:w="0" w:type="dxa"/>
          <w:left w:w="0" w:type="dxa"/>
          <w:bottom w:w="0" w:type="dxa"/>
          <w:right w:w="0" w:type="dxa"/>
        </w:tblCellMar>
        <w:tblLook w:val="01E0"/>
      </w:tblPr>
      <w:tblGrid>
        <w:gridCol w:w="3173"/>
        <w:gridCol w:w="3201"/>
        <w:gridCol w:w="3189"/>
      </w:tblGrid>
      <w:tr>
        <w:trPr>
          <w:trHeight w:val="415"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30.00%</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50.00%</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70.00%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70.00%</w:t>
            </w:r>
          </w:p>
        </w:tc>
      </w:tr>
      <w:tr>
        <w:trPr>
          <w:trHeight w:val="416"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20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100.00%</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bl>
    <w:p>
      <w:pPr>
        <w:pStyle w:val="BodyText"/>
        <w:spacing w:line="240" w:lineRule="auto" w:before="63"/>
        <w:ind w:left="154" w:right="102"/>
        <w:jc w:val="left"/>
      </w:pPr>
      <w:r>
        <w:rPr/>
        <w:t>组合中，采用余额百分比法计提坏账准备的：</w:t>
      </w:r>
    </w:p>
    <w:p>
      <w:pPr>
        <w:spacing w:line="240" w:lineRule="auto" w:before="10"/>
        <w:rPr>
          <w:rFonts w:ascii="宋体" w:hAnsi="宋体" w:cs="宋体" w:eastAsia="宋体" w:hint="default"/>
          <w:sz w:val="14"/>
          <w:szCs w:val="14"/>
        </w:rPr>
      </w:pPr>
    </w:p>
    <w:p>
      <w:pPr>
        <w:pStyle w:val="BodyText"/>
        <w:spacing w:line="408" w:lineRule="auto" w:before="0"/>
        <w:ind w:left="154" w:right="6052"/>
        <w:jc w:val="left"/>
      </w:pPr>
      <w:r>
        <w:rPr/>
        <w:t>□ 适用 √</w:t>
      </w:r>
      <w:r>
        <w:rPr>
          <w:spacing w:val="-1"/>
        </w:rPr>
        <w:t> </w:t>
      </w:r>
      <w:r>
        <w:rPr/>
        <w:t>不适用</w:t>
      </w:r>
      <w:r>
        <w:rPr/>
        <w:t> 组合中，采用其他方法计提坏账准备的：</w:t>
      </w:r>
    </w:p>
    <w:p>
      <w:pPr>
        <w:pStyle w:val="BodyText"/>
        <w:spacing w:line="240" w:lineRule="auto"/>
        <w:ind w:left="154" w:right="10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02"/>
        <w:jc w:val="left"/>
        <w:rPr>
          <w:b w:val="0"/>
          <w:bCs w:val="0"/>
        </w:rPr>
      </w:pPr>
      <w:bookmarkStart w:name="（3）单项金额上重大但单独计提坏账准备的应收款项" w:id="136"/>
      <w:bookmarkEnd w:id="136"/>
      <w:r>
        <w:rPr>
          <w:b w:val="0"/>
          <w:bCs w:val="0"/>
        </w:rPr>
      </w:r>
      <w:r>
        <w:rPr/>
        <w:t>（</w:t>
      </w: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4786"/>
        <w:gridCol w:w="4783"/>
      </w:tblGrid>
      <w:tr>
        <w:trPr>
          <w:trHeight w:val="725" w:hRule="exact"/>
        </w:trPr>
        <w:tc>
          <w:tcPr>
            <w:tcW w:w="478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3" w:type="dxa"/>
            <w:tcBorders>
              <w:top w:val="single" w:sz="12" w:space="0" w:color="000000"/>
              <w:left w:val="single" w:sz="6" w:space="0" w:color="000000"/>
              <w:bottom w:val="single" w:sz="6" w:space="0" w:color="000000"/>
              <w:right w:val="single" w:sz="12" w:space="0" w:color="000000"/>
            </w:tcBorders>
          </w:tcPr>
          <w:p>
            <w:pPr>
              <w:pStyle w:val="TableParagraph"/>
              <w:spacing w:line="316" w:lineRule="auto" w:before="51"/>
              <w:ind w:left="20" w:right="59"/>
              <w:jc w:val="left"/>
              <w:rPr>
                <w:rFonts w:ascii="宋体" w:hAnsi="宋体" w:cs="宋体" w:eastAsia="宋体" w:hint="default"/>
                <w:sz w:val="18"/>
                <w:szCs w:val="18"/>
              </w:rPr>
            </w:pPr>
            <w:r>
              <w:rPr>
                <w:rFonts w:ascii="宋体" w:hAnsi="宋体" w:cs="宋体" w:eastAsia="宋体" w:hint="default"/>
                <w:sz w:val="18"/>
                <w:szCs w:val="18"/>
              </w:rPr>
              <w:t>有明显特征表明该等应收款项难以收回，期末余额为</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 元以下的应收款项。</w:t>
            </w:r>
          </w:p>
        </w:tc>
      </w:tr>
      <w:tr>
        <w:trPr>
          <w:trHeight w:val="1351" w:hRule="exact"/>
        </w:trPr>
        <w:tc>
          <w:tcPr>
            <w:tcW w:w="47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3" w:type="dxa"/>
            <w:tcBorders>
              <w:top w:val="single" w:sz="6" w:space="0" w:color="000000"/>
              <w:left w:val="single" w:sz="6" w:space="0" w:color="000000"/>
              <w:bottom w:val="single" w:sz="12" w:space="0" w:color="000000"/>
              <w:right w:val="single" w:sz="12" w:space="0" w:color="000000"/>
            </w:tcBorders>
          </w:tcPr>
          <w:p>
            <w:pPr>
              <w:pStyle w:val="TableParagraph"/>
              <w:spacing w:line="319" w:lineRule="auto" w:before="52"/>
              <w:ind w:left="20" w:right="58"/>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值的差额，确认减值损失，计提坏账准备；经单独测试未减 值的应收款项，采用账龄分析法，按应收款项的账龄和规定 的提取比例确认减值损失，计提坏账准备</w:t>
            </w:r>
          </w:p>
        </w:tc>
      </w:tr>
    </w:tbl>
    <w:p>
      <w:pPr>
        <w:pStyle w:val="Heading4"/>
        <w:spacing w:line="240" w:lineRule="auto" w:before="63"/>
        <w:ind w:left="576" w:right="102"/>
        <w:jc w:val="left"/>
        <w:rPr>
          <w:b w:val="0"/>
          <w:bCs w:val="0"/>
        </w:rPr>
      </w:pPr>
      <w:bookmarkStart w:name="12、存货" w:id="137"/>
      <w:bookmarkEnd w:id="137"/>
      <w:r>
        <w:rPr>
          <w:b w:val="0"/>
          <w:bCs w:val="0"/>
        </w:rPr>
      </w:r>
      <w:r>
        <w:rPr>
          <w:rFonts w:ascii="宋体" w:hAnsi="宋体" w:cs="宋体" w:eastAsia="宋体" w:hint="default"/>
        </w:rPr>
        <w:t>12</w:t>
      </w:r>
      <w:r>
        <w:rPr/>
        <w:t>、存货</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3" w:right="803"/>
        <w:jc w:val="left"/>
      </w:pPr>
      <w:r>
        <w:rPr/>
        <w:t>（</w:t>
      </w:r>
      <w:r>
        <w:rPr>
          <w:rFonts w:ascii="宋体" w:hAnsi="宋体" w:cs="宋体" w:eastAsia="宋体" w:hint="default"/>
        </w:rPr>
        <w:t>1</w:t>
      </w:r>
      <w:r>
        <w:rPr/>
        <w:t>）存货的类别 存货包括原材料、在产品、产成品、低值易耗品、包装物等，按成本与可变现净值孰低列示。</w:t>
      </w:r>
    </w:p>
    <w:p>
      <w:pPr>
        <w:pStyle w:val="BodyText"/>
        <w:spacing w:line="408" w:lineRule="auto"/>
        <w:ind w:left="574" w:right="102"/>
        <w:jc w:val="left"/>
      </w:pPr>
      <w:r>
        <w:rPr/>
        <w:t>（</w:t>
      </w:r>
      <w:r>
        <w:rPr>
          <w:rFonts w:ascii="宋体" w:hAnsi="宋体" w:cs="宋体" w:eastAsia="宋体" w:hint="default"/>
        </w:rPr>
        <w:t>2</w:t>
      </w:r>
      <w:r>
        <w:rPr/>
        <w:t>）发出存货的计价方法 </w:t>
      </w:r>
      <w:r>
        <w:rPr>
          <w:spacing w:val="-1"/>
        </w:rPr>
        <w:t>存货发出时的成本按加权平均法核算，产成品和在产品成本包括原材料、直接人工以及在正常生产能</w:t>
      </w:r>
    </w:p>
    <w:p>
      <w:pPr>
        <w:pStyle w:val="BodyText"/>
        <w:spacing w:line="240" w:lineRule="auto"/>
        <w:ind w:left="154" w:right="0"/>
        <w:jc w:val="both"/>
      </w:pPr>
      <w:r>
        <w:rPr/>
        <w:t>力下按照一定方法分配的制造费用。周转材料包括低值易耗品和包装物等。</w:t>
      </w:r>
    </w:p>
    <w:p>
      <w:pPr>
        <w:spacing w:line="240" w:lineRule="auto" w:before="10"/>
        <w:rPr>
          <w:rFonts w:ascii="宋体" w:hAnsi="宋体" w:cs="宋体" w:eastAsia="宋体" w:hint="default"/>
          <w:sz w:val="14"/>
          <w:szCs w:val="14"/>
        </w:rPr>
      </w:pPr>
    </w:p>
    <w:p>
      <w:pPr>
        <w:pStyle w:val="BodyText"/>
        <w:spacing w:line="408" w:lineRule="auto" w:before="0"/>
        <w:ind w:left="573" w:right="98"/>
        <w:jc w:val="left"/>
      </w:pPr>
      <w:r>
        <w:rPr/>
        <w:t>（</w:t>
      </w:r>
      <w:r>
        <w:rPr>
          <w:rFonts w:ascii="宋体" w:hAnsi="宋体" w:cs="宋体" w:eastAsia="宋体" w:hint="default"/>
        </w:rPr>
        <w:t>3</w:t>
      </w:r>
      <w:r>
        <w:rPr/>
        <w:t>）确定不同类别存货可变现净值的依据 </w:t>
      </w:r>
      <w:r>
        <w:rPr>
          <w:spacing w:val="-3"/>
        </w:rPr>
        <w:t>存货成本高于其可变现净值的，计提存货跌价准备，计入当期损益。可变现净值，是指在日常活动中，</w:t>
      </w:r>
    </w:p>
    <w:p>
      <w:pPr>
        <w:pStyle w:val="BodyText"/>
        <w:spacing w:line="408" w:lineRule="auto"/>
        <w:ind w:right="211"/>
        <w:jc w:val="both"/>
      </w:pPr>
      <w:r>
        <w:rPr>
          <w:spacing w:val="-1"/>
        </w:rPr>
        <w:t>存货的估计售价减去至完工时估计将要发生的成本、估计的销售费用以及相关税费后的金额。公司确定存</w:t>
      </w:r>
      <w:r>
        <w:rPr>
          <w:spacing w:val="-81"/>
        </w:rPr>
        <w:t> </w:t>
      </w:r>
      <w:r>
        <w:rPr>
          <w:spacing w:val="-81"/>
        </w:rPr>
      </w:r>
      <w:r>
        <w:rPr>
          <w:spacing w:val="-1"/>
        </w:rPr>
        <w:t>货的可变现净值，以取得的确凿证据为基础，并且考虑持有存货的目的、资产负债表日后事项的影响等因</w:t>
      </w:r>
      <w:r>
        <w:rPr>
          <w:spacing w:val="-83"/>
        </w:rPr>
        <w:t> </w:t>
      </w:r>
      <w:r>
        <w:rPr>
          <w:spacing w:val="-83"/>
        </w:rPr>
      </w:r>
      <w:r>
        <w:rPr/>
        <w:t>素。</w:t>
      </w:r>
    </w:p>
    <w:p>
      <w:pPr>
        <w:pStyle w:val="BodyText"/>
        <w:spacing w:line="408" w:lineRule="auto"/>
        <w:ind w:left="154" w:right="102" w:firstLine="420"/>
        <w:jc w:val="left"/>
      </w:pPr>
      <w:r>
        <w:rPr>
          <w:spacing w:val="-1"/>
        </w:rPr>
        <w:t>为生产而持有的材料等，用其生产的产成品的可变现净值高于成本的，该材料仍然按照成本计量；材</w:t>
      </w:r>
      <w:r>
        <w:rPr/>
        <w:t> 料价格的下降表明产成品的可变现净值低于成本的，该材料按照可变现净值计量。</w:t>
      </w:r>
    </w:p>
    <w:p>
      <w:pPr>
        <w:pStyle w:val="BodyText"/>
        <w:spacing w:line="240" w:lineRule="auto"/>
        <w:ind w:left="573" w:right="102"/>
        <w:jc w:val="left"/>
      </w:pPr>
      <w:r>
        <w:rPr/>
        <w:t>为执行销售合同或者劳务合同而持有的存货，其可变现净值以合同价格为基础计算。持有存货的数量</w:t>
      </w:r>
    </w:p>
    <w:p>
      <w:pPr>
        <w:spacing w:after="0" w:line="240" w:lineRule="auto"/>
        <w:jc w:val="left"/>
        <w:sectPr>
          <w:pgSz w:w="11910" w:h="16840"/>
          <w:pgMar w:header="747" w:footer="1000" w:top="1040" w:bottom="118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102"/>
        <w:jc w:val="left"/>
      </w:pPr>
      <w:r>
        <w:rPr/>
        <w:t>多于销售合同订购数量的，超出部分的存货的可变现净值以一般销售价格为基础计算。</w:t>
      </w:r>
    </w:p>
    <w:p>
      <w:pPr>
        <w:spacing w:line="240" w:lineRule="auto" w:before="10"/>
        <w:rPr>
          <w:rFonts w:ascii="宋体" w:hAnsi="宋体" w:cs="宋体" w:eastAsia="宋体" w:hint="default"/>
          <w:sz w:val="14"/>
          <w:szCs w:val="14"/>
        </w:rPr>
      </w:pPr>
    </w:p>
    <w:p>
      <w:pPr>
        <w:pStyle w:val="BodyText"/>
        <w:spacing w:line="408" w:lineRule="auto" w:before="0"/>
        <w:ind w:left="573" w:right="6473"/>
        <w:jc w:val="left"/>
      </w:pPr>
      <w:r>
        <w:rPr/>
        <w:t>（</w:t>
      </w:r>
      <w:r>
        <w:rPr>
          <w:rFonts w:ascii="宋体" w:hAnsi="宋体" w:cs="宋体" w:eastAsia="宋体" w:hint="default"/>
        </w:rPr>
        <w:t>4</w:t>
      </w:r>
      <w:r>
        <w:rPr/>
        <w:t>）存货的盘存制度 存货盘存制度采用永续盘存制。</w:t>
      </w:r>
    </w:p>
    <w:p>
      <w:pPr>
        <w:pStyle w:val="BodyText"/>
        <w:spacing w:line="408" w:lineRule="auto"/>
        <w:ind w:left="573" w:right="5003"/>
        <w:jc w:val="left"/>
      </w:pPr>
      <w:r>
        <w:rPr/>
        <w:t>（</w:t>
      </w:r>
      <w:r>
        <w:rPr>
          <w:rFonts w:ascii="宋体" w:hAnsi="宋体" w:cs="宋体" w:eastAsia="宋体" w:hint="default"/>
        </w:rPr>
        <w:t>5</w:t>
      </w:r>
      <w:r>
        <w:rPr/>
        <w:t>）低值易耗品和包装物的摊销方法 低值易耗品在领用时采用一次摊销法核算成本。 包装物在领用时采用一次转销法核算成本。</w:t>
      </w:r>
    </w:p>
    <w:p>
      <w:pPr>
        <w:spacing w:line="408" w:lineRule="auto" w:before="46"/>
        <w:ind w:left="573" w:right="4793" w:hanging="420"/>
        <w:jc w:val="left"/>
        <w:rPr>
          <w:rFonts w:ascii="宋体" w:hAnsi="宋体" w:cs="宋体" w:eastAsia="宋体" w:hint="default"/>
          <w:sz w:val="21"/>
          <w:szCs w:val="21"/>
        </w:rPr>
      </w:pPr>
      <w:bookmarkStart w:name="13、划分为持有待售资产" w:id="138"/>
      <w:bookmarkEnd w:id="138"/>
      <w:r>
        <w:rPr/>
      </w:r>
      <w:r>
        <w:rPr>
          <w:rFonts w:ascii="宋体" w:hAnsi="宋体" w:cs="宋体" w:eastAsia="宋体"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b/>
          <w:bCs/>
          <w:w w:val="99"/>
          <w:sz w:val="21"/>
          <w:szCs w:val="21"/>
        </w:rPr>
        <w:t> </w:t>
      </w:r>
      <w:r>
        <w:rPr>
          <w:rFonts w:ascii="宋体" w:hAnsi="宋体" w:cs="宋体" w:eastAsia="宋体" w:hint="default"/>
          <w:sz w:val="21"/>
          <w:szCs w:val="21"/>
        </w:rPr>
        <w:t>同时满足下列条件的资产，确认为持有待售资产：</w:t>
      </w:r>
    </w:p>
    <w:p>
      <w:pPr>
        <w:pStyle w:val="BodyText"/>
        <w:spacing w:line="240" w:lineRule="auto"/>
        <w:ind w:left="573" w:right="102"/>
        <w:jc w:val="left"/>
      </w:pPr>
      <w:r>
        <w:rPr/>
        <w:t>（</w:t>
      </w:r>
      <w:r>
        <w:rPr>
          <w:rFonts w:ascii="宋体" w:hAnsi="宋体" w:cs="宋体" w:eastAsia="宋体" w:hint="default"/>
        </w:rPr>
        <w:t>1</w:t>
      </w:r>
      <w:r>
        <w:rPr/>
        <w:t>）该资产必须在其当期状况下仅根据出售此类资产的通常和惯用条款即可立即出售；</w:t>
      </w:r>
    </w:p>
    <w:p>
      <w:pPr>
        <w:spacing w:line="240" w:lineRule="auto" w:before="10"/>
        <w:rPr>
          <w:rFonts w:ascii="宋体" w:hAnsi="宋体" w:cs="宋体" w:eastAsia="宋体" w:hint="default"/>
          <w:sz w:val="14"/>
          <w:szCs w:val="14"/>
        </w:rPr>
      </w:pPr>
    </w:p>
    <w:p>
      <w:pPr>
        <w:pStyle w:val="BodyText"/>
        <w:spacing w:line="240" w:lineRule="auto" w:before="0"/>
        <w:ind w:left="573" w:right="102"/>
        <w:jc w:val="left"/>
      </w:pPr>
      <w:r>
        <w:rPr/>
        <w:t>（</w:t>
      </w:r>
      <w:r>
        <w:rPr>
          <w:rFonts w:ascii="宋体" w:hAnsi="宋体" w:cs="宋体" w:eastAsia="宋体" w:hint="default"/>
        </w:rPr>
        <w:t>2</w:t>
      </w:r>
      <w:r>
        <w:rPr/>
        <w:t>）公司已经就处置该部分资产作出决议；</w:t>
      </w:r>
    </w:p>
    <w:p>
      <w:pPr>
        <w:spacing w:line="240" w:lineRule="auto" w:before="10"/>
        <w:rPr>
          <w:rFonts w:ascii="宋体" w:hAnsi="宋体" w:cs="宋体" w:eastAsia="宋体" w:hint="default"/>
          <w:sz w:val="14"/>
          <w:szCs w:val="14"/>
        </w:rPr>
      </w:pPr>
    </w:p>
    <w:p>
      <w:pPr>
        <w:pStyle w:val="BodyText"/>
        <w:spacing w:line="408" w:lineRule="auto" w:before="0"/>
        <w:ind w:left="573" w:right="4478"/>
        <w:jc w:val="left"/>
      </w:pPr>
      <w:r>
        <w:rPr/>
        <w:t>（</w:t>
      </w:r>
      <w:r>
        <w:rPr>
          <w:rFonts w:ascii="宋体" w:hAnsi="宋体" w:cs="宋体" w:eastAsia="宋体" w:hint="default"/>
        </w:rPr>
        <w:t>3</w:t>
      </w:r>
      <w:r>
        <w:rPr/>
        <w:t>）公司已经与受让方签订了不可撤销的转让协议； 该项转让将在一年内完成。</w:t>
      </w:r>
    </w:p>
    <w:p>
      <w:pPr>
        <w:pStyle w:val="Heading4"/>
        <w:spacing w:line="240" w:lineRule="auto" w:before="46"/>
        <w:ind w:left="153" w:right="102"/>
        <w:jc w:val="left"/>
        <w:rPr>
          <w:b w:val="0"/>
          <w:bCs w:val="0"/>
        </w:rPr>
      </w:pPr>
      <w:bookmarkStart w:name="14、长期股权投资" w:id="139"/>
      <w:bookmarkEnd w:id="139"/>
      <w:r>
        <w:rPr>
          <w:b w:val="0"/>
          <w:bCs w:val="0"/>
        </w:rPr>
      </w:r>
      <w:r>
        <w:rPr>
          <w:rFonts w:ascii="宋体" w:hAnsi="宋体" w:cs="宋体" w:eastAsia="宋体" w:hint="default"/>
        </w:rPr>
        <w:t>14</w:t>
      </w:r>
      <w:r>
        <w:rPr/>
        <w:t>、长期股权投资</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3" w:right="102"/>
        <w:jc w:val="left"/>
      </w:pPr>
      <w:r>
        <w:rPr/>
        <w:t>（</w:t>
      </w:r>
      <w:r>
        <w:rPr>
          <w:rFonts w:ascii="宋体" w:hAnsi="宋体" w:cs="宋体" w:eastAsia="宋体" w:hint="default"/>
        </w:rPr>
        <w:t>1</w:t>
      </w:r>
      <w:r>
        <w:rPr/>
        <w:t>）共同控制、重大影响的判断标准 </w:t>
      </w:r>
      <w:r>
        <w:rPr>
          <w:spacing w:val="-1"/>
        </w:rPr>
        <w:t>按照相关约定对某项安排所共有的控制，并且该安排的相关活动必须经过分享控制权的参与方一致同</w:t>
      </w:r>
    </w:p>
    <w:p>
      <w:pPr>
        <w:pStyle w:val="BodyText"/>
        <w:spacing w:line="408" w:lineRule="auto"/>
        <w:ind w:right="102"/>
        <w:jc w:val="left"/>
      </w:pPr>
      <w:r>
        <w:rPr>
          <w:spacing w:val="-1"/>
        </w:rPr>
        <w:t>意后才能决策，则视为共同控制。如果存在两个或两个以上的参与方组合能够集体控制某项安排的，不视</w:t>
      </w:r>
      <w:r>
        <w:rPr>
          <w:spacing w:val="-83"/>
        </w:rPr>
        <w:t> </w:t>
      </w:r>
      <w:r>
        <w:rPr>
          <w:spacing w:val="-83"/>
        </w:rPr>
      </w:r>
      <w:r>
        <w:rPr/>
        <w:t>为共同控制。</w:t>
      </w:r>
    </w:p>
    <w:p>
      <w:pPr>
        <w:pStyle w:val="BodyText"/>
        <w:spacing w:line="408" w:lineRule="auto"/>
        <w:ind w:right="211" w:firstLine="420"/>
        <w:jc w:val="both"/>
      </w:pPr>
      <w:r>
        <w:rPr>
          <w:spacing w:val="-1"/>
        </w:rPr>
        <w:t>对被投资单位的财务和经营政策有参与决策的权力，但并不能够控制或者与其他方一起共同控制这些</w:t>
      </w:r>
      <w:r>
        <w:rPr/>
        <w:t> 政策的制定，则视为对被投资单位实施重大影响。</w:t>
      </w:r>
    </w:p>
    <w:p>
      <w:pPr>
        <w:pStyle w:val="BodyText"/>
        <w:spacing w:line="408" w:lineRule="auto"/>
        <w:ind w:left="573" w:right="102"/>
        <w:jc w:val="left"/>
      </w:pPr>
      <w:r>
        <w:rPr/>
        <w:t>（</w:t>
      </w:r>
      <w:r>
        <w:rPr>
          <w:rFonts w:ascii="宋体" w:hAnsi="宋体" w:cs="宋体" w:eastAsia="宋体" w:hint="default"/>
        </w:rPr>
        <w:t>2</w:t>
      </w:r>
      <w:r>
        <w:rPr/>
        <w:t>）初始投资成本确定 企业合并形成的长期股权投资，按照本附注“3.5同一控制下和非同一控制下企业合并的会计处理方</w:t>
      </w:r>
    </w:p>
    <w:p>
      <w:pPr>
        <w:pStyle w:val="BodyText"/>
        <w:spacing w:line="408" w:lineRule="auto"/>
        <w:ind w:left="154" w:right="103"/>
        <w:jc w:val="left"/>
      </w:pPr>
      <w:r>
        <w:rPr>
          <w:spacing w:val="-3"/>
        </w:rPr>
        <w:t>法”的相关内容确认初始投资成本；除企业合并形成的长期股权投资以外，其他方式取得的长期股权投资，</w:t>
      </w:r>
      <w:r>
        <w:rPr>
          <w:spacing w:val="-92"/>
        </w:rPr>
        <w:t> </w:t>
      </w:r>
      <w:r>
        <w:rPr>
          <w:spacing w:val="-92"/>
        </w:rPr>
      </w:r>
      <w:r>
        <w:rPr/>
        <w:t>按照下述方法确认其初始投资成本：</w:t>
      </w:r>
    </w:p>
    <w:p>
      <w:pPr>
        <w:pStyle w:val="BodyText"/>
        <w:spacing w:line="408" w:lineRule="auto"/>
        <w:ind w:left="154" w:right="221" w:firstLine="420"/>
        <w:jc w:val="both"/>
      </w:pPr>
      <w:r>
        <w:rPr>
          <w:rFonts w:ascii="宋体" w:hAnsi="宋体" w:cs="宋体" w:eastAsia="宋体" w:hint="default"/>
        </w:rPr>
        <w:t>1</w:t>
      </w:r>
      <w:r>
        <w:rPr/>
        <w:t>）以支付现金取得的长期股权投资，应当按照实际支付的购买价款作为初始投资成本。初始投资成 本包括与取得长期股权投资直接相关的费用、税金及其他必要支出。</w:t>
      </w:r>
    </w:p>
    <w:p>
      <w:pPr>
        <w:pStyle w:val="BodyText"/>
        <w:spacing w:line="408" w:lineRule="auto"/>
        <w:ind w:right="102" w:firstLine="420"/>
        <w:jc w:val="left"/>
      </w:pPr>
      <w:r>
        <w:rPr>
          <w:rFonts w:ascii="宋体" w:hAnsi="宋体" w:cs="宋体" w:eastAsia="宋体" w:hint="default"/>
          <w:spacing w:val="-1"/>
        </w:rPr>
        <w:t>2</w:t>
      </w:r>
      <w:r>
        <w:rPr>
          <w:spacing w:val="-1"/>
        </w:rPr>
        <w:t>）以发行权益性证券取得的长期股权投资，应当按照发行权益性证券的公允价值作为初始投资成本。</w:t>
      </w:r>
      <w:r>
        <w:rPr/>
        <w:t> </w:t>
      </w:r>
      <w:r>
        <w:rPr>
          <w:spacing w:val="-3"/>
        </w:rPr>
        <w:t>与发行权益行证券直接相关的费用，应当按照《企业会计准则第</w:t>
      </w:r>
      <w:r>
        <w:rPr>
          <w:rFonts w:ascii="宋体" w:hAnsi="宋体" w:cs="宋体" w:eastAsia="宋体" w:hint="default"/>
          <w:spacing w:val="-3"/>
        </w:rPr>
        <w:t>37</w:t>
      </w:r>
      <w:r>
        <w:rPr>
          <w:spacing w:val="-3"/>
        </w:rPr>
        <w:t>号——金融工具列报》的有关规定确定。</w:t>
      </w:r>
    </w:p>
    <w:p>
      <w:pPr>
        <w:pStyle w:val="BodyText"/>
        <w:spacing w:line="408" w:lineRule="auto"/>
        <w:ind w:left="154" w:right="211" w:firstLine="420"/>
        <w:jc w:val="both"/>
      </w:pPr>
      <w:r>
        <w:rPr>
          <w:rFonts w:ascii="宋体" w:hAnsi="宋体" w:cs="宋体" w:eastAsia="宋体" w:hint="default"/>
        </w:rPr>
        <w:t>3</w:t>
      </w:r>
      <w:r>
        <w:rPr/>
        <w:t>）在非货币性资产交换具备商业实质和换入资产或换出资产的公允价值能够可靠计量的前提下，非 </w:t>
      </w:r>
      <w:r>
        <w:rPr>
          <w:spacing w:val="-1"/>
        </w:rPr>
        <w:t>货币性资产交换换入的长期股权投资以换出资产的公允价值为基础确定其初始投资成本，除非有确凿证据</w:t>
      </w:r>
      <w:r>
        <w:rPr>
          <w:spacing w:val="-81"/>
        </w:rPr>
        <w:t> </w:t>
      </w:r>
      <w:r>
        <w:rPr>
          <w:spacing w:val="-81"/>
        </w:rPr>
      </w:r>
      <w:r>
        <w:rPr>
          <w:spacing w:val="-1"/>
        </w:rPr>
        <w:t>表明换入资产的公允价值更加可靠；不满足上述前提的非货币性资产交换，以换出资产的账面价值和应支</w:t>
      </w:r>
    </w:p>
    <w:p>
      <w:pPr>
        <w:spacing w:after="0" w:line="408" w:lineRule="auto"/>
        <w:jc w:val="both"/>
        <w:sectPr>
          <w:footerReference w:type="default" r:id="rId26"/>
          <w:pgSz w:w="11910" w:h="16840"/>
          <w:pgMar w:footer="1000" w:header="747" w:top="1040" w:bottom="1180" w:left="980" w:right="920"/>
          <w:pgNumType w:start="102"/>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573" w:right="1688" w:hanging="420"/>
        <w:jc w:val="left"/>
      </w:pPr>
      <w:r>
        <w:rPr/>
        <w:t>付的相关税费作为换入长期股权投资的初始投资成本。 </w:t>
      </w:r>
      <w:r>
        <w:rPr>
          <w:rFonts w:ascii="宋体" w:hAnsi="宋体" w:cs="宋体" w:eastAsia="宋体" w:hint="default"/>
        </w:rPr>
        <w:t>4</w:t>
      </w:r>
      <w:r>
        <w:rPr/>
        <w:t>）通过债务重组取得的长期股权投资，其初始投资成本按照公允价值为基础确定。</w:t>
      </w:r>
    </w:p>
    <w:p>
      <w:pPr>
        <w:pStyle w:val="BodyText"/>
        <w:spacing w:line="408" w:lineRule="auto"/>
        <w:ind w:left="573" w:right="6518"/>
        <w:jc w:val="left"/>
      </w:pPr>
      <w:r>
        <w:rPr/>
        <w:t>（</w:t>
      </w:r>
      <w:r>
        <w:rPr>
          <w:rFonts w:ascii="宋体" w:hAnsi="宋体" w:cs="宋体" w:eastAsia="宋体" w:hint="default"/>
        </w:rPr>
        <w:t>3</w:t>
      </w:r>
      <w:r>
        <w:rPr/>
        <w:t>）后续计量及损益确认方法 </w:t>
      </w:r>
      <w:r>
        <w:rPr>
          <w:rFonts w:ascii="宋体" w:hAnsi="宋体" w:cs="宋体" w:eastAsia="宋体" w:hint="default"/>
        </w:rPr>
        <w:t>1</w:t>
      </w:r>
      <w:r>
        <w:rPr/>
        <w:t>）成本法后续计量</w:t>
      </w:r>
    </w:p>
    <w:p>
      <w:pPr>
        <w:pStyle w:val="BodyText"/>
        <w:spacing w:line="408" w:lineRule="auto"/>
        <w:ind w:right="151" w:firstLine="420"/>
        <w:jc w:val="both"/>
      </w:pPr>
      <w:r>
        <w:rPr>
          <w:spacing w:val="-1"/>
        </w:rPr>
        <w:t>公司能够对被投资单位实施控制的长期股权投资采用成本法核算，长期股权投资按照初始投资成本计</w:t>
      </w:r>
      <w:r>
        <w:rPr/>
        <w:t> </w:t>
      </w:r>
      <w:r>
        <w:rPr>
          <w:spacing w:val="-1"/>
        </w:rPr>
        <w:t>价。追加或收回投资调整长期股权投资的成本。被投资单位宣告分派的现金股利或利润，确认为当期投资</w:t>
      </w:r>
      <w:r>
        <w:rPr>
          <w:spacing w:val="-83"/>
        </w:rPr>
        <w:t> </w:t>
      </w:r>
      <w:r>
        <w:rPr>
          <w:spacing w:val="-83"/>
        </w:rPr>
      </w:r>
      <w:r>
        <w:rPr/>
        <w:t>收益。</w:t>
      </w:r>
    </w:p>
    <w:p>
      <w:pPr>
        <w:pStyle w:val="BodyText"/>
        <w:spacing w:line="408" w:lineRule="auto"/>
        <w:ind w:left="573" w:right="0"/>
        <w:jc w:val="left"/>
      </w:pPr>
      <w:r>
        <w:rPr>
          <w:rFonts w:ascii="宋体" w:hAnsi="宋体" w:cs="宋体" w:eastAsia="宋体" w:hint="default"/>
        </w:rPr>
        <w:t>2</w:t>
      </w:r>
      <w:r>
        <w:rPr/>
        <w:t>）权益法后续计量 </w:t>
      </w:r>
      <w:r>
        <w:rPr>
          <w:spacing w:val="-1"/>
        </w:rPr>
        <w:t>公司对联营企业和合营企业的长期股权投资，采用权益法核算，长期股权投资的初始投资成本大于投</w:t>
      </w:r>
    </w:p>
    <w:p>
      <w:pPr>
        <w:pStyle w:val="BodyText"/>
        <w:spacing w:line="408" w:lineRule="auto"/>
        <w:ind w:right="151"/>
        <w:jc w:val="both"/>
      </w:pPr>
      <w:r>
        <w:rPr>
          <w:spacing w:val="-1"/>
        </w:rPr>
        <w:t>资时应享有被投资单位可辨认净资产公允价值份额的，不调整长期股权投资的初始投资成本；长期股权投</w:t>
      </w:r>
      <w:r>
        <w:rPr>
          <w:spacing w:val="-81"/>
        </w:rPr>
        <w:t> </w:t>
      </w:r>
      <w:r>
        <w:rPr>
          <w:spacing w:val="-81"/>
        </w:rPr>
      </w:r>
      <w:r>
        <w:rPr>
          <w:spacing w:val="-1"/>
        </w:rPr>
        <w:t>资的初始投资成本小于投资时应享有被投资单位可辨认净资产公允价值份额的，其差额计入当期损益，同</w:t>
      </w:r>
      <w:r>
        <w:rPr>
          <w:spacing w:val="-81"/>
        </w:rPr>
        <w:t> </w:t>
      </w:r>
      <w:r>
        <w:rPr>
          <w:spacing w:val="-81"/>
        </w:rPr>
      </w:r>
      <w:r>
        <w:rPr/>
        <w:t>时调整长期股权投资的成本。</w:t>
      </w:r>
    </w:p>
    <w:p>
      <w:pPr>
        <w:pStyle w:val="BodyText"/>
        <w:spacing w:line="408" w:lineRule="auto"/>
        <w:ind w:right="151" w:firstLine="420"/>
        <w:jc w:val="both"/>
      </w:pPr>
      <w:r>
        <w:rPr>
          <w:spacing w:val="-1"/>
        </w:rPr>
        <w:t>采用权益法核算时，投资方取得长期股权投资后，按照应享有或应分担的被投资单位实现的净损益和</w:t>
      </w:r>
      <w:r>
        <w:rPr/>
        <w:t> </w:t>
      </w:r>
      <w:r>
        <w:rPr>
          <w:spacing w:val="-1"/>
        </w:rPr>
        <w:t>其他综合收益的份额，分别确认投资收益和其他综合收益，同时调整长期股权投资的账面价值；投资方按</w:t>
      </w:r>
      <w:r>
        <w:rPr>
          <w:spacing w:val="-83"/>
        </w:rPr>
        <w:t> </w:t>
      </w:r>
      <w:r>
        <w:rPr>
          <w:spacing w:val="-83"/>
        </w:rPr>
      </w:r>
      <w:r>
        <w:rPr>
          <w:spacing w:val="-1"/>
        </w:rPr>
        <w:t>照被投资单位宣告分派的利润或现金股利计算应享有的部分，相应减少长期股权投资的账面价值；投资方</w:t>
      </w:r>
      <w:r>
        <w:rPr>
          <w:spacing w:val="-81"/>
        </w:rPr>
        <w:t> </w:t>
      </w:r>
      <w:r>
        <w:rPr>
          <w:spacing w:val="-81"/>
        </w:rPr>
      </w:r>
      <w:r>
        <w:rPr>
          <w:spacing w:val="-1"/>
        </w:rPr>
        <w:t>对于被投资单位除净损益、其他综合收益和利润分配以外所有者权益的其他变动，调整长期股权投资的账</w:t>
      </w:r>
      <w:r>
        <w:rPr>
          <w:spacing w:val="-81"/>
        </w:rPr>
        <w:t> </w:t>
      </w:r>
      <w:r>
        <w:rPr>
          <w:spacing w:val="-81"/>
        </w:rPr>
      </w:r>
      <w:r>
        <w:rPr>
          <w:spacing w:val="-1"/>
        </w:rPr>
        <w:t>面价值并计入所有者权益。投资方在确认应享有被投资单位净损益的份额时，以取得投资时被投资单位可</w:t>
      </w:r>
      <w:r>
        <w:rPr>
          <w:spacing w:val="-81"/>
        </w:rPr>
        <w:t> </w:t>
      </w:r>
      <w:r>
        <w:rPr>
          <w:spacing w:val="-81"/>
        </w:rPr>
      </w:r>
      <w:r>
        <w:rPr>
          <w:spacing w:val="-1"/>
        </w:rPr>
        <w:t>辨认净资产的公允价值为基础，对被投资单位的净利润进行调整后确认。被投资单位采用的会计政策及会</w:t>
      </w:r>
      <w:r>
        <w:rPr>
          <w:spacing w:val="-81"/>
        </w:rPr>
        <w:t> </w:t>
      </w:r>
      <w:r>
        <w:rPr>
          <w:spacing w:val="-81"/>
        </w:rPr>
      </w:r>
      <w:r>
        <w:rPr>
          <w:spacing w:val="-1"/>
        </w:rPr>
        <w:t>计期间与投资方不一致的，按照投资方的会计政策及会计期间对被投资单位的财务报表进行调整，并据以</w:t>
      </w:r>
      <w:r>
        <w:rPr>
          <w:spacing w:val="-81"/>
        </w:rPr>
        <w:t> </w:t>
      </w:r>
      <w:r>
        <w:rPr>
          <w:spacing w:val="-81"/>
        </w:rPr>
      </w:r>
      <w:r>
        <w:rPr/>
        <w:t>确认投资收益和其他综合收益等。</w:t>
      </w:r>
    </w:p>
    <w:p>
      <w:pPr>
        <w:pStyle w:val="BodyText"/>
        <w:spacing w:line="408" w:lineRule="auto"/>
        <w:ind w:right="130" w:firstLine="420"/>
        <w:jc w:val="both"/>
      </w:pPr>
      <w:r>
        <w:rPr>
          <w:spacing w:val="-1"/>
        </w:rPr>
        <w:t>投资方确认被投资单位发生的净亏损，以长期股权投资的账面价值以及其他实质上构成对被投资单位</w:t>
      </w:r>
      <w:r>
        <w:rPr/>
        <w:t> 净投资的长期权益减记至零为限，投资方负有承担额外损失义务的除外。被投资单位以后实现净利润的， 投资方在其收益分享额弥补未确认的亏损分担额后，恢复确认收益分享额。</w:t>
      </w:r>
    </w:p>
    <w:p>
      <w:pPr>
        <w:pStyle w:val="BodyText"/>
        <w:spacing w:line="408" w:lineRule="auto"/>
        <w:ind w:right="151" w:firstLine="420"/>
        <w:jc w:val="both"/>
      </w:pPr>
      <w:r>
        <w:rPr>
          <w:spacing w:val="-1"/>
        </w:rPr>
        <w:t>投资方计算确认应享有或应分担被投资单位的净损益时，与联营企业、合营企业之间发生的未实现内</w:t>
      </w:r>
      <w:r>
        <w:rPr/>
        <w:t> </w:t>
      </w:r>
      <w:r>
        <w:rPr>
          <w:spacing w:val="-1"/>
        </w:rPr>
        <w:t>部交易损益按照应享有的比例计算归属于投资方的部分，予以抵销，在此基础上确认投资收益。投资方与</w:t>
      </w:r>
      <w:r>
        <w:rPr>
          <w:spacing w:val="-83"/>
        </w:rPr>
        <w:t> </w:t>
      </w:r>
      <w:r>
        <w:rPr>
          <w:spacing w:val="-83"/>
        </w:rPr>
      </w:r>
      <w:r>
        <w:rPr/>
        <w:t>被投资单位发生的未实现内部交易损失，按照《企业会计准则第</w:t>
      </w:r>
      <w:r>
        <w:rPr>
          <w:rFonts w:ascii="宋体" w:hAnsi="宋体" w:cs="宋体" w:eastAsia="宋体" w:hint="default"/>
        </w:rPr>
        <w:t>8</w:t>
      </w:r>
      <w:r>
        <w:rPr/>
        <w:t>号——资产减值》等的有关规定属于资</w:t>
      </w:r>
      <w:r>
        <w:rPr>
          <w:spacing w:val="-30"/>
        </w:rPr>
        <w:t> </w:t>
      </w:r>
      <w:r>
        <w:rPr>
          <w:spacing w:val="-30"/>
        </w:rPr>
      </w:r>
      <w:r>
        <w:rPr/>
        <w:t>产减值损失的，全额确认。</w:t>
      </w:r>
    </w:p>
    <w:p>
      <w:pPr>
        <w:pStyle w:val="BodyText"/>
        <w:spacing w:line="408" w:lineRule="auto"/>
        <w:ind w:right="151" w:firstLine="420"/>
        <w:jc w:val="both"/>
      </w:pPr>
      <w:r>
        <w:rPr>
          <w:spacing w:val="-1"/>
        </w:rPr>
        <w:t>投资方对联营企业的权益性投资，其中一部分通过风险投资机构、共同基金、信托公司或包括投连险</w:t>
      </w:r>
      <w:r>
        <w:rPr/>
        <w:t> </w:t>
      </w:r>
      <w:r>
        <w:rPr>
          <w:spacing w:val="-1"/>
        </w:rPr>
        <w:t>基金在内的类似主体间接持有的，无论以上主体是否对这部分投资具有重大影响，投资方都按照金融工具</w:t>
      </w:r>
      <w:r>
        <w:rPr>
          <w:spacing w:val="-81"/>
        </w:rPr>
        <w:t> </w:t>
      </w:r>
      <w:r>
        <w:rPr>
          <w:spacing w:val="-81"/>
        </w:rPr>
      </w:r>
      <w:r>
        <w:rPr>
          <w:spacing w:val="-1"/>
        </w:rPr>
        <w:t>政策的有关规定，对间接持有的该部分投资选择以公允价值计量且其变动计入损益，并对其余部分采用权</w:t>
      </w:r>
    </w:p>
    <w:p>
      <w:pPr>
        <w:spacing w:after="0" w:line="408" w:lineRule="auto"/>
        <w:jc w:val="both"/>
        <w:sectPr>
          <w:footerReference w:type="default" r:id="rId27"/>
          <w:pgSz w:w="11910" w:h="16840"/>
          <w:pgMar w:footer="1000" w:header="747" w:top="1040" w:bottom="1180" w:left="980" w:right="980"/>
          <w:pgNumType w:start="103"/>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102"/>
        <w:jc w:val="left"/>
      </w:pPr>
      <w:r>
        <w:rPr/>
        <w:t>益法核算。</w:t>
      </w:r>
    </w:p>
    <w:p>
      <w:pPr>
        <w:spacing w:line="240" w:lineRule="auto" w:before="10"/>
        <w:rPr>
          <w:rFonts w:ascii="宋体" w:hAnsi="宋体" w:cs="宋体" w:eastAsia="宋体" w:hint="default"/>
          <w:sz w:val="14"/>
          <w:szCs w:val="14"/>
        </w:rPr>
      </w:pPr>
    </w:p>
    <w:p>
      <w:pPr>
        <w:pStyle w:val="BodyText"/>
        <w:spacing w:line="408" w:lineRule="auto" w:before="0"/>
        <w:ind w:left="573" w:right="102"/>
        <w:jc w:val="left"/>
      </w:pPr>
      <w:r>
        <w:rPr>
          <w:rFonts w:ascii="宋体" w:hAnsi="宋体" w:cs="宋体" w:eastAsia="宋体" w:hint="default"/>
        </w:rPr>
        <w:t>3</w:t>
      </w:r>
      <w:r>
        <w:rPr/>
        <w:t>）因追加投资等原因能够对被投资单位施加重大影响或实施共同控制但不构成控制的处理 </w:t>
      </w:r>
      <w:r>
        <w:rPr>
          <w:spacing w:val="-1"/>
        </w:rPr>
        <w:t>按照《企业会计准则第</w:t>
      </w:r>
      <w:r>
        <w:rPr>
          <w:rFonts w:ascii="宋体" w:hAnsi="宋体" w:cs="宋体" w:eastAsia="宋体" w:hint="default"/>
          <w:spacing w:val="-1"/>
        </w:rPr>
        <w:t>22</w:t>
      </w:r>
      <w:r>
        <w:rPr>
          <w:spacing w:val="-1"/>
        </w:rPr>
        <w:t>号——金融工具确认和计量》确定的原持有的股权投资的公允价值加上新增</w:t>
      </w:r>
    </w:p>
    <w:p>
      <w:pPr>
        <w:pStyle w:val="BodyText"/>
        <w:spacing w:line="408" w:lineRule="auto"/>
        <w:ind w:left="154" w:right="211"/>
        <w:jc w:val="both"/>
      </w:pPr>
      <w:r>
        <w:rPr>
          <w:spacing w:val="-1"/>
        </w:rPr>
        <w:t>投资成本之和，作为改按权益法核算的初始投资成本。原持有的股权投资分类为可供出售金融资产的，其</w:t>
      </w:r>
      <w:r>
        <w:rPr>
          <w:spacing w:val="-83"/>
        </w:rPr>
        <w:t> </w:t>
      </w:r>
      <w:r>
        <w:rPr>
          <w:spacing w:val="-83"/>
        </w:rPr>
      </w:r>
      <w:r>
        <w:rPr>
          <w:spacing w:val="-1"/>
        </w:rPr>
        <w:t>公允价值与账面价值之间的差额，以及原计入其他综合收益的累计公允价值变动转入改按权益法核算的当</w:t>
      </w:r>
      <w:r>
        <w:rPr>
          <w:spacing w:val="-81"/>
        </w:rPr>
        <w:t> </w:t>
      </w:r>
      <w:r>
        <w:rPr>
          <w:spacing w:val="-81"/>
        </w:rPr>
      </w:r>
      <w:r>
        <w:rPr/>
        <w:t>期损益。</w:t>
      </w:r>
    </w:p>
    <w:p>
      <w:pPr>
        <w:pStyle w:val="BodyText"/>
        <w:spacing w:line="408" w:lineRule="auto"/>
        <w:ind w:left="574" w:right="102"/>
        <w:jc w:val="left"/>
      </w:pPr>
      <w:r>
        <w:rPr>
          <w:rFonts w:ascii="宋体" w:hAnsi="宋体" w:cs="宋体" w:eastAsia="宋体" w:hint="default"/>
        </w:rPr>
        <w:t>4</w:t>
      </w:r>
      <w:r>
        <w:rPr/>
        <w:t>）处置部分股权的处理 </w:t>
      </w:r>
      <w:r>
        <w:rPr>
          <w:spacing w:val="-1"/>
        </w:rPr>
        <w:t>因处置部分股权投资等原因丧失了对被投资单位的共同控制或重大影响的，处置后的剩余股权改按本</w:t>
      </w:r>
    </w:p>
    <w:p>
      <w:pPr>
        <w:pStyle w:val="BodyText"/>
        <w:spacing w:line="408" w:lineRule="auto"/>
        <w:ind w:left="154" w:right="211"/>
        <w:jc w:val="both"/>
      </w:pPr>
      <w:r>
        <w:rPr>
          <w:spacing w:val="-1"/>
        </w:rPr>
        <w:t>附注“金融工具”的政策核算，其在丧失共同控制或重大影响之日的公允价值与账面价值之间的差额计入</w:t>
      </w:r>
      <w:r>
        <w:rPr>
          <w:spacing w:val="-82"/>
        </w:rPr>
        <w:t> </w:t>
      </w:r>
      <w:r>
        <w:rPr>
          <w:spacing w:val="-82"/>
        </w:rPr>
      </w:r>
      <w:r>
        <w:rPr>
          <w:spacing w:val="-1"/>
        </w:rPr>
        <w:t>当期损益。原股权投资因采用权益法核算而确认的其他综合收益，在终止采用权益法核算时采用与被投资</w:t>
      </w:r>
      <w:r>
        <w:rPr>
          <w:spacing w:val="-81"/>
        </w:rPr>
        <w:t> </w:t>
      </w:r>
      <w:r>
        <w:rPr>
          <w:spacing w:val="-81"/>
        </w:rPr>
      </w:r>
      <w:r>
        <w:rPr/>
        <w:t>单位直接处置相关资产或负债相同的基础进行会计处理。</w:t>
      </w:r>
    </w:p>
    <w:p>
      <w:pPr>
        <w:pStyle w:val="BodyText"/>
        <w:spacing w:line="408" w:lineRule="auto"/>
        <w:ind w:left="154" w:right="211" w:firstLine="420"/>
        <w:jc w:val="both"/>
      </w:pPr>
      <w:r>
        <w:rPr>
          <w:spacing w:val="-1"/>
        </w:rPr>
        <w:t>因处置部分权益性投资等原因丧失了对被投资单位的控制的，在编制个别财务报表时，处置后的剩余</w:t>
      </w:r>
      <w:r>
        <w:rPr/>
        <w:t> </w:t>
      </w:r>
      <w:r>
        <w:rPr>
          <w:spacing w:val="-1"/>
        </w:rPr>
        <w:t>股权能够对被投资单位实施共同控制或施加重大影响的，改按权益法核算，并对该剩余股权视同自取得时</w:t>
      </w:r>
      <w:r>
        <w:rPr>
          <w:spacing w:val="-81"/>
        </w:rPr>
        <w:t> </w:t>
      </w:r>
      <w:r>
        <w:rPr>
          <w:spacing w:val="-81"/>
        </w:rPr>
      </w:r>
      <w:r>
        <w:rPr>
          <w:spacing w:val="-1"/>
        </w:rPr>
        <w:t>即采用权益法核算进行调整；处置后的剩余股权不能对被投资单位实施共同控制或施加重大影响的，改按</w:t>
      </w:r>
      <w:r>
        <w:rPr>
          <w:spacing w:val="-81"/>
        </w:rPr>
        <w:t> </w:t>
      </w:r>
      <w:r>
        <w:rPr>
          <w:spacing w:val="-81"/>
        </w:rPr>
      </w:r>
      <w:r>
        <w:rPr>
          <w:spacing w:val="-1"/>
        </w:rPr>
        <w:t>本附注“金融工具”的有关政策进行会计处理，其在丧失控制之日的公允价值与账面价值间的差额计入当</w:t>
      </w:r>
      <w:r>
        <w:rPr>
          <w:spacing w:val="-82"/>
        </w:rPr>
        <w:t> </w:t>
      </w:r>
      <w:r>
        <w:rPr>
          <w:spacing w:val="-82"/>
        </w:rPr>
      </w:r>
      <w:r>
        <w:rPr/>
        <w:t>期损益。在编制合并财务报表时，按照本附注“合并财务报表的编制方法”的相关内容处理。</w:t>
      </w:r>
    </w:p>
    <w:p>
      <w:pPr>
        <w:pStyle w:val="BodyText"/>
        <w:spacing w:line="408" w:lineRule="auto"/>
        <w:ind w:left="574" w:right="102"/>
        <w:jc w:val="left"/>
      </w:pPr>
      <w:r>
        <w:rPr>
          <w:rFonts w:ascii="宋体" w:hAnsi="宋体" w:cs="宋体" w:eastAsia="宋体" w:hint="default"/>
        </w:rPr>
        <w:t>5</w:t>
      </w:r>
      <w:r>
        <w:rPr/>
        <w:t>）对联营企业或合营企业的权益性投资全部或部分分类为持有待售资产的处理 </w:t>
      </w:r>
      <w:r>
        <w:rPr>
          <w:spacing w:val="-1"/>
        </w:rPr>
        <w:t>分类为持有待售资产的对联营企业或合营企业的权益性投资，以账面价值与公允价值减去处置费用孰</w:t>
      </w:r>
    </w:p>
    <w:p>
      <w:pPr>
        <w:pStyle w:val="BodyText"/>
        <w:spacing w:line="408" w:lineRule="auto"/>
        <w:ind w:left="154" w:right="103"/>
        <w:jc w:val="left"/>
      </w:pPr>
      <w:r>
        <w:rPr/>
        <w:t>低的金额列示，公允价值减去处置费用低于原账面价值的金额，确认为资产减值损失。对于未划分为持有 待售资产的剩余权益性投资，采用权益法进行会计处理。已划分为持有待售的对联营企业或合营企业的权 </w:t>
      </w:r>
      <w:r>
        <w:rPr>
          <w:spacing w:val="-3"/>
        </w:rPr>
        <w:t>益性投资，不再符合持有待售资产分类条件的，从被分类为持有待售资产之日起采用权益法进行追溯调整。</w:t>
      </w:r>
      <w:r>
        <w:rPr>
          <w:spacing w:val="-92"/>
        </w:rPr>
        <w:t> </w:t>
      </w:r>
      <w:r>
        <w:rPr>
          <w:spacing w:val="-92"/>
        </w:rPr>
      </w:r>
      <w:r>
        <w:rPr/>
        <w:t>分类为持有待售期间的财务报表作相应调整。</w:t>
      </w:r>
    </w:p>
    <w:p>
      <w:pPr>
        <w:pStyle w:val="BodyText"/>
        <w:spacing w:line="408" w:lineRule="auto"/>
        <w:ind w:left="574" w:right="102"/>
        <w:jc w:val="left"/>
      </w:pPr>
      <w:r>
        <w:rPr>
          <w:rFonts w:ascii="宋体" w:hAnsi="宋体" w:cs="宋体" w:eastAsia="宋体" w:hint="default"/>
        </w:rPr>
        <w:t>6</w:t>
      </w:r>
      <w:r>
        <w:rPr/>
        <w:t>）处置长期股权投资的处理 </w:t>
      </w:r>
      <w:r>
        <w:rPr>
          <w:spacing w:val="-1"/>
        </w:rPr>
        <w:t>处置长期股权投资，其账面价值与实际取得价款之间的差额，计入当期损益。采用权益法核算的长期</w:t>
      </w:r>
    </w:p>
    <w:p>
      <w:pPr>
        <w:pStyle w:val="BodyText"/>
        <w:spacing w:line="408" w:lineRule="auto"/>
        <w:ind w:left="154" w:right="102"/>
        <w:jc w:val="left"/>
      </w:pPr>
      <w:r>
        <w:rPr>
          <w:spacing w:val="-1"/>
        </w:rPr>
        <w:t>股权投资，在处置该项投资时，采用与被投资单位直接处置相关资产或负债相同的基础，按相应比例对原</w:t>
      </w:r>
      <w:r>
        <w:rPr>
          <w:spacing w:val="-83"/>
        </w:rPr>
        <w:t> </w:t>
      </w:r>
      <w:r>
        <w:rPr>
          <w:spacing w:val="-83"/>
        </w:rPr>
      </w:r>
      <w:r>
        <w:rPr/>
        <w:t>计入其他综合收益的部分进行会计处理。</w:t>
      </w:r>
    </w:p>
    <w:p>
      <w:pPr>
        <w:spacing w:line="408" w:lineRule="auto" w:before="46"/>
        <w:ind w:left="154" w:right="7732" w:firstLine="0"/>
        <w:jc w:val="left"/>
        <w:rPr>
          <w:rFonts w:ascii="宋体" w:hAnsi="宋体" w:cs="宋体" w:eastAsia="宋体" w:hint="default"/>
          <w:sz w:val="21"/>
          <w:szCs w:val="21"/>
        </w:rPr>
      </w:pPr>
      <w:bookmarkStart w:name="15、投资性房地产" w:id="140"/>
      <w:bookmarkEnd w:id="140"/>
      <w:r>
        <w:rPr/>
      </w:r>
      <w:r>
        <w:rPr>
          <w:rFonts w:ascii="宋体" w:hAnsi="宋体" w:cs="宋体" w:eastAsia="宋体"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 成本法计量 折旧或摊销方法</w:t>
      </w:r>
    </w:p>
    <w:p>
      <w:pPr>
        <w:spacing w:after="0" w:line="408" w:lineRule="auto"/>
        <w:jc w:val="left"/>
        <w:rPr>
          <w:rFonts w:ascii="宋体" w:hAnsi="宋体" w:cs="宋体" w:eastAsia="宋体" w:hint="default"/>
          <w:sz w:val="21"/>
          <w:szCs w:val="21"/>
        </w:rPr>
        <w:sectPr>
          <w:footerReference w:type="default" r:id="rId28"/>
          <w:pgSz w:w="11910" w:h="16840"/>
          <w:pgMar w:footer="1000" w:header="747" w:top="1040" w:bottom="1180" w:left="980" w:right="920"/>
          <w:pgNumType w:start="104"/>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211" w:firstLine="420"/>
        <w:jc w:val="both"/>
      </w:pPr>
      <w:r>
        <w:rPr>
          <w:spacing w:val="-1"/>
        </w:rPr>
        <w:t>投资性房地产包括已出租持有并准备增值后转让的土地使用权以及已出租的建筑物，以实际成本进行</w:t>
      </w:r>
      <w:r>
        <w:rPr/>
        <w:t> </w:t>
      </w:r>
      <w:r>
        <w:rPr>
          <w:spacing w:val="-1"/>
        </w:rPr>
        <w:t>初始计量。与投资性房地产有关的后续支出，在相关的经济利益很可能流入本公司且其成本能够可靠的计</w:t>
      </w:r>
      <w:r>
        <w:rPr>
          <w:spacing w:val="-81"/>
        </w:rPr>
        <w:t> </w:t>
      </w:r>
      <w:r>
        <w:rPr>
          <w:spacing w:val="-81"/>
        </w:rPr>
      </w:r>
      <w:r>
        <w:rPr>
          <w:spacing w:val="-1"/>
        </w:rPr>
        <w:t>量时，计入投资性房地产成本；否则，在发生时计入当期损益。本公司采用成本模式对所有投资性房地产</w:t>
      </w:r>
      <w:r>
        <w:rPr>
          <w:spacing w:val="-86"/>
        </w:rPr>
        <w:t> </w:t>
      </w:r>
      <w:r>
        <w:rPr>
          <w:spacing w:val="-86"/>
        </w:rPr>
      </w:r>
      <w:r>
        <w:rPr>
          <w:spacing w:val="-1"/>
        </w:rPr>
        <w:t>进行后续计量，按其预计使用寿命及净残值率对建筑物和土地使用权计提折旧或摊销。投资性房地产的预</w:t>
      </w:r>
      <w:r>
        <w:rPr>
          <w:spacing w:val="-81"/>
        </w:rPr>
        <w:t> </w:t>
      </w:r>
      <w:r>
        <w:rPr>
          <w:spacing w:val="-81"/>
        </w:rPr>
      </w:r>
      <w:r>
        <w:rPr/>
        <w:t>计使用寿命、净残值率及年折旧</w:t>
      </w:r>
      <w:r>
        <w:rPr>
          <w:rFonts w:ascii="宋体" w:hAnsi="宋体" w:cs="宋体" w:eastAsia="宋体" w:hint="default"/>
        </w:rPr>
        <w:t>(</w:t>
      </w:r>
      <w:r>
        <w:rPr/>
        <w:t>摊销</w:t>
      </w:r>
      <w:r>
        <w:rPr>
          <w:rFonts w:ascii="宋体" w:hAnsi="宋体" w:cs="宋体" w:eastAsia="宋体" w:hint="default"/>
        </w:rPr>
        <w:t>)</w:t>
      </w:r>
      <w:r>
        <w:rPr/>
        <w:t>率列示如下：</w:t>
      </w:r>
    </w:p>
    <w:tbl>
      <w:tblPr>
        <w:tblW w:w="0" w:type="auto"/>
        <w:jc w:val="left"/>
        <w:tblInd w:w="133" w:type="dxa"/>
        <w:tblLayout w:type="fixed"/>
        <w:tblCellMar>
          <w:top w:w="0" w:type="dxa"/>
          <w:left w:w="0" w:type="dxa"/>
          <w:bottom w:w="0" w:type="dxa"/>
          <w:right w:w="0" w:type="dxa"/>
        </w:tblCellMar>
        <w:tblLook w:val="01E0"/>
      </w:tblPr>
      <w:tblGrid>
        <w:gridCol w:w="2375"/>
        <w:gridCol w:w="2375"/>
        <w:gridCol w:w="2375"/>
        <w:gridCol w:w="2374"/>
      </w:tblGrid>
      <w:tr>
        <w:trPr>
          <w:trHeight w:val="439" w:hRule="exact"/>
        </w:trPr>
        <w:tc>
          <w:tcPr>
            <w:tcW w:w="237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3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27"/>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3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预计净残值率（</w:t>
            </w:r>
            <w:r>
              <w:rPr>
                <w:rFonts w:ascii="宋体" w:hAnsi="宋体" w:cs="宋体" w:eastAsia="宋体" w:hint="default"/>
                <w:sz w:val="18"/>
                <w:szCs w:val="18"/>
              </w:rPr>
              <w:t>%</w:t>
            </w:r>
            <w:r>
              <w:rPr>
                <w:rFonts w:ascii="宋体" w:hAnsi="宋体" w:cs="宋体" w:eastAsia="宋体" w:hint="default"/>
                <w:sz w:val="18"/>
                <w:szCs w:val="18"/>
              </w:rPr>
              <w:t>）</w:t>
            </w:r>
          </w:p>
        </w:tc>
        <w:tc>
          <w:tcPr>
            <w:tcW w:w="237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
              <w:ind w:left="6" w:right="0"/>
              <w:jc w:val="center"/>
              <w:rPr>
                <w:rFonts w:ascii="宋体" w:hAnsi="宋体" w:cs="宋体" w:eastAsia="宋体" w:hint="default"/>
                <w:sz w:val="18"/>
                <w:szCs w:val="18"/>
              </w:rPr>
            </w:pPr>
            <w:r>
              <w:rPr>
                <w:rFonts w:ascii="宋体" w:hAnsi="宋体" w:cs="宋体" w:eastAsia="宋体" w:hint="default"/>
                <w:sz w:val="18"/>
                <w:szCs w:val="18"/>
              </w:rPr>
              <w:t>年折旧</w:t>
            </w:r>
            <w:r>
              <w:rPr>
                <w:rFonts w:ascii="宋体" w:hAnsi="宋体" w:cs="宋体" w:eastAsia="宋体" w:hint="default"/>
                <w:sz w:val="18"/>
                <w:szCs w:val="18"/>
              </w:rPr>
              <w:t>(</w:t>
            </w:r>
            <w:r>
              <w:rPr>
                <w:rFonts w:ascii="宋体" w:hAnsi="宋体" w:cs="宋体" w:eastAsia="宋体" w:hint="default"/>
                <w:sz w:val="18"/>
                <w:szCs w:val="18"/>
              </w:rPr>
              <w:t>摊销</w:t>
            </w:r>
            <w:r>
              <w:rPr>
                <w:rFonts w:ascii="宋体" w:hAnsi="宋体" w:cs="宋体" w:eastAsia="宋体" w:hint="default"/>
                <w:sz w:val="18"/>
                <w:szCs w:val="18"/>
              </w:rPr>
              <w:t>)</w:t>
            </w:r>
            <w:r>
              <w:rPr>
                <w:rFonts w:ascii="宋体" w:hAnsi="宋体" w:cs="宋体" w:eastAsia="宋体" w:hint="default"/>
                <w:sz w:val="18"/>
                <w:szCs w:val="18"/>
              </w:rPr>
              <w:t>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440" w:hRule="exact"/>
        </w:trPr>
        <w:tc>
          <w:tcPr>
            <w:tcW w:w="237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27"/>
              <w:jc w:val="center"/>
              <w:rPr>
                <w:rFonts w:ascii="宋体" w:hAnsi="宋体" w:cs="宋体" w:eastAsia="宋体" w:hint="default"/>
                <w:sz w:val="18"/>
                <w:szCs w:val="18"/>
              </w:rPr>
            </w:pPr>
            <w:r>
              <w:rPr>
                <w:rFonts w:ascii="宋体"/>
                <w:sz w:val="18"/>
              </w:rPr>
              <w:t>20-50</w:t>
            </w:r>
          </w:p>
        </w:tc>
        <w:tc>
          <w:tcPr>
            <w:tcW w:w="23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sz w:val="18"/>
              </w:rPr>
              <w:t>5</w:t>
            </w:r>
          </w:p>
        </w:tc>
        <w:tc>
          <w:tcPr>
            <w:tcW w:w="237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
              <w:ind w:left="6" w:right="0"/>
              <w:jc w:val="center"/>
              <w:rPr>
                <w:rFonts w:ascii="宋体" w:hAnsi="宋体" w:cs="宋体" w:eastAsia="宋体" w:hint="default"/>
                <w:sz w:val="18"/>
                <w:szCs w:val="18"/>
              </w:rPr>
            </w:pPr>
            <w:r>
              <w:rPr>
                <w:rFonts w:ascii="宋体"/>
                <w:sz w:val="18"/>
              </w:rPr>
              <w:t>1.90-4.75</w:t>
            </w:r>
          </w:p>
        </w:tc>
      </w:tr>
    </w:tbl>
    <w:p>
      <w:pPr>
        <w:pStyle w:val="Heading4"/>
        <w:spacing w:line="240" w:lineRule="auto" w:before="46"/>
        <w:ind w:right="102"/>
        <w:jc w:val="left"/>
        <w:rPr>
          <w:b w:val="0"/>
          <w:bCs w:val="0"/>
        </w:rPr>
      </w:pPr>
      <w:bookmarkStart w:name="16、固定资产" w:id="141"/>
      <w:bookmarkEnd w:id="141"/>
      <w:r>
        <w:rPr>
          <w:b w:val="0"/>
          <w:bCs w:val="0"/>
        </w:rPr>
      </w:r>
      <w:r>
        <w:rPr>
          <w:rFonts w:ascii="宋体" w:hAnsi="宋体" w:cs="宋体" w:eastAsia="宋体" w:hint="default"/>
        </w:rPr>
        <w:t>16</w:t>
      </w:r>
      <w:r>
        <w:rPr/>
        <w:t>、固定资产</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102"/>
        <w:jc w:val="left"/>
        <w:rPr>
          <w:b w:val="0"/>
          <w:bCs w:val="0"/>
        </w:rPr>
      </w:pPr>
      <w:bookmarkStart w:name="（1）确认条件" w:id="142"/>
      <w:bookmarkEnd w:id="142"/>
      <w:r>
        <w:rPr>
          <w:b w:val="0"/>
          <w:bCs w:val="0"/>
        </w:rPr>
      </w:r>
      <w:r>
        <w:rPr/>
        <w:t>（</w:t>
      </w:r>
      <w:r>
        <w:rPr>
          <w:rFonts w:ascii="宋体" w:hAnsi="宋体" w:cs="宋体" w:eastAsia="宋体" w:hint="default"/>
        </w:rPr>
        <w:t>1</w:t>
      </w:r>
      <w:r>
        <w:rPr/>
        <w:t>）确认条件</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02" w:firstLine="420"/>
        <w:jc w:val="left"/>
      </w:pPr>
      <w:r>
        <w:rPr/>
        <w:t>固定资产是指为生产商品、提供劳务、出租或经营管理而持有的，使用寿命超过一个会计年度的有形 </w:t>
      </w:r>
      <w:r>
        <w:rPr>
          <w:spacing w:val="-1"/>
        </w:rPr>
        <w:t>资产。固定资产同时满足下列条件的，才能予以确认：</w:t>
      </w:r>
      <w:r>
        <w:rPr>
          <w:rFonts w:ascii="宋体" w:hAnsi="宋体" w:cs="宋体" w:eastAsia="宋体" w:hint="default"/>
          <w:spacing w:val="-1"/>
        </w:rPr>
        <w:t>1</w:t>
      </w:r>
      <w:r>
        <w:rPr>
          <w:spacing w:val="-1"/>
        </w:rPr>
        <w:t>）与该固定资产有关的经济利益很可能流入企业；</w:t>
      </w:r>
      <w:r>
        <w:rPr>
          <w:spacing w:val="-84"/>
        </w:rPr>
        <w:t> </w:t>
      </w:r>
      <w:r>
        <w:rPr>
          <w:spacing w:val="-84"/>
        </w:rPr>
      </w:r>
      <w:r>
        <w:rPr>
          <w:rFonts w:ascii="宋体" w:hAnsi="宋体" w:cs="宋体" w:eastAsia="宋体" w:hint="default"/>
        </w:rPr>
        <w:t>2</w:t>
      </w:r>
      <w:r>
        <w:rPr/>
        <w:t>）该固定资产的成本能够可靠地计量。</w:t>
      </w:r>
    </w:p>
    <w:p>
      <w:pPr>
        <w:pStyle w:val="Heading4"/>
        <w:spacing w:line="240" w:lineRule="auto" w:before="46"/>
        <w:ind w:left="153" w:right="102"/>
        <w:jc w:val="left"/>
        <w:rPr>
          <w:b w:val="0"/>
          <w:bCs w:val="0"/>
        </w:rPr>
      </w:pPr>
      <w:bookmarkStart w:name="（2）折旧方法" w:id="143"/>
      <w:bookmarkEnd w:id="143"/>
      <w:r>
        <w:rPr>
          <w:b w:val="0"/>
          <w:bCs w:val="0"/>
        </w:rPr>
      </w:r>
      <w:r>
        <w:rPr/>
        <w:t>（</w:t>
      </w:r>
      <w:r>
        <w:rPr>
          <w:rFonts w:ascii="宋体" w:hAnsi="宋体" w:cs="宋体" w:eastAsia="宋体" w:hint="default"/>
        </w:rPr>
        <w:t>2</w:t>
      </w:r>
      <w:r>
        <w:rPr/>
        <w:t>）折旧方法</w:t>
      </w:r>
      <w:r>
        <w:rPr>
          <w:b w:val="0"/>
          <w:bCs w:val="0"/>
        </w:rPr>
      </w:r>
    </w:p>
    <w:p>
      <w:pPr>
        <w:spacing w:line="240" w:lineRule="auto" w:before="12"/>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1915"/>
        <w:gridCol w:w="1914"/>
        <w:gridCol w:w="1914"/>
        <w:gridCol w:w="1914"/>
        <w:gridCol w:w="1913"/>
      </w:tblGrid>
      <w:tr>
        <w:trPr>
          <w:trHeight w:val="415" w:hRule="exact"/>
        </w:trPr>
        <w:tc>
          <w:tcPr>
            <w:tcW w:w="191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20-50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5.00%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sz w:val="18"/>
              </w:rPr>
              <w:t>1.90-4.75</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10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5.00%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sz w:val="18"/>
              </w:rPr>
              <w:t>9.50</w:t>
            </w:r>
          </w:p>
        </w:tc>
      </w:tr>
      <w:tr>
        <w:trPr>
          <w:trHeight w:val="408"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3-10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5.00%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sz w:val="18"/>
              </w:rPr>
              <w:t>9.50-31.67</w:t>
            </w:r>
          </w:p>
        </w:tc>
      </w:tr>
      <w:tr>
        <w:trPr>
          <w:trHeight w:val="407" w:hRule="exact"/>
        </w:trPr>
        <w:tc>
          <w:tcPr>
            <w:tcW w:w="19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5-10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5.00%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9.50-19.00</w:t>
            </w:r>
          </w:p>
        </w:tc>
      </w:tr>
      <w:tr>
        <w:trPr>
          <w:trHeight w:val="415" w:hRule="exact"/>
        </w:trPr>
        <w:tc>
          <w:tcPr>
            <w:tcW w:w="191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5.00%</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sz w:val="18"/>
              </w:rPr>
              <w:t>19.00</w:t>
            </w:r>
          </w:p>
        </w:tc>
      </w:tr>
    </w:tbl>
    <w:p>
      <w:pPr>
        <w:pStyle w:val="Heading4"/>
        <w:spacing w:line="408" w:lineRule="auto" w:before="63"/>
        <w:ind w:right="4877"/>
        <w:jc w:val="left"/>
        <w:rPr>
          <w:b w:val="0"/>
          <w:bCs w:val="0"/>
        </w:rPr>
      </w:pPr>
      <w:bookmarkStart w:name="（3）融资租入固定资产的认定依据、计价和折旧方法" w:id="144"/>
      <w:bookmarkEnd w:id="144"/>
      <w:r>
        <w:rPr>
          <w:b w:val="0"/>
          <w:bCs w:val="0"/>
        </w:rPr>
      </w:r>
      <w:r>
        <w:rPr/>
        <w:t>（</w:t>
      </w:r>
      <w:r>
        <w:rPr>
          <w:rFonts w:ascii="宋体" w:hAnsi="宋体" w:cs="宋体" w:eastAsia="宋体" w:hint="default"/>
        </w:rPr>
        <w:t>3</w:t>
      </w:r>
      <w:r>
        <w:rPr/>
        <w:t>）融资租入固定资产的认定依据、计价和折旧方法</w:t>
      </w:r>
      <w:r>
        <w:rPr>
          <w:w w:val="99"/>
        </w:rPr>
        <w:t> </w:t>
      </w:r>
      <w:bookmarkStart w:name="17、在建工程" w:id="145"/>
      <w:bookmarkEnd w:id="145"/>
      <w:r>
        <w:rPr>
          <w:w w:val="99"/>
        </w:rPr>
      </w:r>
      <w:r>
        <w:rPr>
          <w:rFonts w:ascii="宋体" w:hAnsi="宋体" w:cs="宋体" w:eastAsia="宋体" w:hint="default"/>
        </w:rPr>
        <w:t>17</w:t>
      </w:r>
      <w:r>
        <w:rPr/>
        <w:t>、在建工程</w:t>
      </w:r>
      <w:r>
        <w:rPr>
          <w:b w:val="0"/>
          <w:bCs w:val="0"/>
        </w:rPr>
      </w:r>
    </w:p>
    <w:p>
      <w:pPr>
        <w:pStyle w:val="BodyText"/>
        <w:spacing w:line="408" w:lineRule="auto"/>
        <w:ind w:left="154" w:right="211" w:firstLine="421"/>
        <w:jc w:val="both"/>
      </w:pPr>
      <w:r>
        <w:rPr>
          <w:spacing w:val="-1"/>
        </w:rPr>
        <w:t>在建工程按实际发生的成本计量。实际成本包括建筑费用、其他为使在建工程达到预定可使用状态所</w:t>
      </w:r>
      <w:r>
        <w:rPr/>
        <w:t> </w:t>
      </w:r>
      <w:r>
        <w:rPr>
          <w:spacing w:val="-1"/>
        </w:rPr>
        <w:t>发生的必要支出以及在资产达到预定可使用状态之前所发生的符合资本化条件的借款费用。在建工程在达</w:t>
      </w:r>
      <w:r>
        <w:rPr>
          <w:spacing w:val="-81"/>
        </w:rPr>
        <w:t> </w:t>
      </w:r>
      <w:r>
        <w:rPr>
          <w:spacing w:val="-81"/>
        </w:rPr>
      </w:r>
      <w:r>
        <w:rPr/>
        <w:t>到预定可使用状态时，转入固定资产并自次月起开始计提折旧。</w:t>
      </w:r>
    </w:p>
    <w:p>
      <w:pPr>
        <w:pStyle w:val="Heading4"/>
        <w:spacing w:line="240" w:lineRule="auto" w:before="46"/>
        <w:ind w:left="153" w:right="102"/>
        <w:jc w:val="left"/>
        <w:rPr>
          <w:b w:val="0"/>
          <w:bCs w:val="0"/>
        </w:rPr>
      </w:pPr>
      <w:bookmarkStart w:name="18、借款费用" w:id="146"/>
      <w:bookmarkEnd w:id="146"/>
      <w:r>
        <w:rPr>
          <w:b w:val="0"/>
          <w:bCs w:val="0"/>
        </w:rPr>
      </w:r>
      <w:r>
        <w:rPr>
          <w:rFonts w:ascii="宋体" w:hAnsi="宋体" w:cs="宋体" w:eastAsia="宋体" w:hint="default"/>
        </w:rPr>
        <w:t>18</w:t>
      </w:r>
      <w:r>
        <w:rPr/>
        <w:t>、借款费用</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04" w:firstLine="420"/>
        <w:jc w:val="left"/>
      </w:pPr>
      <w:r>
        <w:rPr/>
        <w:t>发生的可直接归属于需要经过相当长时间的购建活动才能达到预定可使用状态之固定资产的购建的 </w:t>
      </w:r>
      <w:r>
        <w:rPr>
          <w:spacing w:val="-3"/>
        </w:rPr>
        <w:t>借款费用，在资产支出及借款费用已经发生、为使资产达到预定可使用状态所必要的购建活动已经开始时，</w:t>
      </w:r>
      <w:r>
        <w:rPr>
          <w:spacing w:val="-92"/>
        </w:rPr>
        <w:t> </w:t>
      </w:r>
      <w:r>
        <w:rPr>
          <w:spacing w:val="-92"/>
        </w:rPr>
      </w:r>
      <w:r>
        <w:rPr/>
        <w:t>开始资本化并计入该资产的成本。当购建的资产达到预定可使用状态时停止资本化，其后发生的借款费用</w:t>
      </w:r>
      <w:r>
        <w:rPr/>
        <w:t> 计入当期损益。如果资产的购建活动发生非正常中断，并且中断时间连续超过</w:t>
      </w:r>
      <w:r>
        <w:rPr>
          <w:rFonts w:ascii="宋体" w:hAnsi="宋体" w:cs="宋体" w:eastAsia="宋体" w:hint="default"/>
        </w:rPr>
        <w:t>3</w:t>
      </w:r>
      <w:r>
        <w:rPr/>
        <w:t>个月，暂停借款费用的资 本化，直至资产的购建活动重新开始。</w:t>
      </w:r>
    </w:p>
    <w:p>
      <w:pPr>
        <w:spacing w:after="0" w:line="408" w:lineRule="auto"/>
        <w:jc w:val="left"/>
        <w:sectPr>
          <w:pgSz w:w="11910" w:h="16840"/>
          <w:pgMar w:header="747" w:footer="1000" w:top="1040" w:bottom="118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210" w:firstLine="420"/>
        <w:jc w:val="both"/>
      </w:pPr>
      <w:r>
        <w:rPr>
          <w:spacing w:val="-1"/>
        </w:rPr>
        <w:t>在资本化期间内，专门借款（指为购建或者生产符合资本化条件的资产而专门借入的款项）以专门借</w:t>
      </w:r>
      <w:r>
        <w:rPr/>
        <w:t> </w:t>
      </w:r>
      <w:r>
        <w:rPr>
          <w:spacing w:val="-1"/>
        </w:rPr>
        <w:t>款当期实际发生的利息费用，减去将尚未动用的借款资金存入银行取得的利息收入或进行暂时性投资取得</w:t>
      </w:r>
      <w:r>
        <w:rPr>
          <w:spacing w:val="-80"/>
        </w:rPr>
        <w:t> </w:t>
      </w:r>
      <w:r>
        <w:rPr>
          <w:spacing w:val="-80"/>
        </w:rPr>
      </w:r>
      <w:r>
        <w:rPr>
          <w:spacing w:val="-1"/>
        </w:rPr>
        <w:t>的投资收益后确定应予资本化的利息金额；一般借款则根据累计资产支出超过专门借款部分的资产支出加</w:t>
      </w:r>
      <w:r>
        <w:rPr>
          <w:spacing w:val="-81"/>
        </w:rPr>
        <w:t> </w:t>
      </w:r>
      <w:r>
        <w:rPr>
          <w:spacing w:val="-81"/>
        </w:rPr>
      </w:r>
      <w:r>
        <w:rPr>
          <w:spacing w:val="-1"/>
        </w:rPr>
        <w:t>权平均数乘以所占用一般借款的资本化率，计算确定一般借款应予资本化的利息金额。资本化率根据一般</w:t>
      </w:r>
      <w:r>
        <w:rPr>
          <w:spacing w:val="-81"/>
        </w:rPr>
        <w:t> </w:t>
      </w:r>
      <w:r>
        <w:rPr>
          <w:spacing w:val="-81"/>
        </w:rPr>
      </w:r>
      <w:r>
        <w:rPr/>
        <w:t>借款加权平均利率计算确定。</w:t>
      </w:r>
    </w:p>
    <w:p>
      <w:pPr>
        <w:pStyle w:val="BodyText"/>
        <w:spacing w:line="408" w:lineRule="auto"/>
        <w:ind w:right="102" w:firstLine="420"/>
        <w:jc w:val="left"/>
      </w:pPr>
      <w:r>
        <w:rPr>
          <w:spacing w:val="-1"/>
        </w:rPr>
        <w:t>借款存在折价或者溢价的，按照实际利率法确定每一会计期间应摊销的折价或者溢价金额，调整每期</w:t>
      </w:r>
      <w:r>
        <w:rPr/>
        <w:t> 利息金额。</w:t>
      </w:r>
    </w:p>
    <w:p>
      <w:pPr>
        <w:pStyle w:val="Heading4"/>
        <w:spacing w:line="240" w:lineRule="auto" w:before="46"/>
        <w:ind w:left="153" w:right="102"/>
        <w:jc w:val="left"/>
        <w:rPr>
          <w:b w:val="0"/>
          <w:bCs w:val="0"/>
        </w:rPr>
      </w:pPr>
      <w:bookmarkStart w:name="19、生物资产" w:id="147"/>
      <w:bookmarkEnd w:id="147"/>
      <w:r>
        <w:rPr>
          <w:b w:val="0"/>
          <w:bCs w:val="0"/>
        </w:rPr>
      </w:r>
      <w:r>
        <w:rPr>
          <w:rFonts w:ascii="宋体" w:hAnsi="宋体" w:cs="宋体" w:eastAsia="宋体" w:hint="default"/>
        </w:rPr>
        <w:t>19</w:t>
      </w:r>
      <w:r>
        <w:rPr/>
        <w:t>、生物资产</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624" w:firstLine="424"/>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0、油气资产" w:id="148"/>
      <w:bookmarkEnd w:id="148"/>
      <w:r>
        <w:rPr>
          <w:rFonts w:ascii="宋体" w:hAnsi="宋体" w:cs="宋体" w:eastAsia="宋体" w:hint="default"/>
          <w:sz w:val="21"/>
          <w:szCs w:val="21"/>
        </w:rPr>
      </w:r>
      <w:r>
        <w:rPr>
          <w:rFonts w:ascii="宋体" w:hAnsi="宋体" w:cs="宋体" w:eastAsia="宋体"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408" w:lineRule="auto" w:before="46"/>
        <w:ind w:left="154" w:right="7624" w:firstLine="424"/>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1、无形资产" w:id="149"/>
      <w:bookmarkEnd w:id="149"/>
      <w:r>
        <w:rPr>
          <w:rFonts w:ascii="宋体" w:hAnsi="宋体" w:cs="宋体" w:eastAsia="宋体" w:hint="default"/>
          <w:sz w:val="21"/>
          <w:szCs w:val="21"/>
        </w:rPr>
      </w:r>
      <w:r>
        <w:rPr>
          <w:rFonts w:ascii="宋体" w:hAnsi="宋体" w:cs="宋体" w:eastAsia="宋体"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408" w:lineRule="auto" w:before="46"/>
        <w:ind w:left="528" w:right="207" w:hanging="375"/>
        <w:jc w:val="left"/>
        <w:rPr>
          <w:rFonts w:ascii="宋体" w:hAnsi="宋体" w:cs="宋体" w:eastAsia="宋体" w:hint="default"/>
          <w:sz w:val="21"/>
          <w:szCs w:val="21"/>
        </w:rPr>
      </w:pPr>
      <w:bookmarkStart w:name="（1）计价方法、使用寿命、减值测试" w:id="150"/>
      <w:bookmarkEnd w:id="150"/>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pacing w:val="-2"/>
          <w:sz w:val="21"/>
          <w:szCs w:val="21"/>
        </w:rPr>
        <w:t>无形资产包括土地使用权、专利权及非专利技术、通过建设经营移交方式</w:t>
      </w:r>
      <w:r>
        <w:rPr>
          <w:rFonts w:ascii="宋体" w:hAnsi="宋体" w:cs="宋体" w:eastAsia="宋体" w:hint="default"/>
          <w:spacing w:val="-2"/>
          <w:sz w:val="21"/>
          <w:szCs w:val="21"/>
        </w:rPr>
        <w:t>(BOT)</w:t>
      </w:r>
      <w:r>
        <w:rPr>
          <w:rFonts w:ascii="宋体" w:hAnsi="宋体" w:cs="宋体" w:eastAsia="宋体" w:hint="default"/>
          <w:spacing w:val="-2"/>
          <w:sz w:val="21"/>
          <w:szCs w:val="21"/>
        </w:rPr>
        <w:t>取得的资产等。无形资</w:t>
      </w:r>
    </w:p>
    <w:p>
      <w:pPr>
        <w:pStyle w:val="BodyText"/>
        <w:spacing w:line="408" w:lineRule="auto"/>
        <w:ind w:right="102"/>
        <w:jc w:val="left"/>
      </w:pPr>
      <w:r>
        <w:rPr>
          <w:spacing w:val="-1"/>
        </w:rPr>
        <w:t>产以实际成本计量。公司制改建时国有股股东投入的无形资产，按国有资产管理部门确认的评估值作为入</w:t>
      </w:r>
      <w:r>
        <w:rPr>
          <w:spacing w:val="-81"/>
        </w:rPr>
        <w:t> </w:t>
      </w:r>
      <w:r>
        <w:rPr>
          <w:spacing w:val="-81"/>
        </w:rPr>
      </w:r>
      <w:r>
        <w:rPr/>
        <w:t>账价值。</w:t>
      </w:r>
    </w:p>
    <w:p>
      <w:pPr>
        <w:pStyle w:val="BodyText"/>
        <w:spacing w:line="408" w:lineRule="auto"/>
        <w:ind w:left="154" w:right="102" w:firstLine="374"/>
        <w:jc w:val="left"/>
      </w:pPr>
      <w:r>
        <w:rPr/>
        <w:t>土地使用权按使用年限</w:t>
      </w:r>
      <w:r>
        <w:rPr>
          <w:rFonts w:ascii="宋体" w:hAnsi="宋体" w:cs="宋体" w:eastAsia="宋体" w:hint="default"/>
        </w:rPr>
        <w:t>50</w:t>
      </w:r>
      <w:r>
        <w:rPr/>
        <w:t>年平均摊销。外购土地及建筑物的价款难以在土地使用权与建筑物之间合理 分配的，全部作为固定资产。专利权按法律规定的有效年限</w:t>
      </w:r>
      <w:r>
        <w:rPr>
          <w:rFonts w:ascii="宋体" w:hAnsi="宋体" w:cs="宋体" w:eastAsia="宋体" w:hint="default"/>
        </w:rPr>
        <w:t>10</w:t>
      </w:r>
      <w:r>
        <w:rPr/>
        <w:t>年平均摊销。软件按</w:t>
      </w:r>
      <w:r>
        <w:rPr>
          <w:rFonts w:ascii="宋体" w:hAnsi="宋体" w:cs="宋体" w:eastAsia="宋体" w:hint="default"/>
        </w:rPr>
        <w:t>10</w:t>
      </w:r>
      <w:r>
        <w:rPr/>
        <w:t>年平均摊销。</w:t>
      </w:r>
    </w:p>
    <w:p>
      <w:pPr>
        <w:pStyle w:val="BodyText"/>
        <w:spacing w:line="240" w:lineRule="auto"/>
        <w:ind w:left="528" w:right="102"/>
        <w:jc w:val="left"/>
      </w:pPr>
      <w:r>
        <w:rPr/>
        <w:t>对使用寿命有限的无形资产的预计使用寿命及摊销方法于每年年度终了进行复核并作适当调整。</w:t>
      </w:r>
    </w:p>
    <w:p>
      <w:pPr>
        <w:spacing w:line="240" w:lineRule="auto" w:before="10"/>
        <w:rPr>
          <w:rFonts w:ascii="宋体" w:hAnsi="宋体" w:cs="宋体" w:eastAsia="宋体" w:hint="default"/>
          <w:sz w:val="14"/>
          <w:szCs w:val="14"/>
        </w:rPr>
      </w:pPr>
    </w:p>
    <w:p>
      <w:pPr>
        <w:spacing w:line="408" w:lineRule="auto" w:before="0"/>
        <w:ind w:left="528" w:right="102" w:hanging="375"/>
        <w:jc w:val="left"/>
        <w:rPr>
          <w:rFonts w:ascii="宋体" w:hAnsi="宋体" w:cs="宋体" w:eastAsia="宋体" w:hint="default"/>
          <w:sz w:val="21"/>
          <w:szCs w:val="21"/>
        </w:rPr>
      </w:pPr>
      <w:bookmarkStart w:name="（2）内部研究开发支出会计政策" w:id="151"/>
      <w:bookmarkEnd w:id="151"/>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根据内部研究开发项目支出的性质以及研发活动最终形成无形资产是否具有较大不确定性，分为研究</w:t>
      </w:r>
    </w:p>
    <w:p>
      <w:pPr>
        <w:pStyle w:val="BodyText"/>
        <w:spacing w:line="408" w:lineRule="auto"/>
        <w:ind w:left="528" w:right="98" w:hanging="375"/>
        <w:jc w:val="left"/>
      </w:pPr>
      <w:r>
        <w:rPr/>
        <w:t>阶段支出和开发阶段支出。 </w:t>
      </w:r>
      <w:r>
        <w:rPr>
          <w:spacing w:val="-2"/>
        </w:rPr>
        <w:t>研究阶段的支出，于发生时计入当期损益；开发阶段的支出，同时满足下列条件的，确认为无形资产：</w:t>
      </w:r>
      <w:r>
        <w:rPr/>
        <w:t> </w:t>
      </w:r>
      <w:r>
        <w:rPr>
          <w:rFonts w:ascii="宋体" w:hAnsi="宋体" w:cs="宋体" w:eastAsia="宋体" w:hint="default"/>
        </w:rPr>
        <w:t>1</w:t>
      </w:r>
      <w:r>
        <w:rPr/>
        <w:t>）完成该无形资产以使其能够使用或出售在技术上具有可行性；</w:t>
      </w:r>
    </w:p>
    <w:p>
      <w:pPr>
        <w:pStyle w:val="BodyText"/>
        <w:spacing w:line="240" w:lineRule="auto"/>
        <w:ind w:left="528" w:right="102"/>
        <w:jc w:val="left"/>
      </w:pPr>
      <w:r>
        <w:rPr>
          <w:rFonts w:ascii="宋体" w:hAnsi="宋体" w:cs="宋体" w:eastAsia="宋体" w:hint="default"/>
        </w:rPr>
        <w:t>2</w:t>
      </w:r>
      <w:r>
        <w:rPr/>
        <w:t>）管理层具有完成该无形资产并使用或出售的意图；</w:t>
      </w:r>
    </w:p>
    <w:p>
      <w:pPr>
        <w:spacing w:line="240" w:lineRule="auto" w:before="10"/>
        <w:rPr>
          <w:rFonts w:ascii="宋体" w:hAnsi="宋体" w:cs="宋体" w:eastAsia="宋体" w:hint="default"/>
          <w:sz w:val="14"/>
          <w:szCs w:val="14"/>
        </w:rPr>
      </w:pPr>
    </w:p>
    <w:p>
      <w:pPr>
        <w:pStyle w:val="BodyText"/>
        <w:spacing w:line="240" w:lineRule="auto" w:before="0"/>
        <w:ind w:left="528" w:right="102"/>
        <w:jc w:val="left"/>
      </w:pPr>
      <w:r>
        <w:rPr>
          <w:rFonts w:ascii="宋体" w:hAnsi="宋体" w:cs="宋体" w:eastAsia="宋体" w:hint="default"/>
        </w:rPr>
        <w:t>3</w:t>
      </w:r>
      <w:r>
        <w:rPr/>
        <w:t>）能够证明该无形资产将如何产生经济利益；</w:t>
      </w:r>
    </w:p>
    <w:p>
      <w:pPr>
        <w:spacing w:line="240" w:lineRule="auto" w:before="10"/>
        <w:rPr>
          <w:rFonts w:ascii="宋体" w:hAnsi="宋体" w:cs="宋体" w:eastAsia="宋体" w:hint="default"/>
          <w:sz w:val="14"/>
          <w:szCs w:val="14"/>
        </w:rPr>
      </w:pPr>
    </w:p>
    <w:p>
      <w:pPr>
        <w:pStyle w:val="BodyText"/>
        <w:spacing w:line="408" w:lineRule="auto" w:before="0"/>
        <w:ind w:left="154" w:right="203" w:firstLine="374"/>
        <w:jc w:val="left"/>
      </w:pPr>
      <w:r>
        <w:rPr>
          <w:rFonts w:ascii="宋体" w:hAnsi="宋体" w:cs="宋体" w:eastAsia="宋体" w:hint="default"/>
          <w:spacing w:val="-2"/>
        </w:rPr>
        <w:t>4</w:t>
      </w:r>
      <w:r>
        <w:rPr>
          <w:spacing w:val="-2"/>
        </w:rPr>
        <w:t>）有足够的技术、财务资源和其他资源支持，以完成该无形资产的开发，并有能力使用或出售该无形</w:t>
      </w:r>
      <w:r>
        <w:rPr/>
        <w:t> 资产；</w:t>
      </w:r>
    </w:p>
    <w:p>
      <w:pPr>
        <w:pStyle w:val="BodyText"/>
        <w:spacing w:line="408" w:lineRule="auto"/>
        <w:ind w:left="528" w:right="102"/>
        <w:jc w:val="left"/>
      </w:pPr>
      <w:r>
        <w:rPr>
          <w:rFonts w:ascii="宋体" w:hAnsi="宋体" w:cs="宋体" w:eastAsia="宋体" w:hint="default"/>
        </w:rPr>
        <w:t>5</w:t>
      </w:r>
      <w:r>
        <w:rPr/>
        <w:t>）归属于该无形资产开发阶段的支出能够可靠地计量。 不满足上述条件的开发阶段的支出，于发生时计入当期损益。前期已计入损益的开发支出不在以后期</w:t>
      </w:r>
    </w:p>
    <w:p>
      <w:pPr>
        <w:spacing w:after="0" w:line="408" w:lineRule="auto"/>
        <w:jc w:val="left"/>
        <w:sectPr>
          <w:pgSz w:w="11910" w:h="16840"/>
          <w:pgMar w:header="747" w:footer="1000" w:top="1040" w:bottom="118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0"/>
        <w:jc w:val="left"/>
      </w:pPr>
      <w:r>
        <w:rPr>
          <w:spacing w:val="-1"/>
        </w:rPr>
        <w:t>间确认为资产。已资本化的开发阶段的支出在资产负债表上列示为开发支出，自该项目达到预定可使用状</w:t>
      </w:r>
      <w:r>
        <w:rPr>
          <w:spacing w:val="-81"/>
        </w:rPr>
        <w:t> </w:t>
      </w:r>
      <w:r>
        <w:rPr>
          <w:spacing w:val="-81"/>
        </w:rPr>
      </w:r>
      <w:r>
        <w:rPr/>
        <w:t>态之日起转为无形资产。</w:t>
      </w:r>
    </w:p>
    <w:p>
      <w:pPr>
        <w:spacing w:line="408" w:lineRule="auto" w:before="46"/>
        <w:ind w:left="153" w:right="2469" w:firstLine="374"/>
        <w:jc w:val="left"/>
        <w:rPr>
          <w:rFonts w:ascii="宋体" w:hAnsi="宋体" w:cs="宋体" w:eastAsia="宋体" w:hint="default"/>
          <w:sz w:val="21"/>
          <w:szCs w:val="21"/>
        </w:rPr>
      </w:pPr>
      <w:r>
        <w:rPr>
          <w:rFonts w:ascii="宋体" w:hAnsi="宋体" w:cs="宋体" w:eastAsia="宋体" w:hint="default"/>
          <w:sz w:val="21"/>
          <w:szCs w:val="21"/>
        </w:rPr>
        <w:t>当开发支出的可收回金额低于其账面价值时，账面价值减记至可收回金额。 </w:t>
      </w:r>
      <w:bookmarkStart w:name="22、长期资产减值" w:id="152"/>
      <w:bookmarkEnd w:id="152"/>
      <w:r>
        <w:rPr>
          <w:rFonts w:ascii="宋体" w:hAnsi="宋体" w:cs="宋体" w:eastAsia="宋体" w:hint="default"/>
          <w:sz w:val="21"/>
          <w:szCs w:val="21"/>
        </w:rPr>
      </w:r>
      <w:r>
        <w:rPr>
          <w:rFonts w:ascii="宋体" w:hAnsi="宋体" w:cs="宋体" w:eastAsia="宋体" w:hint="default"/>
          <w:b/>
          <w:bCs/>
          <w:sz w:val="21"/>
          <w:szCs w:val="21"/>
        </w:rPr>
        <w:t>22</w:t>
      </w:r>
      <w:r>
        <w:rPr>
          <w:rFonts w:ascii="宋体" w:hAnsi="宋体" w:cs="宋体" w:eastAsia="宋体" w:hint="default"/>
          <w:b/>
          <w:bCs/>
          <w:sz w:val="21"/>
          <w:szCs w:val="21"/>
        </w:rPr>
        <w:t>、长期资产减值</w:t>
      </w:r>
      <w:r>
        <w:rPr>
          <w:rFonts w:ascii="宋体" w:hAnsi="宋体" w:cs="宋体" w:eastAsia="宋体" w:hint="default"/>
          <w:sz w:val="21"/>
          <w:szCs w:val="21"/>
        </w:rPr>
      </w:r>
    </w:p>
    <w:p>
      <w:pPr>
        <w:pStyle w:val="BodyText"/>
        <w:spacing w:line="408" w:lineRule="auto"/>
        <w:ind w:right="151" w:firstLine="374"/>
        <w:jc w:val="both"/>
      </w:pPr>
      <w:r>
        <w:rPr/>
        <w:t>在财务报表中单独列示的商誉和使用寿命不确定的无形资产，无论是否存在减值迹象，至少每年进行 </w:t>
      </w:r>
      <w:r>
        <w:rPr>
          <w:spacing w:val="-1"/>
        </w:rPr>
        <w:t>减值测试。固定资产、无形资产、以成本模式计量的投资性房地产及长期股权投资等，于资产负债表日存</w:t>
      </w:r>
      <w:r>
        <w:rPr>
          <w:spacing w:val="-86"/>
        </w:rPr>
        <w:t> </w:t>
      </w:r>
      <w:r>
        <w:rPr>
          <w:spacing w:val="-86"/>
        </w:rPr>
      </w:r>
      <w:r>
        <w:rPr>
          <w:spacing w:val="-1"/>
        </w:rPr>
        <w:t>在减值迹象的，进行减值测试。减值测试结果表明资产的可收回金额低于其账面价值的，按其差额计提减</w:t>
      </w:r>
      <w:r>
        <w:rPr>
          <w:spacing w:val="-83"/>
        </w:rPr>
        <w:t> </w:t>
      </w:r>
      <w:r>
        <w:rPr>
          <w:spacing w:val="-83"/>
        </w:rPr>
      </w:r>
      <w:r>
        <w:rPr>
          <w:spacing w:val="-1"/>
        </w:rPr>
        <w:t>值准备并计入减值损失。可收回金额为资产的公允价值减去处置费用后的净额与资产预计未来现金流量的</w:t>
      </w:r>
      <w:r>
        <w:rPr>
          <w:spacing w:val="-81"/>
        </w:rPr>
        <w:t> </w:t>
      </w:r>
      <w:r>
        <w:rPr>
          <w:spacing w:val="-81"/>
        </w:rPr>
      </w:r>
      <w:r>
        <w:rPr>
          <w:spacing w:val="-1"/>
        </w:rPr>
        <w:t>现值两者之间的较高者。资产减值准备按单项资产为基础计算并确认，如果难以对单项资产的可收回金额</w:t>
      </w:r>
      <w:r>
        <w:rPr>
          <w:spacing w:val="-81"/>
        </w:rPr>
        <w:t> </w:t>
      </w:r>
      <w:r>
        <w:rPr>
          <w:spacing w:val="-81"/>
        </w:rPr>
      </w:r>
      <w:r>
        <w:rPr>
          <w:spacing w:val="-1"/>
        </w:rPr>
        <w:t>进行估计的，以该资产所属的资产组确定资产组的可收回金额。资产组是能够独立产生现金流入的最小资</w:t>
      </w:r>
      <w:r>
        <w:rPr>
          <w:spacing w:val="-81"/>
        </w:rPr>
        <w:t> </w:t>
      </w:r>
      <w:r>
        <w:rPr>
          <w:spacing w:val="-81"/>
        </w:rPr>
      </w:r>
      <w:r>
        <w:rPr/>
        <w:t>产组合。前述资产减值损失一经确认，如果在以后期间价值得以恢复，也不予转回。</w:t>
      </w:r>
    </w:p>
    <w:p>
      <w:pPr>
        <w:pStyle w:val="BodyText"/>
        <w:spacing w:line="408" w:lineRule="auto"/>
        <w:ind w:left="528" w:right="0" w:hanging="375"/>
        <w:jc w:val="left"/>
      </w:pPr>
      <w:bookmarkStart w:name="23、长期待摊费用" w:id="153"/>
      <w:bookmarkEnd w:id="153"/>
      <w:r>
        <w:rPr/>
      </w:r>
      <w:r>
        <w:rPr>
          <w:rFonts w:ascii="宋体" w:hAnsi="宋体" w:cs="宋体" w:eastAsia="宋体" w:hint="default"/>
          <w:b/>
          <w:bCs/>
        </w:rPr>
        <w:t>23</w:t>
      </w:r>
      <w:r>
        <w:rPr>
          <w:rFonts w:ascii="宋体" w:hAnsi="宋体" w:cs="宋体" w:eastAsia="宋体" w:hint="default"/>
          <w:b/>
          <w:bCs/>
        </w:rPr>
        <w:t>、长期待摊费用</w:t>
      </w:r>
      <w:r>
        <w:rPr>
          <w:rFonts w:ascii="宋体" w:hAnsi="宋体" w:cs="宋体" w:eastAsia="宋体" w:hint="default"/>
          <w:b/>
          <w:bCs/>
          <w:w w:val="99"/>
        </w:rPr>
        <w:t> </w:t>
      </w:r>
      <w:r>
        <w:rPr/>
        <w:t>长期待摊费用包括经营租入固定资产改良及其他已经发生但应由本期和以后各期负担的分摊期限在一</w:t>
      </w:r>
    </w:p>
    <w:p>
      <w:pPr>
        <w:pStyle w:val="BodyText"/>
        <w:spacing w:line="408" w:lineRule="auto"/>
        <w:ind w:right="953"/>
        <w:jc w:val="left"/>
        <w:rPr>
          <w:rFonts w:ascii="宋体" w:hAnsi="宋体" w:cs="宋体" w:eastAsia="宋体" w:hint="default"/>
        </w:rPr>
      </w:pPr>
      <w:r>
        <w:rPr/>
        <w:t>年以上的各项费用，按预计受益期间分期平均摊销，并以实际支出减去累计摊销后的净额列示。 </w:t>
      </w:r>
      <w:bookmarkStart w:name="24、职工薪酬" w:id="154"/>
      <w:bookmarkEnd w:id="154"/>
      <w:r>
        <w:rPr/>
      </w:r>
      <w:r>
        <w:rPr>
          <w:rFonts w:ascii="宋体" w:hAnsi="宋体" w:cs="宋体" w:eastAsia="宋体" w:hint="default"/>
          <w:b/>
          <w:bCs/>
        </w:rPr>
        <w:t>24</w:t>
      </w:r>
      <w:r>
        <w:rPr>
          <w:rFonts w:ascii="宋体" w:hAnsi="宋体" w:cs="宋体" w:eastAsia="宋体" w:hint="default"/>
          <w:b/>
          <w:bCs/>
        </w:rPr>
        <w:t>、职工薪酬</w:t>
      </w:r>
      <w:r>
        <w:rPr>
          <w:rFonts w:ascii="宋体" w:hAnsi="宋体" w:cs="宋体" w:eastAsia="宋体" w:hint="default"/>
        </w:rPr>
      </w:r>
    </w:p>
    <w:p>
      <w:pPr>
        <w:spacing w:line="408" w:lineRule="auto" w:before="46"/>
        <w:ind w:left="528" w:right="0" w:hanging="375"/>
        <w:jc w:val="left"/>
        <w:rPr>
          <w:rFonts w:ascii="宋体" w:hAnsi="宋体" w:cs="宋体" w:eastAsia="宋体" w:hint="default"/>
          <w:sz w:val="21"/>
          <w:szCs w:val="21"/>
        </w:rPr>
      </w:pPr>
      <w:bookmarkStart w:name="（1）短期薪酬的会计处理方法" w:id="155"/>
      <w:bookmarkEnd w:id="155"/>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在职工为公司提供服务的会计期间，将实际发生的短期薪酬确认为负债，并计入当期损益或相关资产</w:t>
      </w:r>
    </w:p>
    <w:p>
      <w:pPr>
        <w:pStyle w:val="BodyText"/>
        <w:spacing w:line="408" w:lineRule="auto"/>
        <w:ind w:left="0" w:right="130"/>
        <w:jc w:val="right"/>
      </w:pPr>
      <w:r>
        <w:rPr>
          <w:spacing w:val="-1"/>
        </w:rPr>
        <w:t>成本。发生的职工福利费，在实际发生时根据实际发生额计入当期损益或相关资产成本。职工福利费为非</w:t>
      </w:r>
      <w:r>
        <w:rPr/>
        <w:t> </w:t>
      </w:r>
      <w:r>
        <w:rPr>
          <w:spacing w:val="-1"/>
        </w:rPr>
        <w:t>货币性福利的，按照公允价值计量。为职工缴纳的医疗保险费、工伤保险费、生育保险费等社会保险费和</w:t>
      </w:r>
      <w:r>
        <w:rPr/>
        <w:t> </w:t>
      </w:r>
      <w:r>
        <w:rPr>
          <w:spacing w:val="-1"/>
        </w:rPr>
        <w:t>住房公积金，以及按规定提取的工会经费和职工教育经费，在职工为公司提供服务的会计期间，根据规定</w:t>
      </w:r>
      <w:r>
        <w:rPr/>
        <w:t> 的计提基础和计提比例计算确定相应的职工薪酬金额，并确认相应负债，计入当期损益或相关资产成本。 在职工提供服务从而增加了其未来享有的带薪缺勤权利时，确认与累积带薪缺勤相关的职工薪酬，并 </w:t>
      </w:r>
      <w:r>
        <w:rPr>
          <w:spacing w:val="-1"/>
        </w:rPr>
        <w:t>以累积未行使权利而增加的预期支付金额计量。在职工实际发生缺勤的会计期间确认与非累积带薪缺勤相</w:t>
      </w:r>
    </w:p>
    <w:p>
      <w:pPr>
        <w:pStyle w:val="BodyText"/>
        <w:spacing w:line="408" w:lineRule="auto"/>
        <w:ind w:left="528" w:right="3098" w:hanging="375"/>
        <w:jc w:val="left"/>
      </w:pPr>
      <w:r>
        <w:rPr/>
        <w:t>关的职工薪酬。 利润分享计划同时满足下列条件时，公司确认相关的应付职工薪酬： </w:t>
      </w:r>
      <w:r>
        <w:rPr>
          <w:rFonts w:ascii="宋体" w:hAnsi="宋体" w:cs="宋体" w:eastAsia="宋体" w:hint="default"/>
        </w:rPr>
        <w:t>1</w:t>
      </w:r>
      <w:r>
        <w:rPr/>
        <w:t>）因过去事项导致现在具有支付职工薪酬的法定义务或推定义务；</w:t>
      </w:r>
    </w:p>
    <w:p>
      <w:pPr>
        <w:pStyle w:val="BodyText"/>
        <w:spacing w:line="240" w:lineRule="auto"/>
        <w:ind w:left="528" w:right="0"/>
        <w:jc w:val="left"/>
      </w:pPr>
      <w:r>
        <w:rPr>
          <w:rFonts w:ascii="宋体" w:hAnsi="宋体" w:cs="宋体" w:eastAsia="宋体" w:hint="default"/>
        </w:rPr>
        <w:t>2</w:t>
      </w:r>
      <w:r>
        <w:rPr/>
        <w:t>）因利润分享计划所产生的应付职工薪酬义务金额能够可靠估计。</w:t>
      </w:r>
    </w:p>
    <w:p>
      <w:pPr>
        <w:spacing w:line="240" w:lineRule="auto" w:before="10"/>
        <w:rPr>
          <w:rFonts w:ascii="宋体" w:hAnsi="宋体" w:cs="宋体" w:eastAsia="宋体" w:hint="default"/>
          <w:sz w:val="14"/>
          <w:szCs w:val="14"/>
        </w:rPr>
      </w:pPr>
    </w:p>
    <w:p>
      <w:pPr>
        <w:spacing w:line="408" w:lineRule="auto" w:before="0"/>
        <w:ind w:left="528" w:right="6716" w:hanging="375"/>
        <w:jc w:val="left"/>
        <w:rPr>
          <w:rFonts w:ascii="宋体" w:hAnsi="宋体" w:cs="宋体" w:eastAsia="宋体" w:hint="default"/>
          <w:sz w:val="21"/>
          <w:szCs w:val="21"/>
        </w:rPr>
      </w:pPr>
      <w:bookmarkStart w:name="（2）离职后福利的会计处理方法" w:id="156"/>
      <w:bookmarkEnd w:id="156"/>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）设定提存计划</w:t>
      </w:r>
    </w:p>
    <w:p>
      <w:pPr>
        <w:pStyle w:val="BodyText"/>
        <w:spacing w:line="240" w:lineRule="auto"/>
        <w:ind w:left="0" w:right="152"/>
        <w:jc w:val="right"/>
      </w:pPr>
      <w:r>
        <w:rPr/>
        <w:t>公司在职工为其提供服务的会计期间，将根据设定提存计划计算的应缴存金额确认为负债，并计入当</w:t>
      </w:r>
    </w:p>
    <w:p>
      <w:pPr>
        <w:spacing w:after="0" w:line="240" w:lineRule="auto"/>
        <w:jc w:val="right"/>
        <w:sectPr>
          <w:footerReference w:type="default" r:id="rId29"/>
          <w:pgSz w:w="11910" w:h="16840"/>
          <w:pgMar w:footer="1000" w:header="747" w:top="1040" w:bottom="1180" w:left="980" w:right="980"/>
          <w:pgNumType w:start="107"/>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211"/>
        <w:jc w:val="both"/>
      </w:pPr>
      <w:r>
        <w:rPr>
          <w:spacing w:val="-1"/>
        </w:rPr>
        <w:t>期损益或相关资产成本。根据设定提存计划，预期不会在职工提供相关服务的年度报告期结束后十二个月</w:t>
      </w:r>
      <w:r>
        <w:rPr>
          <w:spacing w:val="-81"/>
        </w:rPr>
        <w:t> </w:t>
      </w:r>
      <w:r>
        <w:rPr>
          <w:spacing w:val="-81"/>
        </w:rPr>
      </w:r>
      <w:r>
        <w:rPr/>
        <w:t>内支付全部应缴存金额的，公司将全部应缴存金额以折现后的金额计量应付职工薪酬。</w:t>
      </w:r>
    </w:p>
    <w:p>
      <w:pPr>
        <w:pStyle w:val="BodyText"/>
        <w:spacing w:line="408" w:lineRule="auto"/>
        <w:ind w:left="528" w:right="4628"/>
        <w:jc w:val="left"/>
      </w:pPr>
      <w:r>
        <w:rPr>
          <w:rFonts w:ascii="宋体" w:hAnsi="宋体" w:cs="宋体" w:eastAsia="宋体" w:hint="default"/>
        </w:rPr>
        <w:t>2</w:t>
      </w:r>
      <w:r>
        <w:rPr/>
        <w:t>）设定受益计划 公司对设定受益计划的会计处理包括下列四个步骤：</w:t>
      </w:r>
    </w:p>
    <w:p>
      <w:pPr>
        <w:pStyle w:val="BodyText"/>
        <w:spacing w:line="408" w:lineRule="auto"/>
        <w:ind w:right="211" w:firstLine="374"/>
        <w:jc w:val="both"/>
      </w:pPr>
      <w:r>
        <w:rPr/>
        <w:t>①根据预期累计福利单位法，采用无偏且相互一致的精算假设对有关人口统计变量和财务变量等做出 </w:t>
      </w:r>
      <w:r>
        <w:rPr>
          <w:spacing w:val="-1"/>
        </w:rPr>
        <w:t>估计，计量设定受益计划所产生的义务，并确定相关义务的归属期间。公司将设定受益计划所产生的义务</w:t>
      </w:r>
      <w:r>
        <w:rPr>
          <w:spacing w:val="-83"/>
        </w:rPr>
        <w:t> </w:t>
      </w:r>
      <w:r>
        <w:rPr>
          <w:spacing w:val="-83"/>
        </w:rPr>
      </w:r>
      <w:r>
        <w:rPr/>
        <w:t>予以折现，以确定设定受益计划义务的现值和当期服务成本。</w:t>
      </w:r>
    </w:p>
    <w:p>
      <w:pPr>
        <w:pStyle w:val="BodyText"/>
        <w:spacing w:line="408" w:lineRule="auto"/>
        <w:ind w:left="154" w:right="211" w:firstLine="374"/>
        <w:jc w:val="both"/>
      </w:pPr>
      <w:r>
        <w:rPr/>
        <w:t>②设定受益计划存在资产的，公司将设定受益计划义务现值减去设定受益计划资产公允价值所形成的 </w:t>
      </w:r>
      <w:r>
        <w:rPr>
          <w:spacing w:val="-1"/>
        </w:rPr>
        <w:t>赤字或盈余确认为一项设定受益计划净负债或净资产。设定受益计划存在盈余的，公司以设定受益计划的</w:t>
      </w:r>
      <w:r>
        <w:rPr>
          <w:spacing w:val="-81"/>
        </w:rPr>
        <w:t> </w:t>
      </w:r>
      <w:r>
        <w:rPr>
          <w:spacing w:val="-81"/>
        </w:rPr>
      </w:r>
      <w:r>
        <w:rPr/>
        <w:t>盈余和资产上限两项的孰低者计量设定受益计划净资产。</w:t>
      </w:r>
    </w:p>
    <w:p>
      <w:pPr>
        <w:pStyle w:val="BodyText"/>
        <w:spacing w:line="240" w:lineRule="auto"/>
        <w:ind w:left="528" w:right="102"/>
        <w:jc w:val="left"/>
      </w:pPr>
      <w:r>
        <w:rPr/>
        <w:t>③确定应当计入当期损益的金额。</w:t>
      </w:r>
    </w:p>
    <w:p>
      <w:pPr>
        <w:spacing w:line="240" w:lineRule="auto" w:before="10"/>
        <w:rPr>
          <w:rFonts w:ascii="宋体" w:hAnsi="宋体" w:cs="宋体" w:eastAsia="宋体" w:hint="default"/>
          <w:sz w:val="14"/>
          <w:szCs w:val="14"/>
        </w:rPr>
      </w:pPr>
    </w:p>
    <w:p>
      <w:pPr>
        <w:pStyle w:val="BodyText"/>
        <w:spacing w:line="408" w:lineRule="auto" w:before="0"/>
        <w:ind w:left="528" w:right="102"/>
        <w:jc w:val="left"/>
      </w:pPr>
      <w:r>
        <w:rPr/>
        <w:t>④确定应当计入其他综合收益的金额。 </w:t>
      </w:r>
      <w:r>
        <w:rPr>
          <w:spacing w:val="4"/>
        </w:rPr>
        <w:t>公司根据预期累计福利单位法确定的公式将设定受益计划产生的福利义务归属于职工提供服务的期</w:t>
      </w:r>
    </w:p>
    <w:p>
      <w:pPr>
        <w:pStyle w:val="BodyText"/>
        <w:spacing w:line="408" w:lineRule="auto"/>
        <w:ind w:left="154" w:right="210"/>
        <w:jc w:val="both"/>
      </w:pPr>
      <w:r>
        <w:rPr>
          <w:spacing w:val="-1"/>
        </w:rPr>
        <w:t>间，并计入当期损益或相关资产成本。当职工后续年度的服务将导致其享有的设定受益计划福利水平显著</w:t>
      </w:r>
      <w:r>
        <w:rPr>
          <w:spacing w:val="-81"/>
        </w:rPr>
        <w:t> </w:t>
      </w:r>
      <w:r>
        <w:rPr>
          <w:spacing w:val="-81"/>
        </w:rPr>
      </w:r>
      <w:r>
        <w:rPr>
          <w:spacing w:val="-1"/>
        </w:rPr>
        <w:t>高于以前年度时，按照直线法将累计设定受益计划义务分摊确认于职工提供服务而导致企业第一次产生设</w:t>
      </w:r>
      <w:r>
        <w:rPr>
          <w:spacing w:val="-80"/>
        </w:rPr>
        <w:t> </w:t>
      </w:r>
      <w:r>
        <w:rPr>
          <w:spacing w:val="-80"/>
        </w:rPr>
      </w:r>
      <w:r>
        <w:rPr/>
        <w:t>定受益计划福利义务至职工提供服务不再导致该福利义务显著增加的期间。</w:t>
      </w:r>
    </w:p>
    <w:p>
      <w:pPr>
        <w:pStyle w:val="BodyText"/>
        <w:spacing w:line="408" w:lineRule="auto"/>
        <w:ind w:left="154" w:right="217" w:firstLine="374"/>
        <w:jc w:val="both"/>
      </w:pPr>
      <w:r>
        <w:rPr/>
        <w:t>报告期末，公司将设定受益计划产生的职工薪酬成本确认为：服务成本、设定受益计划净负债或净资 产的利息净额，以及重新计量设定受益计划净负债或净资产所产生的变动。</w:t>
      </w:r>
    </w:p>
    <w:p>
      <w:pPr>
        <w:pStyle w:val="BodyText"/>
        <w:spacing w:line="408" w:lineRule="auto"/>
        <w:ind w:left="528" w:right="2318"/>
        <w:jc w:val="left"/>
      </w:pPr>
      <w:r>
        <w:rPr/>
        <w:t>在设定受益计划下，公司在下列日期孰早日将过去服务成本确认为当期费用： </w:t>
      </w:r>
      <w:r>
        <w:rPr>
          <w:rFonts w:ascii="宋体" w:hAnsi="宋体" w:cs="宋体" w:eastAsia="宋体" w:hint="default"/>
        </w:rPr>
        <w:t>a</w:t>
      </w:r>
      <w:r>
        <w:rPr/>
        <w:t>修改设定受益计划时。</w:t>
      </w:r>
    </w:p>
    <w:p>
      <w:pPr>
        <w:pStyle w:val="BodyText"/>
        <w:spacing w:line="408" w:lineRule="auto"/>
        <w:ind w:left="528" w:right="4208"/>
        <w:jc w:val="left"/>
      </w:pPr>
      <w:r>
        <w:rPr>
          <w:rFonts w:ascii="宋体" w:hAnsi="宋体" w:cs="宋体" w:eastAsia="宋体" w:hint="default"/>
        </w:rPr>
        <w:t>b</w:t>
      </w:r>
      <w:r>
        <w:rPr/>
        <w:t>企业确认相关重组费用或辞退福利时。 公司在设定受益计划结算时，确认一项结算利得或损失。</w:t>
      </w:r>
    </w:p>
    <w:p>
      <w:pPr>
        <w:pStyle w:val="BodyText"/>
        <w:spacing w:line="408" w:lineRule="auto"/>
        <w:ind w:left="493" w:right="102" w:hanging="340"/>
        <w:jc w:val="left"/>
      </w:pPr>
      <w:bookmarkStart w:name="（3）辞退福利的会计处理方法" w:id="157"/>
      <w:bookmarkEnd w:id="157"/>
      <w:r>
        <w:rPr/>
      </w: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）辞退福利的会计处理方法</w:t>
      </w:r>
      <w:r>
        <w:rPr>
          <w:rFonts w:ascii="宋体" w:hAnsi="宋体" w:cs="宋体" w:eastAsia="宋体" w:hint="default"/>
          <w:b/>
          <w:bCs/>
          <w:w w:val="99"/>
        </w:rPr>
        <w:t> </w:t>
      </w:r>
      <w:r>
        <w:rPr>
          <w:spacing w:val="-2"/>
        </w:rPr>
        <w:t>公司向职工提供辞退福利的，在下列两者孰早日确认辞退福利产生的职工薪酬负债，并计入当期损益：</w:t>
      </w:r>
      <w:r>
        <w:rPr/>
        <w:t> </w:t>
      </w:r>
      <w:r>
        <w:rPr>
          <w:rFonts w:ascii="宋体" w:hAnsi="宋体" w:cs="宋体" w:eastAsia="宋体" w:hint="default"/>
        </w:rPr>
        <w:t>1</w:t>
      </w:r>
      <w:r>
        <w:rPr/>
        <w:t>）公司不能单方面撤回因解除劳动关系计划或裁减建议所提供的辞退福利时。</w:t>
      </w:r>
    </w:p>
    <w:p>
      <w:pPr>
        <w:pStyle w:val="BodyText"/>
        <w:spacing w:line="408" w:lineRule="auto"/>
        <w:ind w:left="493" w:right="2143"/>
        <w:jc w:val="left"/>
      </w:pPr>
      <w:r>
        <w:rPr>
          <w:rFonts w:ascii="宋体" w:hAnsi="宋体" w:cs="宋体" w:eastAsia="宋体" w:hint="default"/>
        </w:rPr>
        <w:t>2</w:t>
      </w:r>
      <w:r>
        <w:rPr/>
        <w:t>）公司确认与涉及支付辞退福利的重组相关的成本或费用时。 公司按照辞退计划条款的规定，合理预计并确认辞退福利产生的应付职工薪酬。</w:t>
      </w:r>
    </w:p>
    <w:p>
      <w:pPr>
        <w:spacing w:line="408" w:lineRule="auto" w:before="46"/>
        <w:ind w:left="528" w:right="102" w:hanging="375"/>
        <w:jc w:val="left"/>
        <w:rPr>
          <w:rFonts w:ascii="宋体" w:hAnsi="宋体" w:cs="宋体" w:eastAsia="宋体" w:hint="default"/>
          <w:sz w:val="21"/>
          <w:szCs w:val="21"/>
        </w:rPr>
      </w:pPr>
      <w:bookmarkStart w:name="（4）其他长期职工福利的会计处理方法" w:id="158"/>
      <w:bookmarkEnd w:id="158"/>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公司向职工提供的其他长期职工福利，符合设定提存计划条件的，按照关于设定提存计划的有关政策</w:t>
      </w:r>
    </w:p>
    <w:p>
      <w:pPr>
        <w:pStyle w:val="BodyText"/>
        <w:spacing w:line="240" w:lineRule="auto"/>
        <w:ind w:left="154" w:right="102"/>
        <w:jc w:val="left"/>
      </w:pPr>
      <w:r>
        <w:rPr/>
        <w:t>进行处理。</w:t>
      </w:r>
    </w:p>
    <w:p>
      <w:pPr>
        <w:spacing w:after="0" w:line="240" w:lineRule="auto"/>
        <w:jc w:val="left"/>
        <w:sectPr>
          <w:pgSz w:w="11910" w:h="16840"/>
          <w:pgMar w:header="747" w:footer="1000" w:top="1040" w:bottom="118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right="0" w:firstLine="374"/>
        <w:jc w:val="left"/>
      </w:pPr>
      <w:r>
        <w:rPr/>
        <w:t>除上述情形外，公司按照关于设定受益计划的有关政策，确认和计量其他长期职工福利净负债或净资 产。在报告期末，将其他长期职工福利产生的职工薪酬成本确认为下列组成部分：</w:t>
      </w:r>
    </w:p>
    <w:p>
      <w:pPr>
        <w:pStyle w:val="BodyText"/>
        <w:spacing w:line="240" w:lineRule="auto"/>
        <w:ind w:left="528" w:right="0"/>
        <w:jc w:val="left"/>
      </w:pPr>
      <w:r>
        <w:rPr>
          <w:rFonts w:ascii="宋体" w:hAnsi="宋体" w:cs="宋体" w:eastAsia="宋体" w:hint="default"/>
        </w:rPr>
        <w:t>1</w:t>
      </w:r>
      <w:r>
        <w:rPr/>
        <w:t>）服务成本。</w:t>
      </w:r>
    </w:p>
    <w:p>
      <w:pPr>
        <w:spacing w:line="240" w:lineRule="auto" w:before="10"/>
        <w:rPr>
          <w:rFonts w:ascii="宋体" w:hAnsi="宋体" w:cs="宋体" w:eastAsia="宋体" w:hint="default"/>
          <w:sz w:val="14"/>
          <w:szCs w:val="14"/>
        </w:rPr>
      </w:pPr>
    </w:p>
    <w:p>
      <w:pPr>
        <w:pStyle w:val="BodyText"/>
        <w:spacing w:line="240" w:lineRule="auto" w:before="0"/>
        <w:ind w:left="528" w:right="0"/>
        <w:jc w:val="left"/>
      </w:pPr>
      <w:r>
        <w:rPr>
          <w:rFonts w:ascii="宋体" w:hAnsi="宋体" w:cs="宋体" w:eastAsia="宋体" w:hint="default"/>
        </w:rPr>
        <w:t>2</w:t>
      </w:r>
      <w:r>
        <w:rPr/>
        <w:t>）其他长期职工福利净负债或净资产的利息净额。</w:t>
      </w:r>
    </w:p>
    <w:p>
      <w:pPr>
        <w:spacing w:line="240" w:lineRule="auto" w:before="10"/>
        <w:rPr>
          <w:rFonts w:ascii="宋体" w:hAnsi="宋体" w:cs="宋体" w:eastAsia="宋体" w:hint="default"/>
          <w:sz w:val="14"/>
          <w:szCs w:val="14"/>
        </w:rPr>
      </w:pPr>
    </w:p>
    <w:p>
      <w:pPr>
        <w:pStyle w:val="BodyText"/>
        <w:spacing w:line="408" w:lineRule="auto" w:before="0"/>
        <w:ind w:left="528" w:right="0"/>
        <w:jc w:val="left"/>
      </w:pPr>
      <w:r>
        <w:rPr>
          <w:rFonts w:ascii="宋体" w:hAnsi="宋体" w:cs="宋体" w:eastAsia="宋体" w:hint="default"/>
        </w:rPr>
        <w:t>3</w:t>
      </w:r>
      <w:r>
        <w:rPr/>
        <w:t>）重新计量其他长期职工福利净负债或净资产所产生的变动。 为简化相关会计处理，上述项目的总净额应计入当期损益或相关资产成本。 长期残疾福利水平取决于职工提供服务期间长短的，公司在职工提供服务的期间确认应付长期残疾福</w:t>
      </w:r>
    </w:p>
    <w:p>
      <w:pPr>
        <w:pStyle w:val="BodyText"/>
        <w:spacing w:line="408" w:lineRule="auto"/>
        <w:ind w:left="154" w:right="151"/>
        <w:jc w:val="both"/>
      </w:pPr>
      <w:r>
        <w:rPr>
          <w:spacing w:val="-1"/>
        </w:rPr>
        <w:t>利义务；长期残疾福利与职工提供服务期间长短无关的，公司在导致职工长期残疾的事件发生的当期确认</w:t>
      </w:r>
      <w:r>
        <w:rPr>
          <w:spacing w:val="-81"/>
        </w:rPr>
        <w:t> </w:t>
      </w:r>
      <w:r>
        <w:rPr>
          <w:spacing w:val="-81"/>
        </w:rPr>
      </w:r>
      <w:r>
        <w:rPr/>
        <w:t>应付长期残疾福利义务。</w:t>
      </w:r>
    </w:p>
    <w:p>
      <w:pPr>
        <w:pStyle w:val="BodyText"/>
        <w:spacing w:line="408" w:lineRule="auto"/>
        <w:ind w:left="528" w:right="0" w:hanging="375"/>
        <w:jc w:val="left"/>
      </w:pPr>
      <w:bookmarkStart w:name="25、预计负债" w:id="159"/>
      <w:bookmarkEnd w:id="159"/>
      <w:r>
        <w:rPr/>
      </w:r>
      <w:r>
        <w:rPr>
          <w:rFonts w:ascii="宋体" w:hAnsi="宋体" w:cs="宋体" w:eastAsia="宋体" w:hint="default"/>
          <w:b/>
          <w:bCs/>
        </w:rPr>
        <w:t>25</w:t>
      </w:r>
      <w:r>
        <w:rPr>
          <w:rFonts w:ascii="宋体" w:hAnsi="宋体" w:cs="宋体" w:eastAsia="宋体" w:hint="default"/>
          <w:b/>
          <w:bCs/>
        </w:rPr>
        <w:t>、预计负债</w:t>
      </w:r>
      <w:r>
        <w:rPr>
          <w:rFonts w:ascii="宋体" w:hAnsi="宋体" w:cs="宋体" w:eastAsia="宋体" w:hint="default"/>
          <w:b/>
          <w:bCs/>
          <w:w w:val="99"/>
        </w:rPr>
        <w:t> </w:t>
      </w:r>
      <w:r>
        <w:rPr/>
        <w:t>对因产品质量保证、亏损合同等形成的现时义务，其履行很可能导致经济利益的流出，在该义务的金</w:t>
      </w:r>
    </w:p>
    <w:p>
      <w:pPr>
        <w:pStyle w:val="BodyText"/>
        <w:spacing w:line="408" w:lineRule="auto"/>
        <w:ind w:left="528" w:right="0" w:hanging="375"/>
        <w:jc w:val="left"/>
      </w:pPr>
      <w:r>
        <w:rPr/>
        <w:t>额能够可靠计量时，确认为预计负债。对于未来经营亏损，不确认预计负债。 预计负债按照履行相关现时义务所需支出的最佳估计数进行初始计量，并综合考虑与或有事项有关的</w:t>
      </w:r>
    </w:p>
    <w:p>
      <w:pPr>
        <w:pStyle w:val="BodyText"/>
        <w:spacing w:line="408" w:lineRule="auto"/>
        <w:ind w:left="154" w:right="151"/>
        <w:jc w:val="both"/>
      </w:pPr>
      <w:r>
        <w:rPr>
          <w:spacing w:val="-1"/>
        </w:rPr>
        <w:t>风险、不确定性和货币时间价值等因素。货币时间价值影响重大的，通过对相关未来现金流出进行折现后</w:t>
      </w:r>
      <w:r>
        <w:rPr>
          <w:spacing w:val="-83"/>
        </w:rPr>
        <w:t> </w:t>
      </w:r>
      <w:r>
        <w:rPr>
          <w:spacing w:val="-83"/>
        </w:rPr>
      </w:r>
      <w:r>
        <w:rPr>
          <w:spacing w:val="-1"/>
        </w:rPr>
        <w:t>确定最佳估计数；因随着时间推移所进行的折现还原而导致的预计负债账面价值的增加金额，确认为利息</w:t>
      </w:r>
      <w:r>
        <w:rPr>
          <w:spacing w:val="-81"/>
        </w:rPr>
        <w:t> </w:t>
      </w:r>
      <w:r>
        <w:rPr>
          <w:spacing w:val="-81"/>
        </w:rPr>
      </w:r>
      <w:r>
        <w:rPr/>
        <w:t>费用。</w:t>
      </w:r>
    </w:p>
    <w:p>
      <w:pPr>
        <w:pStyle w:val="BodyText"/>
        <w:spacing w:line="408" w:lineRule="auto"/>
        <w:ind w:left="154" w:right="788" w:firstLine="374"/>
        <w:jc w:val="left"/>
        <w:rPr>
          <w:rFonts w:ascii="宋体" w:hAnsi="宋体" w:cs="宋体" w:eastAsia="宋体" w:hint="default"/>
        </w:rPr>
      </w:pPr>
      <w:r>
        <w:rPr/>
        <w:t>于资产负债表日，对预计负债的账面价值进行复核并作适当调整，以反映当前的最佳估计数。 </w:t>
      </w:r>
      <w:bookmarkStart w:name="26、股份支付" w:id="160"/>
      <w:bookmarkEnd w:id="160"/>
      <w:r>
        <w:rPr/>
      </w:r>
      <w:r>
        <w:rPr>
          <w:rFonts w:ascii="宋体" w:hAnsi="宋体" w:cs="宋体" w:eastAsia="宋体" w:hint="default"/>
          <w:b/>
          <w:bCs/>
        </w:rPr>
        <w:t>26</w:t>
      </w:r>
      <w:r>
        <w:rPr>
          <w:rFonts w:ascii="宋体" w:hAnsi="宋体" w:cs="宋体" w:eastAsia="宋体" w:hint="default"/>
          <w:b/>
          <w:bCs/>
        </w:rPr>
        <w:t>、股份支付</w:t>
      </w:r>
      <w:r>
        <w:rPr>
          <w:rFonts w:ascii="宋体" w:hAnsi="宋体" w:cs="宋体" w:eastAsia="宋体" w:hint="default"/>
        </w:rPr>
      </w:r>
    </w:p>
    <w:p>
      <w:pPr>
        <w:spacing w:line="408" w:lineRule="auto" w:before="46"/>
        <w:ind w:left="154" w:right="6398" w:firstLine="374"/>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7、优先股、永续债等其他金融工具" w:id="161"/>
      <w:bookmarkEnd w:id="161"/>
      <w:r>
        <w:rPr>
          <w:rFonts w:ascii="宋体" w:hAnsi="宋体" w:cs="宋体" w:eastAsia="宋体" w:hint="default"/>
          <w:sz w:val="21"/>
          <w:szCs w:val="21"/>
        </w:rPr>
      </w:r>
      <w:r>
        <w:rPr>
          <w:rFonts w:ascii="宋体" w:hAnsi="宋体" w:cs="宋体" w:eastAsia="宋体" w:hint="default"/>
          <w:b/>
          <w:bCs/>
          <w:sz w:val="21"/>
          <w:szCs w:val="21"/>
        </w:rPr>
        <w:t>27</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408" w:lineRule="auto" w:before="46"/>
        <w:ind w:left="154" w:right="7614" w:firstLine="374"/>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8、收入" w:id="162"/>
      <w:bookmarkEnd w:id="162"/>
      <w:r>
        <w:rPr>
          <w:rFonts w:ascii="宋体" w:hAnsi="宋体" w:cs="宋体" w:eastAsia="宋体" w:hint="default"/>
          <w:sz w:val="21"/>
          <w:szCs w:val="21"/>
        </w:rPr>
      </w:r>
      <w:r>
        <w:rPr>
          <w:rFonts w:ascii="宋体" w:hAnsi="宋体" w:cs="宋体" w:eastAsia="宋体" w:hint="default"/>
          <w:b/>
          <w:bCs/>
          <w:sz w:val="21"/>
          <w:szCs w:val="21"/>
        </w:rPr>
        <w:t>28</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spacing w:line="408" w:lineRule="auto"/>
        <w:ind w:left="154" w:right="0" w:firstLine="374"/>
        <w:jc w:val="left"/>
      </w:pPr>
      <w:r>
        <w:rPr/>
        <w:t>收入的金额按照本公司在日常经营活动中销售商品和提供劳务时，已收或应收合同或协议价款的公允 价值确定。收入按扣除增值税、商业折扣、销售折让及销售退回的净额列示。</w:t>
      </w:r>
    </w:p>
    <w:p>
      <w:pPr>
        <w:pStyle w:val="BodyText"/>
        <w:spacing w:line="408" w:lineRule="auto"/>
        <w:ind w:left="154" w:right="0" w:firstLine="374"/>
        <w:jc w:val="left"/>
      </w:pPr>
      <w:r>
        <w:rPr/>
        <w:t>与交易相关的经济利益能够流入本公司，相关的收入能够可靠计量且满足下列各项经营活动的特定收 入确认标准时，确认相关的收入。</w:t>
      </w:r>
    </w:p>
    <w:p>
      <w:pPr>
        <w:pStyle w:val="BodyText"/>
        <w:spacing w:line="408" w:lineRule="auto"/>
        <w:ind w:left="528" w:right="0"/>
        <w:jc w:val="left"/>
      </w:pPr>
      <w:r>
        <w:rPr/>
        <w:t>（</w:t>
      </w:r>
      <w:r>
        <w:rPr>
          <w:rFonts w:ascii="宋体" w:hAnsi="宋体" w:cs="宋体" w:eastAsia="宋体" w:hint="default"/>
        </w:rPr>
        <w:t>1</w:t>
      </w:r>
      <w:r>
        <w:rPr/>
        <w:t>）销售商品 商品销售在商品所有权上的主要风险和报酬已转移给买方，本公司不再对该商品实施继续管理权和实</w:t>
      </w:r>
    </w:p>
    <w:p>
      <w:pPr>
        <w:pStyle w:val="BodyText"/>
        <w:spacing w:line="408" w:lineRule="auto"/>
        <w:ind w:left="154" w:right="150"/>
        <w:jc w:val="both"/>
      </w:pPr>
      <w:r>
        <w:rPr>
          <w:spacing w:val="-1"/>
        </w:rPr>
        <w:t>际控制权，与交易相关的经济利益很可能流入企业，并且与销售该商品相关的收入和成本能够可靠地计量</w:t>
      </w:r>
      <w:r>
        <w:rPr>
          <w:spacing w:val="-80"/>
        </w:rPr>
        <w:t> </w:t>
      </w:r>
      <w:r>
        <w:rPr>
          <w:spacing w:val="-80"/>
        </w:rPr>
      </w:r>
      <w:r>
        <w:rPr/>
        <w:t>时，确认营业收入的实现。</w:t>
      </w:r>
    </w:p>
    <w:p>
      <w:pPr>
        <w:spacing w:after="0" w:line="408" w:lineRule="auto"/>
        <w:jc w:val="both"/>
        <w:sectPr>
          <w:footerReference w:type="default" r:id="rId30"/>
          <w:pgSz w:w="11910" w:h="16840"/>
          <w:pgMar w:footer="1000" w:header="747" w:top="1040" w:bottom="1180" w:left="980" w:right="980"/>
          <w:pgNumType w:start="109"/>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528" w:right="0"/>
        <w:jc w:val="left"/>
      </w:pPr>
      <w:r>
        <w:rPr/>
        <w:t>（</w:t>
      </w:r>
      <w:r>
        <w:rPr>
          <w:rFonts w:ascii="宋体" w:hAnsi="宋体" w:cs="宋体" w:eastAsia="宋体" w:hint="default"/>
        </w:rPr>
        <w:t>2</w:t>
      </w:r>
      <w:r>
        <w:rPr/>
        <w:t>）提供劳务 提供的劳务在同一会计年度开始并完成的，在劳务已经提供，收到价款或取得收取价款的证据时，确</w:t>
      </w:r>
    </w:p>
    <w:p>
      <w:pPr>
        <w:pStyle w:val="BodyText"/>
        <w:spacing w:line="408" w:lineRule="auto"/>
        <w:ind w:right="151"/>
        <w:jc w:val="both"/>
      </w:pPr>
      <w:r>
        <w:rPr>
          <w:spacing w:val="-1"/>
        </w:rPr>
        <w:t>认营业收入的实现；劳务的开始和完成分属不同会计年度的，在劳务合同的总收入、劳务的完成程度能够</w:t>
      </w:r>
      <w:r>
        <w:rPr>
          <w:spacing w:val="-83"/>
        </w:rPr>
        <w:t> </w:t>
      </w:r>
      <w:r>
        <w:rPr>
          <w:spacing w:val="-83"/>
        </w:rPr>
      </w:r>
      <w:r>
        <w:rPr>
          <w:spacing w:val="-1"/>
        </w:rPr>
        <w:t>可靠地确定，与交易相关的价款能够流入，已经发生的成本和为完成劳务将要发生的成本能够可靠地计量</w:t>
      </w:r>
      <w:r>
        <w:rPr>
          <w:spacing w:val="-81"/>
        </w:rPr>
        <w:t> </w:t>
      </w:r>
      <w:r>
        <w:rPr>
          <w:spacing w:val="-81"/>
        </w:rPr>
      </w:r>
      <w:r>
        <w:rPr>
          <w:spacing w:val="-1"/>
        </w:rPr>
        <w:t>时，按完工百分比法确认营业收入的实现；长期合同工程在合同结果已经能够合理地预见时，按结账时已</w:t>
      </w:r>
      <w:r>
        <w:rPr>
          <w:spacing w:val="-83"/>
        </w:rPr>
        <w:t> </w:t>
      </w:r>
      <w:r>
        <w:rPr>
          <w:spacing w:val="-83"/>
        </w:rPr>
      </w:r>
      <w:r>
        <w:rPr/>
        <w:t>完成工程进度的百分比法确认营业收入的实现。</w:t>
      </w:r>
    </w:p>
    <w:p>
      <w:pPr>
        <w:pStyle w:val="BodyText"/>
        <w:spacing w:line="408" w:lineRule="auto"/>
        <w:ind w:left="528" w:right="0"/>
        <w:jc w:val="left"/>
      </w:pPr>
      <w:r>
        <w:rPr/>
        <w:t>（</w:t>
      </w:r>
      <w:r>
        <w:rPr>
          <w:rFonts w:ascii="宋体" w:hAnsi="宋体" w:cs="宋体" w:eastAsia="宋体" w:hint="default"/>
        </w:rPr>
        <w:t>3</w:t>
      </w:r>
      <w:r>
        <w:rPr/>
        <w:t>）让渡资产使用权 让渡资产使用权取得的利息收入和使用费收入，在与交易相关的经济利益能够流入企业，且收入的金</w:t>
      </w:r>
    </w:p>
    <w:p>
      <w:pPr>
        <w:spacing w:line="408" w:lineRule="auto" w:before="46"/>
        <w:ind w:left="153" w:right="5993" w:firstLine="0"/>
        <w:jc w:val="left"/>
        <w:rPr>
          <w:rFonts w:ascii="宋体" w:hAnsi="宋体" w:cs="宋体" w:eastAsia="宋体" w:hint="default"/>
          <w:sz w:val="21"/>
          <w:szCs w:val="21"/>
        </w:rPr>
      </w:pPr>
      <w:r>
        <w:rPr>
          <w:rFonts w:ascii="宋体" w:hAnsi="宋体" w:cs="宋体" w:eastAsia="宋体" w:hint="default"/>
          <w:sz w:val="21"/>
          <w:szCs w:val="21"/>
        </w:rPr>
        <w:t>额能够可靠地计量时，确认收入的实现。 </w:t>
      </w:r>
      <w:bookmarkStart w:name="29、政府补助" w:id="163"/>
      <w:bookmarkEnd w:id="163"/>
      <w:r>
        <w:rPr>
          <w:rFonts w:ascii="宋体" w:hAnsi="宋体" w:cs="宋体" w:eastAsia="宋体" w:hint="default"/>
          <w:sz w:val="21"/>
          <w:szCs w:val="21"/>
        </w:rPr>
      </w:r>
      <w:r>
        <w:rPr>
          <w:rFonts w:ascii="宋体" w:hAnsi="宋体" w:cs="宋体" w:eastAsia="宋体" w:hint="default"/>
          <w:b/>
          <w:bCs/>
          <w:sz w:val="21"/>
          <w:szCs w:val="21"/>
        </w:rPr>
        <w:t>29</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408" w:lineRule="auto" w:before="46"/>
        <w:ind w:left="528" w:right="0" w:hanging="375"/>
        <w:jc w:val="left"/>
        <w:rPr>
          <w:rFonts w:ascii="宋体" w:hAnsi="宋体" w:cs="宋体" w:eastAsia="宋体" w:hint="default"/>
          <w:sz w:val="21"/>
          <w:szCs w:val="21"/>
        </w:rPr>
      </w:pPr>
      <w:bookmarkStart w:name="（1）与资产相关的政府补助判断依据及会计处理方法" w:id="164"/>
      <w:bookmarkEnd w:id="164"/>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与资产相关的政府补助，是指公司取得的、用于购建或以其他方式形成长期资产的政府补助。与资产</w:t>
      </w:r>
    </w:p>
    <w:p>
      <w:pPr>
        <w:pStyle w:val="BodyText"/>
        <w:spacing w:line="408" w:lineRule="auto"/>
        <w:ind w:right="153"/>
        <w:jc w:val="both"/>
      </w:pPr>
      <w:r>
        <w:rPr>
          <w:spacing w:val="-1"/>
        </w:rPr>
        <w:t>相关的政府补助，确认为递延收益，并在相关资产使用寿命内平均分配，计入当期损益。但是，按照名义</w:t>
      </w:r>
      <w:r>
        <w:rPr>
          <w:spacing w:val="-83"/>
        </w:rPr>
        <w:t> </w:t>
      </w:r>
      <w:r>
        <w:rPr>
          <w:spacing w:val="-83"/>
        </w:rPr>
      </w:r>
      <w:r>
        <w:rPr/>
        <w:t>金额计量的政府补助，直接计入当期损益。</w:t>
      </w:r>
    </w:p>
    <w:p>
      <w:pPr>
        <w:spacing w:line="408" w:lineRule="auto" w:before="46"/>
        <w:ind w:left="528" w:right="0" w:hanging="375"/>
        <w:jc w:val="left"/>
        <w:rPr>
          <w:rFonts w:ascii="宋体" w:hAnsi="宋体" w:cs="宋体" w:eastAsia="宋体" w:hint="default"/>
          <w:sz w:val="21"/>
          <w:szCs w:val="21"/>
        </w:rPr>
      </w:pPr>
      <w:bookmarkStart w:name="（2）与收益相关的政府补助判断依据及会计处理方法" w:id="165"/>
      <w:bookmarkEnd w:id="165"/>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与收益相关的政府补助，是指除与资产相关的政府补助之外的政府补助。与收益相关的政府补助，用</w:t>
      </w:r>
    </w:p>
    <w:p>
      <w:pPr>
        <w:pStyle w:val="BodyText"/>
        <w:spacing w:line="408" w:lineRule="auto"/>
        <w:ind w:right="130"/>
        <w:jc w:val="both"/>
      </w:pPr>
      <w:r>
        <w:rPr/>
        <w:t>于补偿公司以后期间的相关费用或损失的，确认为递延收益，并在确认相关费用的期间，计入当期损益； 用于补偿公司已发生的相关费用或损失的，直接计入当期损益。</w:t>
      </w:r>
    </w:p>
    <w:p>
      <w:pPr>
        <w:spacing w:line="408" w:lineRule="auto" w:before="46"/>
        <w:ind w:left="528" w:right="0" w:hanging="375"/>
        <w:jc w:val="left"/>
        <w:rPr>
          <w:rFonts w:ascii="宋体" w:hAnsi="宋体" w:cs="宋体" w:eastAsia="宋体" w:hint="default"/>
          <w:sz w:val="21"/>
          <w:szCs w:val="21"/>
        </w:rPr>
      </w:pPr>
      <w:bookmarkStart w:name="30、递延所得税资产/递延所得税负债" w:id="166"/>
      <w:bookmarkEnd w:id="166"/>
      <w:r>
        <w:rPr/>
      </w:r>
      <w:r>
        <w:rPr>
          <w:rFonts w:ascii="宋体" w:hAnsi="宋体" w:cs="宋体" w:eastAsia="宋体" w:hint="default"/>
          <w:b/>
          <w:bCs/>
          <w:sz w:val="21"/>
          <w:szCs w:val="21"/>
        </w:rPr>
        <w:t>30</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2"/>
          <w:sz w:val="21"/>
          <w:szCs w:val="21"/>
        </w:rPr>
        <w:t>递延所得税资产和递延所得税负债根据资产和负债的计税基础与其账面价值的差额</w:t>
      </w:r>
      <w:r>
        <w:rPr>
          <w:rFonts w:ascii="宋体" w:hAnsi="宋体" w:cs="宋体" w:eastAsia="宋体" w:hint="default"/>
          <w:spacing w:val="2"/>
          <w:sz w:val="21"/>
          <w:szCs w:val="21"/>
        </w:rPr>
        <w:t>(</w:t>
      </w:r>
      <w:r>
        <w:rPr>
          <w:rFonts w:ascii="宋体" w:hAnsi="宋体" w:cs="宋体" w:eastAsia="宋体" w:hint="default"/>
          <w:spacing w:val="2"/>
          <w:sz w:val="21"/>
          <w:szCs w:val="21"/>
        </w:rPr>
        <w:t>包括应纳税暂时</w:t>
      </w:r>
    </w:p>
    <w:p>
      <w:pPr>
        <w:pStyle w:val="BodyText"/>
        <w:spacing w:line="408" w:lineRule="auto"/>
        <w:ind w:right="151"/>
        <w:jc w:val="both"/>
      </w:pPr>
      <w:r>
        <w:rPr/>
        <w:t>性差异和可抵扣暂时性差异</w:t>
      </w:r>
      <w:r>
        <w:rPr>
          <w:rFonts w:ascii="宋体" w:hAnsi="宋体" w:cs="宋体" w:eastAsia="宋体" w:hint="default"/>
        </w:rPr>
        <w:t>)</w:t>
      </w:r>
      <w:r>
        <w:rPr/>
        <w:t>计算确认。对于按照税法规定能够于以后年度抵减应纳税所得额的可抵扣亏</w:t>
      </w:r>
      <w:r>
        <w:rPr>
          <w:spacing w:val="-31"/>
        </w:rPr>
        <w:t> </w:t>
      </w:r>
      <w:r>
        <w:rPr>
          <w:spacing w:val="-31"/>
        </w:rPr>
      </w:r>
      <w:r>
        <w:rPr>
          <w:spacing w:val="-1"/>
        </w:rPr>
        <w:t>损，视同可抵扣暂时性差异。对于商誉的初始确认产生的暂时性差异，不确认相应的递延所得税负债。对</w:t>
      </w:r>
      <w:r>
        <w:rPr>
          <w:spacing w:val="-85"/>
        </w:rPr>
        <w:t> </w:t>
      </w:r>
      <w:r>
        <w:rPr>
          <w:spacing w:val="-85"/>
        </w:rPr>
      </w:r>
      <w:r>
        <w:rPr>
          <w:spacing w:val="3"/>
        </w:rPr>
        <w:t>于既不影响会计利润也不影响应纳税所得额</w:t>
      </w:r>
      <w:r>
        <w:rPr>
          <w:rFonts w:ascii="宋体" w:hAnsi="宋体" w:cs="宋体" w:eastAsia="宋体" w:hint="default"/>
          <w:spacing w:val="3"/>
        </w:rPr>
        <w:t>(</w:t>
      </w:r>
      <w:r>
        <w:rPr>
          <w:spacing w:val="3"/>
        </w:rPr>
        <w:t>或可抵扣亏损</w:t>
      </w:r>
      <w:r>
        <w:rPr>
          <w:rFonts w:ascii="宋体" w:hAnsi="宋体" w:cs="宋体" w:eastAsia="宋体" w:hint="default"/>
          <w:spacing w:val="3"/>
        </w:rPr>
        <w:t>)</w:t>
      </w:r>
      <w:r>
        <w:rPr>
          <w:spacing w:val="3"/>
        </w:rPr>
        <w:t>的非企业合并的交易中产生的资产或负债的</w:t>
      </w:r>
      <w:r>
        <w:rPr>
          <w:spacing w:val="-82"/>
        </w:rPr>
        <w:t> </w:t>
      </w:r>
      <w:r>
        <w:rPr>
          <w:spacing w:val="-82"/>
        </w:rPr>
      </w:r>
      <w:r>
        <w:rPr>
          <w:spacing w:val="-1"/>
        </w:rPr>
        <w:t>初始确认形成的暂时性差异，不确认相应的递延所得税资产和递延所得税负债。于资产负债表日，递延所</w:t>
      </w:r>
      <w:r>
        <w:rPr>
          <w:spacing w:val="-83"/>
        </w:rPr>
        <w:t> </w:t>
      </w:r>
      <w:r>
        <w:rPr>
          <w:spacing w:val="-83"/>
        </w:rPr>
      </w:r>
      <w:r>
        <w:rPr/>
        <w:t>得税资产和递延所得税负债，按照预期收回该资产或清偿该负债期间的适用税率计量。</w:t>
      </w:r>
    </w:p>
    <w:p>
      <w:pPr>
        <w:pStyle w:val="BodyText"/>
        <w:spacing w:line="408" w:lineRule="auto"/>
        <w:ind w:right="157" w:firstLine="374"/>
        <w:jc w:val="both"/>
      </w:pPr>
      <w:r>
        <w:rPr/>
        <w:t>递延所得税资产的确认以本公司很可能取得用来抵扣可抵扣暂时性差异、可抵扣亏损和税款抵减的应 纳税所得额为限。</w:t>
      </w:r>
    </w:p>
    <w:p>
      <w:pPr>
        <w:pStyle w:val="BodyText"/>
        <w:spacing w:line="408" w:lineRule="auto"/>
        <w:ind w:right="151" w:firstLine="374"/>
        <w:jc w:val="both"/>
      </w:pPr>
      <w:r>
        <w:rPr/>
        <w:t>对子公司、联营企业及合营企业投资相关的暂时性差异产生的递延所得税资产和递延所得税负债，予 </w:t>
      </w:r>
      <w:r>
        <w:rPr>
          <w:spacing w:val="-1"/>
        </w:rPr>
        <w:t>以确认。但本公司能够控制暂时性差异转回的时间且该暂时性差异在可预见的未来很可能不会转回的，不</w:t>
      </w:r>
      <w:r>
        <w:rPr>
          <w:spacing w:val="-81"/>
        </w:rPr>
        <w:t> </w:t>
      </w:r>
      <w:r>
        <w:rPr>
          <w:spacing w:val="-81"/>
        </w:rPr>
      </w:r>
      <w:r>
        <w:rPr/>
        <w:t>予确认。</w:t>
      </w:r>
    </w:p>
    <w:p>
      <w:pPr>
        <w:spacing w:after="0" w:line="408" w:lineRule="auto"/>
        <w:jc w:val="both"/>
        <w:sectPr>
          <w:footerReference w:type="default" r:id="rId31"/>
          <w:pgSz w:w="11910" w:h="16840"/>
          <w:pgMar w:footer="1000" w:header="747" w:top="1040" w:bottom="1180" w:left="980" w:right="980"/>
          <w:pgNumType w:start="11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53" w:right="0"/>
        <w:jc w:val="left"/>
        <w:rPr>
          <w:b w:val="0"/>
          <w:bCs w:val="0"/>
        </w:rPr>
      </w:pPr>
      <w:bookmarkStart w:name="31、租赁" w:id="167"/>
      <w:bookmarkEnd w:id="167"/>
      <w:r>
        <w:rPr>
          <w:b w:val="0"/>
          <w:bCs w:val="0"/>
        </w:rPr>
      </w:r>
      <w:r>
        <w:rPr>
          <w:rFonts w:ascii="宋体" w:hAnsi="宋体" w:cs="宋体" w:eastAsia="宋体" w:hint="default"/>
        </w:rPr>
        <w:t>31</w:t>
      </w:r>
      <w:r>
        <w:rPr/>
        <w:t>、租赁</w:t>
      </w:r>
      <w:r>
        <w:rPr>
          <w:b w:val="0"/>
          <w:bCs w:val="0"/>
        </w:rPr>
      </w:r>
    </w:p>
    <w:p>
      <w:pPr>
        <w:spacing w:line="240" w:lineRule="auto" w:before="10"/>
        <w:rPr>
          <w:rFonts w:ascii="宋体" w:hAnsi="宋体" w:cs="宋体" w:eastAsia="宋体" w:hint="default"/>
          <w:b/>
          <w:bCs/>
          <w:sz w:val="14"/>
          <w:szCs w:val="14"/>
        </w:rPr>
      </w:pPr>
    </w:p>
    <w:p>
      <w:pPr>
        <w:spacing w:line="408" w:lineRule="auto" w:before="0"/>
        <w:ind w:left="575" w:right="2421" w:hanging="422"/>
        <w:jc w:val="left"/>
        <w:rPr>
          <w:rFonts w:ascii="宋体" w:hAnsi="宋体" w:cs="宋体" w:eastAsia="宋体" w:hint="default"/>
          <w:sz w:val="21"/>
          <w:szCs w:val="21"/>
        </w:rPr>
      </w:pPr>
      <w:bookmarkStart w:name="（1）经营租赁的会计处理方法" w:id="168"/>
      <w:bookmarkEnd w:id="168"/>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经营租赁的租金支出在租赁期内按照直线法计入相关资产成本或当期损益。</w:t>
      </w:r>
    </w:p>
    <w:p>
      <w:pPr>
        <w:spacing w:line="408" w:lineRule="auto" w:before="46"/>
        <w:ind w:left="575" w:right="0" w:hanging="422"/>
        <w:jc w:val="left"/>
        <w:rPr>
          <w:rFonts w:ascii="宋体" w:hAnsi="宋体" w:cs="宋体" w:eastAsia="宋体" w:hint="default"/>
          <w:sz w:val="21"/>
          <w:szCs w:val="21"/>
        </w:rPr>
      </w:pPr>
      <w:bookmarkStart w:name="（2）融资租赁的会计处理方法" w:id="169"/>
      <w:bookmarkEnd w:id="169"/>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按租赁资产的公允价值与最低租赁付款额的现值两者中较低者作为租入资产的入账价值，租入资产的</w:t>
      </w:r>
    </w:p>
    <w:p>
      <w:pPr>
        <w:pStyle w:val="BodyText"/>
        <w:spacing w:line="408" w:lineRule="auto"/>
        <w:ind w:right="0"/>
        <w:jc w:val="left"/>
      </w:pPr>
      <w:r>
        <w:rPr>
          <w:spacing w:val="-1"/>
        </w:rPr>
        <w:t>入账价值与最低租赁付款额之间的差额为未确认融资费用，在租赁期内按实际利率法摊销。最低租赁付款</w:t>
      </w:r>
      <w:r>
        <w:rPr>
          <w:spacing w:val="-81"/>
        </w:rPr>
        <w:t> </w:t>
      </w:r>
      <w:r>
        <w:rPr>
          <w:spacing w:val="-81"/>
        </w:rPr>
      </w:r>
      <w:r>
        <w:rPr/>
        <w:t>额扣除未确认融资费用后的余额以长期应付款列示。</w:t>
      </w:r>
    </w:p>
    <w:p>
      <w:pPr>
        <w:pStyle w:val="Heading4"/>
        <w:spacing w:line="408" w:lineRule="auto" w:before="46"/>
        <w:ind w:left="528" w:right="6399" w:hanging="375"/>
        <w:jc w:val="left"/>
        <w:rPr>
          <w:rFonts w:ascii="宋体" w:hAnsi="宋体" w:cs="宋体" w:eastAsia="宋体" w:hint="default"/>
          <w:b w:val="0"/>
          <w:bCs w:val="0"/>
        </w:rPr>
      </w:pPr>
      <w:bookmarkStart w:name="32、其他重要的会计政策和会计估计" w:id="170"/>
      <w:bookmarkEnd w:id="170"/>
      <w:r>
        <w:rPr>
          <w:b w:val="0"/>
          <w:bCs w:val="0"/>
        </w:rPr>
      </w:r>
      <w:r>
        <w:rPr>
          <w:rFonts w:ascii="宋体" w:hAnsi="宋体" w:cs="宋体" w:eastAsia="宋体" w:hint="default"/>
        </w:rPr>
        <w:t>32</w:t>
      </w:r>
      <w:r>
        <w:rPr/>
        <w:t>、其他重要的会计政策和会计估计</w:t>
      </w:r>
      <w:r>
        <w:rPr>
          <w:w w:val="99"/>
        </w:rPr>
        <w:t> </w:t>
      </w:r>
      <w:r>
        <w:rPr>
          <w:rFonts w:ascii="宋体" w:hAnsi="宋体" w:cs="宋体" w:eastAsia="宋体" w:hint="default"/>
          <w:b w:val="0"/>
          <w:bCs w:val="0"/>
        </w:rPr>
        <w:t>商誉：</w:t>
      </w:r>
    </w:p>
    <w:p>
      <w:pPr>
        <w:pStyle w:val="BodyText"/>
        <w:spacing w:line="408" w:lineRule="auto"/>
        <w:ind w:right="0" w:firstLine="374"/>
        <w:jc w:val="left"/>
      </w:pPr>
      <w:r>
        <w:rPr/>
        <w:t>商誉为股权投资成本超过应享有的被投资单位于投资取得日的公允价值份额的差额，或者为非同一控 制下企业合并成本超过企业合并中取得的被购买方可辨认净资产于购买日的公允价值份额的差额。</w:t>
      </w:r>
    </w:p>
    <w:p>
      <w:pPr>
        <w:pStyle w:val="BodyText"/>
        <w:spacing w:line="408" w:lineRule="auto"/>
        <w:ind w:right="0" w:firstLine="374"/>
        <w:jc w:val="left"/>
      </w:pPr>
      <w:r>
        <w:rPr/>
        <w:t>企业合并形成的商誉在合并财务报表上单独列示。购买联营企业和合营企业股权投资成本超过投资时 应享有被投资单位的公允价值份额的差额，包含于长期股权投资。</w:t>
      </w:r>
    </w:p>
    <w:p>
      <w:pPr>
        <w:pStyle w:val="BodyText"/>
        <w:spacing w:line="408" w:lineRule="auto"/>
        <w:ind w:right="0" w:firstLine="374"/>
        <w:jc w:val="left"/>
        <w:rPr>
          <w:rFonts w:ascii="宋体" w:hAnsi="宋体" w:cs="宋体" w:eastAsia="宋体" w:hint="default"/>
        </w:rPr>
      </w:pPr>
      <w:r>
        <w:rPr/>
        <w:t>企业合并形成的商誉每年进行减值测试。减值测试时，商誉的账面价值根据企业合并的协同效应分摊 至受益的资产组或资产组组合。期末商誉按成本减去累计减值损失后的净额列示。 </w:t>
      </w:r>
      <w:bookmarkStart w:name="33、重要会计政策和会计估计变更" w:id="171"/>
      <w:bookmarkEnd w:id="171"/>
      <w:r>
        <w:rPr/>
      </w:r>
      <w:r>
        <w:rPr>
          <w:rFonts w:ascii="宋体" w:hAnsi="宋体" w:cs="宋体" w:eastAsia="宋体" w:hint="default"/>
          <w:b/>
          <w:bCs/>
        </w:rPr>
        <w:t>33</w:t>
      </w:r>
      <w:r>
        <w:rPr>
          <w:rFonts w:ascii="宋体" w:hAnsi="宋体" w:cs="宋体" w:eastAsia="宋体" w:hint="default"/>
          <w:b/>
          <w:bCs/>
        </w:rPr>
        <w:t>、重要会计政策和会计估计变更</w:t>
      </w:r>
      <w:r>
        <w:rPr>
          <w:rFonts w:ascii="宋体" w:hAnsi="宋体" w:cs="宋体" w:eastAsia="宋体" w:hint="default"/>
        </w:rPr>
      </w:r>
    </w:p>
    <w:p>
      <w:pPr>
        <w:pStyle w:val="Heading4"/>
        <w:spacing w:line="240" w:lineRule="auto" w:before="46"/>
        <w:ind w:left="153" w:right="0"/>
        <w:jc w:val="left"/>
        <w:rPr>
          <w:b w:val="0"/>
          <w:bCs w:val="0"/>
        </w:rPr>
      </w:pPr>
      <w:bookmarkStart w:name="（1）重要会计政策变更" w:id="172"/>
      <w:bookmarkEnd w:id="172"/>
      <w:r>
        <w:rPr>
          <w:b w:val="0"/>
          <w:bCs w:val="0"/>
        </w:rPr>
      </w:r>
      <w:r>
        <w:rPr/>
        <w:t>（</w:t>
      </w:r>
      <w:r>
        <w:rPr>
          <w:rFonts w:ascii="宋体" w:hAnsi="宋体" w:cs="宋体" w:eastAsia="宋体" w:hint="default"/>
        </w:rPr>
        <w:t>1</w:t>
      </w:r>
      <w:r>
        <w:rPr/>
        <w:t>）重要会计政策变更</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left"/>
      </w:pPr>
      <w:r>
        <w:rPr/>
        <w:t>□ 适用 √</w:t>
      </w:r>
      <w:r>
        <w:rPr>
          <w:spacing w:val="-2"/>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重要会计估计变更" w:id="173"/>
      <w:bookmarkEnd w:id="173"/>
      <w:r>
        <w:rPr>
          <w:b w:val="0"/>
          <w:bCs w:val="0"/>
        </w:rPr>
      </w:r>
      <w:r>
        <w:rPr/>
        <w:t>（</w:t>
      </w:r>
      <w:r>
        <w:rPr>
          <w:rFonts w:ascii="宋体" w:hAnsi="宋体" w:cs="宋体" w:eastAsia="宋体" w:hint="default"/>
        </w:rPr>
        <w:t>2</w:t>
      </w:r>
      <w:r>
        <w:rPr/>
        <w:t>）重要会计估计变更</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98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4、其他" w:id="174"/>
      <w:bookmarkEnd w:id="174"/>
      <w:r>
        <w:rPr>
          <w:rFonts w:ascii="宋体" w:hAnsi="宋体" w:cs="宋体" w:eastAsia="宋体" w:hint="default"/>
          <w:sz w:val="21"/>
          <w:szCs w:val="21"/>
        </w:rPr>
      </w:r>
      <w:r>
        <w:rPr>
          <w:rFonts w:ascii="宋体" w:hAnsi="宋体" w:cs="宋体" w:eastAsia="宋体" w:hint="default"/>
          <w:b/>
          <w:bCs/>
          <w:sz w:val="21"/>
          <w:szCs w:val="21"/>
        </w:rPr>
        <w:t>34</w:t>
      </w:r>
      <w:r>
        <w:rPr>
          <w:rFonts w:ascii="宋体" w:hAnsi="宋体" w:cs="宋体" w:eastAsia="宋体" w:hint="default"/>
          <w:b/>
          <w:bCs/>
          <w:sz w:val="21"/>
          <w:szCs w:val="21"/>
        </w:rPr>
        <w:t>、其他</w:t>
      </w:r>
      <w:r>
        <w:rPr>
          <w:rFonts w:ascii="宋体" w:hAnsi="宋体" w:cs="宋体" w:eastAsia="宋体" w:hint="default"/>
          <w:sz w:val="21"/>
          <w:szCs w:val="21"/>
        </w:rPr>
      </w:r>
    </w:p>
    <w:p>
      <w:pPr>
        <w:spacing w:line="381" w:lineRule="auto" w:before="46"/>
        <w:ind w:left="154" w:right="798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六、税项" w:id="175"/>
      <w:bookmarkEnd w:id="175"/>
      <w:r>
        <w:rPr>
          <w:rFonts w:ascii="宋体" w:hAnsi="宋体" w:cs="宋体" w:eastAsia="宋体" w:hint="default"/>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176"/>
      <w:bookmarkEnd w:id="176"/>
      <w:r>
        <w:rPr>
          <w:rFonts w:ascii="宋体" w:hAnsi="宋体" w:cs="宋体" w:eastAsia="宋体" w:hint="default"/>
          <w:b/>
          <w:bCs/>
          <w:spacing w:val="1"/>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tbl>
      <w:tblPr>
        <w:tblW w:w="0" w:type="auto"/>
        <w:jc w:val="left"/>
        <w:tblInd w:w="138" w:type="dxa"/>
        <w:tblLayout w:type="fixed"/>
        <w:tblCellMar>
          <w:top w:w="0" w:type="dxa"/>
          <w:left w:w="0" w:type="dxa"/>
          <w:bottom w:w="0" w:type="dxa"/>
          <w:right w:w="0" w:type="dxa"/>
        </w:tblCellMar>
        <w:tblLook w:val="01E0"/>
      </w:tblPr>
      <w:tblGrid>
        <w:gridCol w:w="3191"/>
        <w:gridCol w:w="4749"/>
        <w:gridCol w:w="1630"/>
      </w:tblGrid>
      <w:tr>
        <w:trPr>
          <w:trHeight w:val="415"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税种</w:t>
            </w:r>
          </w:p>
        </w:tc>
        <w:tc>
          <w:tcPr>
            <w:tcW w:w="474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63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3" w:hRule="exact"/>
        </w:trPr>
        <w:tc>
          <w:tcPr>
            <w:tcW w:w="3191" w:type="dxa"/>
            <w:tcBorders>
              <w:top w:val="single" w:sz="6" w:space="0" w:color="000000"/>
              <w:left w:val="single" w:sz="12" w:space="0" w:color="000000"/>
              <w:bottom w:val="nil" w:sz="6" w:space="0" w:color="auto"/>
              <w:right w:val="single" w:sz="6" w:space="0" w:color="000000"/>
            </w:tcBorders>
            <w:shd w:val="clear" w:color="auto" w:fill="D2D2D2"/>
          </w:tcPr>
          <w:p>
            <w:pPr/>
          </w:p>
        </w:tc>
        <w:tc>
          <w:tcPr>
            <w:tcW w:w="4749" w:type="dxa"/>
            <w:vMerge w:val="restart"/>
            <w:tcBorders>
              <w:top w:val="single" w:sz="6" w:space="0" w:color="000000"/>
              <w:left w:val="single" w:sz="9" w:space="0" w:color="D2D2D2"/>
              <w:right w:val="single" w:sz="6" w:space="0" w:color="000000"/>
            </w:tcBorders>
          </w:tcPr>
          <w:p>
            <w:pPr>
              <w:pStyle w:val="TableParagraph"/>
              <w:spacing w:line="316" w:lineRule="auto" w:before="51"/>
              <w:ind w:left="16" w:right="123"/>
              <w:jc w:val="left"/>
              <w:rPr>
                <w:rFonts w:ascii="宋体" w:hAnsi="宋体" w:cs="宋体" w:eastAsia="宋体" w:hint="default"/>
                <w:sz w:val="18"/>
                <w:szCs w:val="18"/>
              </w:rPr>
            </w:pPr>
            <w:r>
              <w:rPr>
                <w:rFonts w:ascii="宋体" w:hAnsi="宋体" w:cs="宋体" w:eastAsia="宋体" w:hint="default"/>
                <w:sz w:val="18"/>
                <w:szCs w:val="18"/>
              </w:rPr>
              <w:t>应纳税增值额</w:t>
            </w:r>
            <w:r>
              <w:rPr>
                <w:rFonts w:ascii="宋体" w:hAnsi="宋体" w:cs="宋体" w:eastAsia="宋体" w:hint="default"/>
                <w:sz w:val="18"/>
                <w:szCs w:val="18"/>
              </w:rPr>
              <w:t>(</w:t>
            </w:r>
            <w:r>
              <w:rPr>
                <w:rFonts w:ascii="宋体" w:hAnsi="宋体" w:cs="宋体" w:eastAsia="宋体" w:hint="default"/>
                <w:sz w:val="18"/>
                <w:szCs w:val="18"/>
              </w:rPr>
              <w:t>应纳税额按应纳税销售额乘以适用税率扣除 当期允计抵扣的进项税后的余额计算</w:t>
            </w:r>
            <w:r>
              <w:rPr>
                <w:rFonts w:ascii="宋体" w:hAnsi="宋体" w:cs="宋体" w:eastAsia="宋体" w:hint="default"/>
                <w:sz w:val="18"/>
                <w:szCs w:val="18"/>
              </w:rPr>
              <w:t>)</w:t>
            </w:r>
          </w:p>
        </w:tc>
        <w:tc>
          <w:tcPr>
            <w:tcW w:w="1630" w:type="dxa"/>
            <w:vMerge w:val="restart"/>
            <w:tcBorders>
              <w:top w:val="single" w:sz="6" w:space="0" w:color="000000"/>
              <w:left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6%</w:t>
            </w:r>
          </w:p>
        </w:tc>
      </w:tr>
      <w:tr>
        <w:trPr>
          <w:trHeight w:val="392" w:hRule="exact"/>
        </w:trPr>
        <w:tc>
          <w:tcPr>
            <w:tcW w:w="3191"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749" w:type="dxa"/>
            <w:vMerge/>
            <w:tcBorders>
              <w:left w:val="single" w:sz="9" w:space="0" w:color="D2D2D2"/>
              <w:right w:val="single" w:sz="6" w:space="0" w:color="000000"/>
            </w:tcBorders>
          </w:tcPr>
          <w:p>
            <w:pPr/>
          </w:p>
        </w:tc>
        <w:tc>
          <w:tcPr>
            <w:tcW w:w="1630" w:type="dxa"/>
            <w:vMerge/>
            <w:tcBorders>
              <w:left w:val="single" w:sz="6" w:space="0" w:color="000000"/>
              <w:right w:val="single" w:sz="12" w:space="0" w:color="000000"/>
            </w:tcBorders>
          </w:tcPr>
          <w:p>
            <w:pPr/>
          </w:p>
        </w:tc>
      </w:tr>
      <w:tr>
        <w:trPr>
          <w:trHeight w:val="163" w:hRule="exact"/>
        </w:trPr>
        <w:tc>
          <w:tcPr>
            <w:tcW w:w="3191" w:type="dxa"/>
            <w:tcBorders>
              <w:top w:val="nil" w:sz="6" w:space="0" w:color="auto"/>
              <w:left w:val="single" w:sz="12" w:space="0" w:color="000000"/>
              <w:bottom w:val="single" w:sz="6" w:space="0" w:color="000000"/>
              <w:right w:val="single" w:sz="6" w:space="0" w:color="000000"/>
            </w:tcBorders>
            <w:shd w:val="clear" w:color="auto" w:fill="D2D2D2"/>
          </w:tcPr>
          <w:p>
            <w:pPr/>
          </w:p>
        </w:tc>
        <w:tc>
          <w:tcPr>
            <w:tcW w:w="4749" w:type="dxa"/>
            <w:vMerge/>
            <w:tcBorders>
              <w:left w:val="single" w:sz="9" w:space="0" w:color="D2D2D2"/>
              <w:bottom w:val="single" w:sz="6" w:space="0" w:color="000000"/>
              <w:right w:val="single" w:sz="6" w:space="0" w:color="000000"/>
            </w:tcBorders>
          </w:tcPr>
          <w:p>
            <w:pPr/>
          </w:p>
        </w:tc>
        <w:tc>
          <w:tcPr>
            <w:tcW w:w="1630" w:type="dxa"/>
            <w:vMerge/>
            <w:tcBorders>
              <w:left w:val="single" w:sz="6" w:space="0" w:color="000000"/>
              <w:bottom w:val="single" w:sz="6" w:space="0" w:color="000000"/>
              <w:right w:val="single" w:sz="12" w:space="0" w:color="000000"/>
            </w:tcBorders>
          </w:tcPr>
          <w:p>
            <w:pP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74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16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74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应纳增值税、营业税、消费税额</w:t>
            </w:r>
          </w:p>
        </w:tc>
        <w:tc>
          <w:tcPr>
            <w:tcW w:w="16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sz w:val="18"/>
              </w:rPr>
              <w:t>7%</w:t>
            </w: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749"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63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w:t>
            </w:r>
            <w:r>
              <w:rPr>
                <w:rFonts w:ascii="宋体" w:hAnsi="宋体" w:cs="宋体" w:eastAsia="宋体" w:hint="default"/>
                <w:sz w:val="18"/>
                <w:szCs w:val="18"/>
              </w:rPr>
              <w:t>15%</w:t>
            </w:r>
          </w:p>
        </w:tc>
      </w:tr>
    </w:tbl>
    <w:p>
      <w:pPr>
        <w:spacing w:after="0" w:line="240" w:lineRule="auto"/>
        <w:jc w:val="lef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b/>
          <w:bCs/>
          <w:sz w:val="29"/>
          <w:szCs w:val="29"/>
        </w:rPr>
      </w:pPr>
    </w:p>
    <w:tbl>
      <w:tblPr>
        <w:tblW w:w="0" w:type="auto"/>
        <w:jc w:val="left"/>
        <w:tblInd w:w="130" w:type="dxa"/>
        <w:tblLayout w:type="fixed"/>
        <w:tblCellMar>
          <w:top w:w="0" w:type="dxa"/>
          <w:left w:w="0" w:type="dxa"/>
          <w:bottom w:w="0" w:type="dxa"/>
          <w:right w:w="0" w:type="dxa"/>
        </w:tblCellMar>
        <w:tblLook w:val="01E0"/>
      </w:tblPr>
      <w:tblGrid>
        <w:gridCol w:w="3198"/>
        <w:gridCol w:w="4749"/>
        <w:gridCol w:w="1630"/>
      </w:tblGrid>
      <w:tr>
        <w:trPr>
          <w:trHeight w:val="422" w:hRule="exact"/>
        </w:trPr>
        <w:tc>
          <w:tcPr>
            <w:tcW w:w="3198"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教育费服附加</w:t>
            </w:r>
          </w:p>
        </w:tc>
        <w:tc>
          <w:tcPr>
            <w:tcW w:w="47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应纳增值税、营业税、消费税额</w:t>
            </w:r>
          </w:p>
        </w:tc>
        <w:tc>
          <w:tcPr>
            <w:tcW w:w="163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w:t>
            </w:r>
          </w:p>
        </w:tc>
      </w:tr>
    </w:tbl>
    <w:p>
      <w:pPr>
        <w:pStyle w:val="BodyText"/>
        <w:spacing w:line="240" w:lineRule="auto" w:before="63"/>
        <w:ind w:left="154" w:right="0"/>
        <w:jc w:val="left"/>
      </w:pPr>
      <w:r>
        <w:rPr/>
        <w:t>存在不同企业所得税税率纳税主体的，披露情况说明</w:t>
      </w:r>
    </w:p>
    <w:p>
      <w:pPr>
        <w:spacing w:line="240" w:lineRule="auto" w:before="12"/>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783"/>
        <w:gridCol w:w="4785"/>
      </w:tblGrid>
      <w:tr>
        <w:trPr>
          <w:trHeight w:val="413" w:hRule="exact"/>
        </w:trPr>
        <w:tc>
          <w:tcPr>
            <w:tcW w:w="478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光一科技股份有限公司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sz w:val="18"/>
              </w:rPr>
              <w:t>15%</w:t>
            </w:r>
          </w:p>
        </w:tc>
      </w:tr>
      <w:tr>
        <w:trPr>
          <w:trHeight w:val="408"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sz w:val="18"/>
              </w:rPr>
              <w:t>25%</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25%</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南京智友尚云信息技术有限公司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25%</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南京宇能仪表有限公司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15%</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南京埃尼伦特软件有限公司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sz w:val="18"/>
              </w:rPr>
              <w:t>25%</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sz w:val="18"/>
              </w:rPr>
              <w:t>15%</w:t>
            </w:r>
          </w:p>
        </w:tc>
      </w:tr>
      <w:tr>
        <w:trPr>
          <w:trHeight w:val="408"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湖北鼎瑞科技有限公司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sz w:val="18"/>
              </w:rPr>
              <w:t>25%</w:t>
            </w:r>
          </w:p>
        </w:tc>
      </w:tr>
      <w:tr>
        <w:trPr>
          <w:trHeight w:val="407" w:hRule="exact"/>
        </w:trPr>
        <w:tc>
          <w:tcPr>
            <w:tcW w:w="4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武汉睿博电气有限责任公司</w:t>
            </w:r>
          </w:p>
        </w:tc>
        <w:tc>
          <w:tcPr>
            <w:tcW w:w="47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25%</w:t>
            </w:r>
          </w:p>
        </w:tc>
      </w:tr>
      <w:tr>
        <w:trPr>
          <w:trHeight w:val="415" w:hRule="exact"/>
        </w:trPr>
        <w:tc>
          <w:tcPr>
            <w:tcW w:w="478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荆州市山源科技有限公司</w:t>
            </w:r>
          </w:p>
        </w:tc>
        <w:tc>
          <w:tcPr>
            <w:tcW w:w="47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25%</w:t>
            </w:r>
          </w:p>
        </w:tc>
      </w:tr>
    </w:tbl>
    <w:p>
      <w:pPr>
        <w:pStyle w:val="Heading4"/>
        <w:spacing w:line="240" w:lineRule="auto" w:before="63"/>
        <w:ind w:right="0"/>
        <w:jc w:val="left"/>
        <w:rPr>
          <w:b w:val="0"/>
          <w:bCs w:val="0"/>
        </w:rPr>
      </w:pPr>
      <w:bookmarkStart w:name="2、税收优惠" w:id="177"/>
      <w:bookmarkEnd w:id="177"/>
      <w:r>
        <w:rPr>
          <w:b w:val="0"/>
          <w:bCs w:val="0"/>
        </w:rPr>
      </w:r>
      <w:r>
        <w:rPr>
          <w:rFonts w:ascii="宋体" w:hAnsi="宋体" w:cs="宋体" w:eastAsia="宋体" w:hint="default"/>
        </w:rPr>
        <w:t>2</w:t>
      </w:r>
      <w:r>
        <w:rPr/>
        <w:t>、税收优惠</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28" w:right="0"/>
        <w:jc w:val="left"/>
      </w:pPr>
      <w:r>
        <w:rPr/>
        <w:t>（</w:t>
      </w:r>
      <w:r>
        <w:rPr>
          <w:rFonts w:ascii="宋体" w:hAnsi="宋体" w:cs="宋体" w:eastAsia="宋体" w:hint="default"/>
        </w:rPr>
        <w:t>1</w:t>
      </w:r>
      <w:r>
        <w:rPr/>
        <w:t>）企业所得税 本公司于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31</w:t>
      </w:r>
      <w:r>
        <w:rPr/>
        <w:t>日通过高新技术企业复审，取得《高新技术企业证书》，享受高新技术企业所</w:t>
      </w:r>
    </w:p>
    <w:p>
      <w:pPr>
        <w:pStyle w:val="BodyText"/>
        <w:spacing w:line="408" w:lineRule="auto"/>
        <w:ind w:left="528" w:right="0" w:hanging="375"/>
        <w:jc w:val="left"/>
      </w:pPr>
      <w:r>
        <w:rPr/>
        <w:t>得税优惠政策，有效期三年。在此期间内按</w:t>
      </w:r>
      <w:r>
        <w:rPr>
          <w:rFonts w:ascii="宋体" w:hAnsi="宋体" w:cs="宋体" w:eastAsia="宋体" w:hint="default"/>
        </w:rPr>
        <w:t>15%</w:t>
      </w:r>
      <w:r>
        <w:rPr/>
        <w:t>的税率缴纳企业所得税。 本公司控股子公司索瑞电气于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14</w:t>
      </w:r>
      <w:r>
        <w:rPr/>
        <w:t>日通过高新技术企业评审，取得《高新技术企业证书》，</w:t>
      </w:r>
    </w:p>
    <w:p>
      <w:pPr>
        <w:pStyle w:val="BodyText"/>
        <w:spacing w:line="408" w:lineRule="auto"/>
        <w:ind w:left="528" w:right="149" w:hanging="375"/>
        <w:jc w:val="left"/>
      </w:pPr>
      <w:r>
        <w:rPr/>
        <w:t>享受高新技术企业所得税优惠政策，有效期三年。在此期间内按</w:t>
      </w:r>
      <w:r>
        <w:rPr>
          <w:rFonts w:ascii="宋体" w:hAnsi="宋体" w:cs="宋体" w:eastAsia="宋体" w:hint="default"/>
        </w:rPr>
        <w:t>15%</w:t>
      </w:r>
      <w:r>
        <w:rPr/>
        <w:t>的税率缴纳企业所得税。 </w:t>
      </w:r>
      <w:r>
        <w:rPr>
          <w:spacing w:val="-2"/>
        </w:rPr>
        <w:t>本期合并单位南京宇能于</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日取得《高新技术企业证书》，享受高新技术企业所得税优惠政</w:t>
      </w:r>
    </w:p>
    <w:p>
      <w:pPr>
        <w:pStyle w:val="BodyText"/>
        <w:spacing w:line="408" w:lineRule="auto"/>
        <w:ind w:left="528" w:right="4208" w:hanging="375"/>
        <w:jc w:val="left"/>
      </w:pPr>
      <w:r>
        <w:rPr/>
        <w:t>策，有效期三年，在此期间内按</w:t>
      </w:r>
      <w:r>
        <w:rPr>
          <w:rFonts w:ascii="宋体" w:hAnsi="宋体" w:cs="宋体" w:eastAsia="宋体" w:hint="default"/>
        </w:rPr>
        <w:t>15%</w:t>
      </w:r>
      <w:r>
        <w:rPr/>
        <w:t>的税率缴纳企业所得税。 其他子公司按</w:t>
      </w:r>
      <w:r>
        <w:rPr>
          <w:rFonts w:ascii="宋体" w:hAnsi="宋体" w:cs="宋体" w:eastAsia="宋体" w:hint="default"/>
        </w:rPr>
        <w:t>25%</w:t>
      </w:r>
      <w:r>
        <w:rPr/>
        <w:t>税率缴纳企业所得税。</w:t>
      </w:r>
    </w:p>
    <w:p>
      <w:pPr>
        <w:pStyle w:val="BodyText"/>
        <w:spacing w:line="408" w:lineRule="auto"/>
        <w:ind w:left="528" w:right="149"/>
        <w:jc w:val="left"/>
      </w:pPr>
      <w:r>
        <w:rPr/>
        <w:t>（</w:t>
      </w:r>
      <w:r>
        <w:rPr>
          <w:rFonts w:ascii="宋体" w:hAnsi="宋体" w:cs="宋体" w:eastAsia="宋体" w:hint="default"/>
        </w:rPr>
        <w:t>2</w:t>
      </w:r>
      <w:r>
        <w:rPr/>
        <w:t>）增值税 </w:t>
      </w:r>
      <w:r>
        <w:rPr>
          <w:spacing w:val="-2"/>
        </w:rPr>
        <w:t>公司及各子公司根据国务院</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28</w:t>
      </w:r>
      <w:r>
        <w:rPr>
          <w:spacing w:val="-2"/>
        </w:rPr>
        <w:t>日下发的《国务院关于印发进一步鼓励软件产业和集成电路产</w:t>
      </w:r>
    </w:p>
    <w:p>
      <w:pPr>
        <w:pStyle w:val="BodyText"/>
        <w:spacing w:line="408" w:lineRule="auto"/>
        <w:ind w:left="154" w:right="0"/>
        <w:jc w:val="left"/>
      </w:pPr>
      <w:r>
        <w:rPr/>
        <w:t>业发展若干政策的通知》国发</w:t>
      </w:r>
      <w:r>
        <w:rPr>
          <w:rFonts w:ascii="宋体" w:hAnsi="宋体" w:cs="宋体" w:eastAsia="宋体" w:hint="default"/>
        </w:rPr>
        <w:t>[2011]4</w:t>
      </w:r>
      <w:r>
        <w:rPr/>
        <w:t>号文件，对增值税一般纳税人销售其自行开发生产的软件产品，按</w:t>
      </w:r>
      <w:r>
        <w:rPr>
          <w:spacing w:val="-35"/>
        </w:rPr>
        <w:t> </w:t>
      </w:r>
      <w:r>
        <w:rPr>
          <w:spacing w:val="-35"/>
        </w:rPr>
      </w:r>
      <w:r>
        <w:rPr>
          <w:rFonts w:ascii="宋体" w:hAnsi="宋体" w:cs="宋体" w:eastAsia="宋体" w:hint="default"/>
        </w:rPr>
        <w:t>17%</w:t>
      </w:r>
      <w:r>
        <w:rPr/>
        <w:t>的法定税率征收增值税后，对其增值税实际税负超过</w:t>
      </w:r>
      <w:r>
        <w:rPr>
          <w:rFonts w:ascii="宋体" w:hAnsi="宋体" w:cs="宋体" w:eastAsia="宋体" w:hint="default"/>
        </w:rPr>
        <w:t>3%</w:t>
      </w:r>
      <w:r>
        <w:rPr/>
        <w:t>的部分实行即征即退的增值税优惠政策。</w:t>
      </w:r>
    </w:p>
    <w:p>
      <w:pPr>
        <w:pStyle w:val="Heading4"/>
        <w:spacing w:line="240" w:lineRule="auto" w:before="46"/>
        <w:ind w:right="0"/>
        <w:jc w:val="left"/>
        <w:rPr>
          <w:b w:val="0"/>
          <w:bCs w:val="0"/>
        </w:rPr>
      </w:pPr>
      <w:bookmarkStart w:name="3、其他" w:id="178"/>
      <w:bookmarkEnd w:id="178"/>
      <w:r>
        <w:rPr>
          <w:b w:val="0"/>
          <w:bCs w:val="0"/>
        </w:rPr>
      </w:r>
      <w:r>
        <w:rPr>
          <w:rFonts w:ascii="宋体" w:hAnsi="宋体" w:cs="宋体" w:eastAsia="宋体" w:hint="default"/>
        </w:rPr>
        <w:t>3</w:t>
      </w:r>
      <w:r>
        <w:rPr/>
        <w:t>、其他</w:t>
      </w:r>
      <w:r>
        <w:rPr>
          <w:b w:val="0"/>
          <w:bCs w:val="0"/>
        </w:rPr>
      </w:r>
    </w:p>
    <w:p>
      <w:pPr>
        <w:spacing w:line="240" w:lineRule="auto" w:before="10"/>
        <w:rPr>
          <w:rFonts w:ascii="宋体" w:hAnsi="宋体" w:cs="宋体" w:eastAsia="宋体" w:hint="default"/>
          <w:b/>
          <w:bCs/>
          <w:sz w:val="14"/>
          <w:szCs w:val="14"/>
        </w:rPr>
      </w:pPr>
    </w:p>
    <w:p>
      <w:pPr>
        <w:spacing w:line="381" w:lineRule="auto" w:before="0"/>
        <w:ind w:left="153" w:right="693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七、合并财务报表项目注释" w:id="179"/>
      <w:bookmarkEnd w:id="179"/>
      <w:r>
        <w:rPr>
          <w:rFonts w:ascii="宋体" w:hAnsi="宋体" w:cs="宋体" w:eastAsia="宋体" w:hint="default"/>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bookmarkStart w:name="1、货币资金" w:id="180"/>
      <w:bookmarkEnd w:id="180"/>
      <w:r>
        <w:rPr>
          <w:rFonts w:ascii="宋体" w:hAnsi="宋体" w:cs="宋体" w:eastAsia="宋体" w:hint="default"/>
          <w:b/>
          <w:bCs/>
          <w:spacing w:val="18"/>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5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370"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0"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17" w:space="0" w:color="D2D2D2"/>
              <w:left w:val="single" w:sz="9" w:space="0" w:color="D2D2D2"/>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161,167.83</w:t>
            </w:r>
          </w:p>
        </w:tc>
        <w:tc>
          <w:tcPr>
            <w:tcW w:w="3189"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96,158.73</w:t>
            </w:r>
          </w:p>
        </w:tc>
      </w:tr>
      <w:tr>
        <w:trPr>
          <w:trHeight w:val="413"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354,415,297.20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335,740,850.00</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22,088,921.07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25,540,363.56</w:t>
            </w:r>
          </w:p>
        </w:tc>
      </w:tr>
      <w:tr>
        <w:trPr>
          <w:trHeight w:val="419"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376,665,386.10</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361,377,372.29</w:t>
            </w:r>
          </w:p>
        </w:tc>
      </w:tr>
    </w:tbl>
    <w:p>
      <w:pPr>
        <w:pStyle w:val="BodyText"/>
        <w:spacing w:line="240" w:lineRule="auto" w:before="63"/>
        <w:ind w:left="154" w:right="0"/>
        <w:jc w:val="left"/>
      </w:pPr>
      <w:r>
        <w:rPr/>
        <w:t>其他说明</w:t>
      </w:r>
    </w:p>
    <w:p>
      <w:pPr>
        <w:spacing w:line="240" w:lineRule="auto" w:before="10"/>
        <w:rPr>
          <w:rFonts w:ascii="宋体" w:hAnsi="宋体" w:cs="宋体" w:eastAsia="宋体" w:hint="default"/>
          <w:sz w:val="14"/>
          <w:szCs w:val="14"/>
        </w:rPr>
      </w:pPr>
    </w:p>
    <w:p>
      <w:pPr>
        <w:spacing w:line="408" w:lineRule="auto" w:before="0"/>
        <w:ind w:left="153" w:right="3892" w:firstLine="421"/>
        <w:jc w:val="left"/>
        <w:rPr>
          <w:rFonts w:ascii="宋体" w:hAnsi="宋体" w:cs="宋体" w:eastAsia="宋体" w:hint="default"/>
          <w:sz w:val="21"/>
          <w:szCs w:val="21"/>
        </w:rPr>
      </w:pPr>
      <w:r>
        <w:rPr>
          <w:rFonts w:ascii="宋体" w:hAnsi="宋体" w:cs="宋体" w:eastAsia="宋体" w:hint="default"/>
          <w:sz w:val="21"/>
          <w:szCs w:val="21"/>
        </w:rPr>
        <w:t>其他货币资金为银行承兑汇票保证金和履约保函保证金存款 </w:t>
      </w:r>
      <w:bookmarkStart w:name="2、以公允价值计量且其变动计入当期损益的金融资产" w:id="181"/>
      <w:bookmarkEnd w:id="181"/>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spacing w:before="3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370"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0"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0" w:type="dxa"/>
            <w:tcBorders>
              <w:top w:val="single" w:sz="23" w:space="0" w:color="D2D2D2"/>
              <w:left w:val="single" w:sz="9" w:space="0" w:color="D2D2D2"/>
              <w:bottom w:val="single" w:sz="6" w:space="0" w:color="000000"/>
              <w:right w:val="single" w:sz="6" w:space="0" w:color="000000"/>
            </w:tcBorders>
          </w:tcPr>
          <w:p>
            <w:pPr/>
          </w:p>
        </w:tc>
        <w:tc>
          <w:tcPr>
            <w:tcW w:w="3189"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7,176.57</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733"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0" w:type="dxa"/>
            <w:tcBorders>
              <w:top w:val="single" w:sz="6" w:space="0" w:color="000000"/>
              <w:left w:val="single" w:sz="9" w:space="0" w:color="D2D2D2"/>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7,176.57</w:t>
            </w:r>
          </w:p>
        </w:tc>
      </w:tr>
      <w:tr>
        <w:trPr>
          <w:trHeight w:val="421"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7,176.57</w:t>
            </w:r>
          </w:p>
        </w:tc>
      </w:tr>
    </w:tbl>
    <w:p>
      <w:pPr>
        <w:spacing w:line="240" w:lineRule="auto" w:before="1"/>
        <w:rPr>
          <w:rFonts w:ascii="宋体" w:hAnsi="宋体" w:cs="宋体" w:eastAsia="宋体" w:hint="default"/>
          <w:sz w:val="14"/>
          <w:szCs w:val="14"/>
        </w:rPr>
      </w:pPr>
    </w:p>
    <w:p>
      <w:pPr>
        <w:pStyle w:val="Heading4"/>
        <w:spacing w:line="240" w:lineRule="auto" w:before="35"/>
        <w:ind w:right="0"/>
        <w:jc w:val="left"/>
        <w:rPr>
          <w:b w:val="0"/>
          <w:bCs w:val="0"/>
        </w:rPr>
      </w:pPr>
      <w:r>
        <w:rPr/>
        <w:pict>
          <v:group style="position:absolute;margin-left:215.300003pt;margin-top:-28.466337pt;width:.1pt;height:15.6pt;mso-position-horizontal-relative:page;mso-position-vertical-relative:paragraph;z-index:-912976" coordorigin="4306,-569" coordsize="2,312">
            <v:shape style="position:absolute;left:4306;top:-569;width:2;height:312" coordorigin="4306,-569" coordsize="0,312" path="m4306,-569l4306,-257e" filled="false" stroked="true" strokeweight="1.08pt" strokecolor="#d2d2d2">
              <v:path arrowok="t"/>
            </v:shape>
            <w10:wrap type="none"/>
          </v:group>
        </w:pict>
      </w:r>
      <w:bookmarkStart w:name="3、衍生金融资产" w:id="182"/>
      <w:bookmarkEnd w:id="182"/>
      <w:r>
        <w:rPr>
          <w:b w:val="0"/>
          <w:bCs w:val="0"/>
        </w:rPr>
      </w:r>
      <w:r>
        <w:rPr>
          <w:rFonts w:ascii="宋体" w:hAnsi="宋体" w:cs="宋体" w:eastAsia="宋体" w:hint="default"/>
        </w:rPr>
        <w:t>3</w:t>
      </w:r>
      <w:r>
        <w:rPr/>
        <w:t>、衍生金融资产</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98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应收票据" w:id="183"/>
      <w:bookmarkEnd w:id="183"/>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pStyle w:val="Heading4"/>
        <w:spacing w:line="240" w:lineRule="auto" w:before="46"/>
        <w:ind w:right="0"/>
        <w:jc w:val="left"/>
        <w:rPr>
          <w:b w:val="0"/>
          <w:bCs w:val="0"/>
        </w:rPr>
      </w:pPr>
      <w:bookmarkStart w:name="（1）应收票据分类列示" w:id="184"/>
      <w:bookmarkEnd w:id="184"/>
      <w:r>
        <w:rPr>
          <w:b w:val="0"/>
          <w:bCs w:val="0"/>
        </w:rPr>
      </w:r>
      <w:r>
        <w:rPr/>
        <w:t>（</w:t>
      </w:r>
      <w:r>
        <w:rPr>
          <w:rFonts w:ascii="宋体" w:hAnsi="宋体" w:cs="宋体" w:eastAsia="宋体" w:hint="default"/>
        </w:rPr>
        <w:t>1</w:t>
      </w:r>
      <w:r>
        <w:rPr/>
        <w:t>）应收票据分类列示</w:t>
      </w:r>
      <w:r>
        <w:rPr>
          <w:b w:val="0"/>
          <w:bCs w:val="0"/>
        </w:rPr>
      </w:r>
    </w:p>
    <w:p>
      <w:pPr>
        <w:spacing w:before="14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369"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1"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23" w:space="0" w:color="D2D2D2"/>
              <w:left w:val="single" w:sz="9" w:space="0" w:color="D2D2D2"/>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7,850,720.00</w:t>
            </w:r>
          </w:p>
        </w:tc>
        <w:tc>
          <w:tcPr>
            <w:tcW w:w="3189"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2,300,000.00</w:t>
            </w:r>
          </w:p>
        </w:tc>
      </w:tr>
      <w:tr>
        <w:trPr>
          <w:trHeight w:val="412"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600,000.00</w:t>
            </w:r>
          </w:p>
        </w:tc>
        <w:tc>
          <w:tcPr>
            <w:tcW w:w="3189"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8,450,720.00</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2,300,000.00</w:t>
            </w:r>
          </w:p>
        </w:tc>
      </w:tr>
    </w:tbl>
    <w:p>
      <w:pPr>
        <w:pStyle w:val="Heading4"/>
        <w:spacing w:line="240" w:lineRule="auto" w:before="63"/>
        <w:ind w:right="0"/>
        <w:jc w:val="left"/>
        <w:rPr>
          <w:b w:val="0"/>
          <w:bCs w:val="0"/>
        </w:rPr>
      </w:pPr>
      <w:r>
        <w:rPr/>
        <w:pict>
          <v:group style="position:absolute;margin-left:215.300003pt;margin-top:-19.206314pt;width:.1pt;height:15.6pt;mso-position-horizontal-relative:page;mso-position-vertical-relative:paragraph;z-index:-912952" coordorigin="4306,-384" coordsize="2,312">
            <v:shape style="position:absolute;left:4306;top:-384;width:2;height:312" coordorigin="4306,-384" coordsize="0,312" path="m4306,-384l4306,-72e" filled="false" stroked="true" strokeweight="1.08pt" strokecolor="#d2d2d2">
              <v:path arrowok="t"/>
            </v:shape>
            <w10:wrap type="none"/>
          </v:group>
        </w:pict>
      </w:r>
      <w:bookmarkStart w:name="（2）期末公司已质押的应收票据" w:id="185"/>
      <w:bookmarkEnd w:id="185"/>
      <w:r>
        <w:rPr>
          <w:b w:val="0"/>
          <w:bCs w:val="0"/>
        </w:rPr>
      </w:r>
      <w:r>
        <w:rPr/>
        <w:t>（</w:t>
      </w:r>
      <w:r>
        <w:rPr>
          <w:rFonts w:ascii="宋体" w:hAnsi="宋体" w:cs="宋体" w:eastAsia="宋体" w:hint="default"/>
        </w:rPr>
        <w:t>2</w:t>
      </w:r>
      <w:r>
        <w:rPr/>
        <w:t>）期末公司已质押的应收票据</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2"/>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期末公司已背书或贴现且在资产负债表日尚未到期的应收票据" w:id="186"/>
      <w:bookmarkEnd w:id="186"/>
      <w:r>
        <w:rPr>
          <w:b w:val="0"/>
          <w:bCs w:val="0"/>
        </w:rPr>
      </w:r>
      <w:r>
        <w:rPr/>
        <w:t>（</w:t>
      </w:r>
      <w:r>
        <w:rPr>
          <w:rFonts w:ascii="宋体" w:hAnsi="宋体" w:cs="宋体" w:eastAsia="宋体" w:hint="default"/>
        </w:rPr>
        <w:t>3</w:t>
      </w:r>
      <w:r>
        <w:rPr/>
        <w:t>）期末公司已背书或贴现且在资产负债表日尚未到期的应收票据</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73"/>
        <w:gridCol w:w="3201"/>
        <w:gridCol w:w="3189"/>
      </w:tblGrid>
      <w:tr>
        <w:trPr>
          <w:trHeight w:val="415" w:hRule="exact"/>
        </w:trPr>
        <w:tc>
          <w:tcPr>
            <w:tcW w:w="31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7" w:hRule="exact"/>
        </w:trPr>
        <w:tc>
          <w:tcPr>
            <w:tcW w:w="31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35,838,859.65</w:t>
            </w:r>
          </w:p>
        </w:tc>
        <w:tc>
          <w:tcPr>
            <w:tcW w:w="3189"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35,838,859.65</w:t>
            </w:r>
          </w:p>
        </w:tc>
        <w:tc>
          <w:tcPr>
            <w:tcW w:w="3189" w:type="dxa"/>
            <w:tcBorders>
              <w:top w:val="single" w:sz="6" w:space="0" w:color="000000"/>
              <w:left w:val="single" w:sz="6" w:space="0" w:color="000000"/>
              <w:bottom w:val="single" w:sz="12" w:space="0" w:color="000000"/>
              <w:right w:val="single" w:sz="12" w:space="0" w:color="000000"/>
            </w:tcBorders>
          </w:tcPr>
          <w:p>
            <w:pPr/>
          </w:p>
        </w:tc>
      </w:tr>
    </w:tbl>
    <w:p>
      <w:pPr>
        <w:pStyle w:val="Heading4"/>
        <w:spacing w:line="240" w:lineRule="auto" w:before="63"/>
        <w:ind w:right="0"/>
        <w:jc w:val="left"/>
        <w:rPr>
          <w:b w:val="0"/>
          <w:bCs w:val="0"/>
        </w:rPr>
      </w:pPr>
      <w:bookmarkStart w:name="（4）期末公司因出票人未履约而将其转应收账款的票据" w:id="187"/>
      <w:bookmarkEnd w:id="187"/>
      <w:r>
        <w:rPr>
          <w:b w:val="0"/>
          <w:bCs w:val="0"/>
        </w:rPr>
      </w:r>
      <w:r>
        <w:rPr/>
        <w:t>（</w:t>
      </w:r>
      <w:r>
        <w:rPr>
          <w:rFonts w:ascii="宋体" w:hAnsi="宋体" w:cs="宋体" w:eastAsia="宋体"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2"/>
        </w:rPr>
        <w:t> </w:t>
      </w:r>
      <w:r>
        <w:rPr/>
        <w:t>不适用</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left="973" w:right="135"/>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left="973" w:right="135" w:firstLine="420"/>
        <w:jc w:val="left"/>
      </w:pPr>
      <w:r>
        <w:rPr>
          <w:spacing w:val="-1"/>
        </w:rPr>
        <w:t>应收票据年末数比年初数增加</w:t>
      </w:r>
      <w:r>
        <w:rPr>
          <w:rFonts w:ascii="宋体" w:hAnsi="宋体" w:cs="宋体" w:eastAsia="宋体" w:hint="default"/>
          <w:spacing w:val="-1"/>
        </w:rPr>
        <w:t>6,150,720</w:t>
      </w:r>
      <w:r>
        <w:rPr>
          <w:spacing w:val="-1"/>
        </w:rPr>
        <w:t>元，增加比例</w:t>
      </w:r>
      <w:r>
        <w:rPr>
          <w:rFonts w:ascii="宋体" w:hAnsi="宋体" w:cs="宋体" w:eastAsia="宋体" w:hint="default"/>
          <w:spacing w:val="-1"/>
        </w:rPr>
        <w:t>267.42%</w:t>
      </w:r>
      <w:r>
        <w:rPr>
          <w:spacing w:val="-1"/>
        </w:rPr>
        <w:t>。主要原因为新增合并子公司索瑞电气</w:t>
      </w:r>
      <w:r>
        <w:rPr/>
        <w:t> 公司所致。</w:t>
      </w:r>
    </w:p>
    <w:p>
      <w:pPr>
        <w:pStyle w:val="Heading4"/>
        <w:spacing w:line="240" w:lineRule="auto" w:before="46"/>
        <w:ind w:left="973" w:right="135"/>
        <w:jc w:val="left"/>
        <w:rPr>
          <w:b w:val="0"/>
          <w:bCs w:val="0"/>
        </w:rPr>
      </w:pPr>
      <w:bookmarkStart w:name="5、应收账款" w:id="188"/>
      <w:bookmarkEnd w:id="188"/>
      <w:r>
        <w:rPr>
          <w:b w:val="0"/>
          <w:bCs w:val="0"/>
        </w:rPr>
      </w:r>
      <w:r>
        <w:rPr>
          <w:rFonts w:ascii="宋体" w:hAnsi="宋体" w:cs="宋体" w:eastAsia="宋体" w:hint="default"/>
        </w:rPr>
        <w:t>5</w:t>
      </w:r>
      <w:r>
        <w:rPr/>
        <w:t>、应收账款</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973" w:right="135"/>
        <w:jc w:val="left"/>
        <w:rPr>
          <w:b w:val="0"/>
          <w:bCs w:val="0"/>
        </w:rPr>
      </w:pPr>
      <w:bookmarkStart w:name="（1）应收账款分类披露" w:id="189"/>
      <w:bookmarkEnd w:id="189"/>
      <w:r>
        <w:rPr>
          <w:b w:val="0"/>
          <w:bCs w:val="0"/>
        </w:rPr>
      </w:r>
      <w:r>
        <w:rPr/>
        <w:t>（</w:t>
      </w:r>
      <w:r>
        <w:rPr>
          <w:rFonts w:ascii="宋体" w:hAnsi="宋体" w:cs="宋体" w:eastAsia="宋体" w:hint="default"/>
        </w:rPr>
        <w:t>1</w:t>
      </w:r>
      <w:r>
        <w:rPr/>
        <w:t>）应收账款分类披露</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691"/>
        <w:gridCol w:w="1430"/>
        <w:gridCol w:w="708"/>
        <w:gridCol w:w="1276"/>
        <w:gridCol w:w="567"/>
        <w:gridCol w:w="1418"/>
        <w:gridCol w:w="1417"/>
        <w:gridCol w:w="710"/>
        <w:gridCol w:w="1277"/>
        <w:gridCol w:w="566"/>
        <w:gridCol w:w="1418"/>
      </w:tblGrid>
      <w:tr>
        <w:trPr>
          <w:trHeight w:val="414" w:hRule="exact"/>
        </w:trPr>
        <w:tc>
          <w:tcPr>
            <w:tcW w:w="691" w:type="dxa"/>
            <w:vMerge w:val="restart"/>
            <w:tcBorders>
              <w:top w:val="single" w:sz="12" w:space="0" w:color="000000"/>
              <w:left w:val="single" w:sz="12" w:space="0" w:color="000000"/>
              <w:right w:val="single" w:sz="6" w:space="0" w:color="000000"/>
            </w:tcBorders>
            <w:shd w:val="clear" w:color="auto" w:fill="D2D2D2"/>
          </w:tcPr>
          <w:p>
            <w:pPr/>
          </w:p>
        </w:tc>
        <w:tc>
          <w:tcPr>
            <w:tcW w:w="5398"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388"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4" w:hRule="exact"/>
        </w:trPr>
        <w:tc>
          <w:tcPr>
            <w:tcW w:w="691" w:type="dxa"/>
            <w:vMerge/>
            <w:tcBorders>
              <w:left w:val="single" w:sz="12" w:space="0" w:color="000000"/>
              <w:bottom w:val="nil" w:sz="6" w:space="0" w:color="auto"/>
              <w:right w:val="single" w:sz="6" w:space="0" w:color="000000"/>
            </w:tcBorders>
            <w:shd w:val="clear" w:color="auto" w:fill="D2D2D2"/>
          </w:tcPr>
          <w:p>
            <w:pPr/>
          </w:p>
        </w:tc>
        <w:tc>
          <w:tcPr>
            <w:tcW w:w="2138"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7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vMerge w:val="restart"/>
            <w:tcBorders>
              <w:top w:val="single" w:sz="6" w:space="0" w:color="000000"/>
              <w:left w:val="single" w:sz="6" w:space="0" w:color="000000"/>
              <w:right w:val="single" w:sz="6" w:space="0" w:color="000000"/>
            </w:tcBorders>
            <w:shd w:val="clear" w:color="auto" w:fill="D2D2D2"/>
          </w:tcPr>
          <w:p>
            <w:pPr/>
          </w:p>
        </w:tc>
        <w:tc>
          <w:tcPr>
            <w:tcW w:w="212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69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vMerge w:val="restart"/>
            <w:tcBorders>
              <w:top w:val="single" w:sz="6" w:space="0" w:color="000000"/>
              <w:left w:val="single" w:sz="6" w:space="0" w:color="000000"/>
              <w:right w:val="single" w:sz="12" w:space="0" w:color="000000"/>
            </w:tcBorders>
            <w:shd w:val="clear" w:color="auto" w:fill="D2D2D2"/>
          </w:tcPr>
          <w:p>
            <w:pPr/>
          </w:p>
        </w:tc>
      </w:tr>
      <w:tr>
        <w:trPr>
          <w:trHeight w:val="243" w:hRule="exact"/>
        </w:trPr>
        <w:tc>
          <w:tcPr>
            <w:tcW w:w="691"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138" w:type="dxa"/>
            <w:gridSpan w:val="2"/>
            <w:vMerge/>
            <w:tcBorders>
              <w:left w:val="single" w:sz="6" w:space="0" w:color="000000"/>
              <w:bottom w:val="single" w:sz="6" w:space="0" w:color="000000"/>
              <w:right w:val="single" w:sz="6" w:space="0" w:color="000000"/>
            </w:tcBorders>
            <w:shd w:val="clear" w:color="auto" w:fill="D2D2D2"/>
          </w:tcPr>
          <w:p>
            <w:pPr/>
          </w:p>
        </w:tc>
        <w:tc>
          <w:tcPr>
            <w:tcW w:w="1842" w:type="dxa"/>
            <w:gridSpan w:val="2"/>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2127" w:type="dxa"/>
            <w:gridSpan w:val="2"/>
            <w:vMerge/>
            <w:tcBorders>
              <w:left w:val="single" w:sz="6" w:space="0" w:color="000000"/>
              <w:bottom w:val="single" w:sz="6" w:space="0" w:color="000000"/>
              <w:right w:val="single" w:sz="6" w:space="0" w:color="000000"/>
            </w:tcBorders>
            <w:shd w:val="clear" w:color="auto" w:fill="D2D2D2"/>
          </w:tcPr>
          <w:p>
            <w:pPr/>
          </w:p>
        </w:tc>
        <w:tc>
          <w:tcPr>
            <w:tcW w:w="1843" w:type="dxa"/>
            <w:gridSpan w:val="2"/>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12" w:space="0" w:color="000000"/>
            </w:tcBorders>
            <w:shd w:val="clear" w:color="auto" w:fill="D2D2D2"/>
          </w:tcPr>
          <w:p>
            <w:pPr/>
          </w:p>
        </w:tc>
      </w:tr>
      <w:tr>
        <w:trPr>
          <w:trHeight w:val="164" w:hRule="exact"/>
        </w:trPr>
        <w:tc>
          <w:tcPr>
            <w:tcW w:w="691" w:type="dxa"/>
            <w:vMerge/>
            <w:tcBorders>
              <w:left w:val="single" w:sz="12" w:space="0" w:color="000000"/>
              <w:bottom w:val="nil" w:sz="6" w:space="0" w:color="auto"/>
              <w:right w:val="single" w:sz="6" w:space="0" w:color="000000"/>
            </w:tcBorders>
            <w:shd w:val="clear" w:color="auto" w:fill="D2D2D2"/>
          </w:tcPr>
          <w:p>
            <w:pPr/>
          </w:p>
        </w:tc>
        <w:tc>
          <w:tcPr>
            <w:tcW w:w="1430" w:type="dxa"/>
            <w:tcBorders>
              <w:top w:val="single" w:sz="6" w:space="0" w:color="000000"/>
              <w:left w:val="single" w:sz="6" w:space="0" w:color="000000"/>
              <w:bottom w:val="nil" w:sz="6" w:space="0" w:color="auto"/>
              <w:right w:val="single" w:sz="6" w:space="0" w:color="000000"/>
            </w:tcBorders>
            <w:shd w:val="clear" w:color="auto" w:fill="D2D2D2"/>
          </w:tcPr>
          <w:p>
            <w:pPr/>
          </w:p>
        </w:tc>
        <w:tc>
          <w:tcPr>
            <w:tcW w:w="708"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shd w:val="clear" w:color="auto" w:fill="D2D2D2"/>
          </w:tcPr>
          <w:p>
            <w:pPr/>
          </w:p>
        </w:tc>
        <w:tc>
          <w:tcPr>
            <w:tcW w:w="567"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2"/>
              <w:ind w:left="95" w:right="94"/>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41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1"/>
              <w:ind w:left="34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tcBorders>
              <w:top w:val="single" w:sz="6" w:space="0" w:color="000000"/>
              <w:left w:val="single" w:sz="6" w:space="0" w:color="000000"/>
              <w:bottom w:val="nil" w:sz="6" w:space="0" w:color="auto"/>
              <w:right w:val="single" w:sz="6" w:space="0" w:color="000000"/>
            </w:tcBorders>
            <w:shd w:val="clear" w:color="auto" w:fill="D2D2D2"/>
          </w:tcPr>
          <w:p>
            <w:pPr/>
          </w:p>
        </w:tc>
        <w:tc>
          <w:tcPr>
            <w:tcW w:w="710"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7" w:type="dxa"/>
            <w:tcBorders>
              <w:top w:val="single" w:sz="6" w:space="0" w:color="000000"/>
              <w:left w:val="single" w:sz="6" w:space="0" w:color="000000"/>
              <w:bottom w:val="nil" w:sz="6" w:space="0" w:color="auto"/>
              <w:right w:val="single" w:sz="6" w:space="0" w:color="000000"/>
            </w:tcBorders>
            <w:shd w:val="clear" w:color="auto" w:fill="D2D2D2"/>
          </w:tcPr>
          <w:p>
            <w:pPr/>
          </w:p>
        </w:tc>
        <w:tc>
          <w:tcPr>
            <w:tcW w:w="566"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2"/>
              <w:ind w:left="95" w:right="9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418"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8" w:hRule="exact"/>
        </w:trPr>
        <w:tc>
          <w:tcPr>
            <w:tcW w:w="691" w:type="dxa"/>
            <w:vMerge w:val="restart"/>
            <w:tcBorders>
              <w:top w:val="nil" w:sz="6" w:space="0" w:color="auto"/>
              <w:left w:val="single" w:sz="12" w:space="0" w:color="000000"/>
              <w:right w:val="single" w:sz="6" w:space="0" w:color="000000"/>
            </w:tcBorders>
            <w:shd w:val="clear" w:color="auto" w:fill="D2D2D2"/>
          </w:tcPr>
          <w:p>
            <w:pPr/>
          </w:p>
        </w:tc>
        <w:tc>
          <w:tcPr>
            <w:tcW w:w="143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7"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141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12" w:space="0" w:color="000000"/>
            </w:tcBorders>
            <w:shd w:val="clear" w:color="auto" w:fill="D2D2D2"/>
          </w:tcPr>
          <w:p>
            <w:pPr/>
          </w:p>
        </w:tc>
      </w:tr>
      <w:tr>
        <w:trPr>
          <w:trHeight w:val="204" w:hRule="exact"/>
        </w:trPr>
        <w:tc>
          <w:tcPr>
            <w:tcW w:w="691" w:type="dxa"/>
            <w:vMerge/>
            <w:tcBorders>
              <w:left w:val="single" w:sz="12" w:space="0" w:color="000000"/>
              <w:right w:val="single" w:sz="6" w:space="0" w:color="000000"/>
            </w:tcBorders>
            <w:shd w:val="clear" w:color="auto" w:fill="D2D2D2"/>
          </w:tcPr>
          <w:p>
            <w:pPr/>
          </w:p>
        </w:tc>
        <w:tc>
          <w:tcPr>
            <w:tcW w:w="1430" w:type="dxa"/>
            <w:vMerge/>
            <w:tcBorders>
              <w:left w:val="single" w:sz="6" w:space="0" w:color="000000"/>
              <w:bottom w:val="nil" w:sz="6" w:space="0" w:color="auto"/>
              <w:right w:val="single" w:sz="6" w:space="0" w:color="000000"/>
            </w:tcBorders>
            <w:shd w:val="clear" w:color="auto" w:fill="D2D2D2"/>
          </w:tcPr>
          <w:p>
            <w:pPr/>
          </w:p>
        </w:tc>
        <w:tc>
          <w:tcPr>
            <w:tcW w:w="708"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567" w:type="dxa"/>
            <w:vMerge/>
            <w:tcBorders>
              <w:left w:val="single" w:sz="6"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
        </w:tc>
        <w:tc>
          <w:tcPr>
            <w:tcW w:w="1417" w:type="dxa"/>
            <w:vMerge/>
            <w:tcBorders>
              <w:left w:val="single" w:sz="6" w:space="0" w:color="000000"/>
              <w:bottom w:val="nil" w:sz="6" w:space="0" w:color="auto"/>
              <w:right w:val="single" w:sz="6" w:space="0" w:color="000000"/>
            </w:tcBorders>
            <w:shd w:val="clear" w:color="auto" w:fill="D2D2D2"/>
          </w:tcPr>
          <w:p>
            <w:pPr/>
          </w:p>
        </w:tc>
        <w:tc>
          <w:tcPr>
            <w:tcW w:w="710" w:type="dxa"/>
            <w:vMerge/>
            <w:tcBorders>
              <w:left w:val="single" w:sz="6" w:space="0" w:color="000000"/>
              <w:bottom w:val="nil" w:sz="6" w:space="0" w:color="auto"/>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12" w:space="0" w:color="000000"/>
            </w:tcBorders>
            <w:shd w:val="clear" w:color="auto" w:fill="D2D2D2"/>
          </w:tcPr>
          <w:p>
            <w:pPr/>
          </w:p>
        </w:tc>
      </w:tr>
      <w:tr>
        <w:trPr>
          <w:trHeight w:val="163" w:hRule="exact"/>
        </w:trPr>
        <w:tc>
          <w:tcPr>
            <w:tcW w:w="691" w:type="dxa"/>
            <w:vMerge/>
            <w:tcBorders>
              <w:left w:val="single" w:sz="12" w:space="0" w:color="000000"/>
              <w:bottom w:val="single" w:sz="6" w:space="0" w:color="000000"/>
              <w:right w:val="single" w:sz="6" w:space="0" w:color="000000"/>
            </w:tcBorders>
            <w:shd w:val="clear" w:color="auto" w:fill="D2D2D2"/>
          </w:tcPr>
          <w:p>
            <w:pPr/>
          </w:p>
        </w:tc>
        <w:tc>
          <w:tcPr>
            <w:tcW w:w="1430" w:type="dxa"/>
            <w:tcBorders>
              <w:top w:val="nil" w:sz="6" w:space="0" w:color="auto"/>
              <w:left w:val="single" w:sz="6" w:space="0" w:color="000000"/>
              <w:bottom w:val="single" w:sz="6" w:space="0" w:color="000000"/>
              <w:right w:val="single" w:sz="6" w:space="0" w:color="000000"/>
            </w:tcBorders>
            <w:shd w:val="clear" w:color="auto" w:fill="D2D2D2"/>
          </w:tcPr>
          <w:p>
            <w:pPr/>
          </w:p>
        </w:tc>
        <w:tc>
          <w:tcPr>
            <w:tcW w:w="708"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567" w:type="dxa"/>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6" w:space="0" w:color="000000"/>
            </w:tcBorders>
            <w:shd w:val="clear" w:color="auto" w:fill="D2D2D2"/>
          </w:tcPr>
          <w:p>
            <w:pPr/>
          </w:p>
        </w:tc>
        <w:tc>
          <w:tcPr>
            <w:tcW w:w="1417" w:type="dxa"/>
            <w:tcBorders>
              <w:top w:val="nil" w:sz="6" w:space="0" w:color="auto"/>
              <w:left w:val="single" w:sz="6" w:space="0" w:color="000000"/>
              <w:bottom w:val="single" w:sz="6" w:space="0" w:color="000000"/>
              <w:right w:val="single" w:sz="6" w:space="0" w:color="000000"/>
            </w:tcBorders>
            <w:shd w:val="clear" w:color="auto" w:fill="D2D2D2"/>
          </w:tcPr>
          <w:p>
            <w:pPr/>
          </w:p>
        </w:tc>
        <w:tc>
          <w:tcPr>
            <w:tcW w:w="710"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7" w:type="dxa"/>
            <w:tcBorders>
              <w:top w:val="nil" w:sz="6" w:space="0" w:color="auto"/>
              <w:left w:val="single" w:sz="6" w:space="0" w:color="000000"/>
              <w:bottom w:val="single" w:sz="6" w:space="0" w:color="000000"/>
              <w:right w:val="single" w:sz="6" w:space="0" w:color="000000"/>
            </w:tcBorders>
            <w:shd w:val="clear" w:color="auto" w:fill="D2D2D2"/>
          </w:tcPr>
          <w:p>
            <w:pPr/>
          </w:p>
        </w:tc>
        <w:tc>
          <w:tcPr>
            <w:tcW w:w="566" w:type="dxa"/>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12" w:space="0" w:color="000000"/>
            </w:tcBorders>
            <w:shd w:val="clear" w:color="auto" w:fill="D2D2D2"/>
          </w:tcPr>
          <w:p>
            <w:pPr/>
          </w:p>
        </w:tc>
      </w:tr>
      <w:tr>
        <w:trPr>
          <w:trHeight w:val="2279" w:hRule="exact"/>
        </w:trPr>
        <w:tc>
          <w:tcPr>
            <w:tcW w:w="6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6" w:right="120"/>
              <w:jc w:val="both"/>
              <w:rPr>
                <w:rFonts w:ascii="宋体" w:hAnsi="宋体" w:cs="宋体" w:eastAsia="宋体" w:hint="default"/>
                <w:sz w:val="18"/>
                <w:szCs w:val="18"/>
              </w:rPr>
            </w:pPr>
            <w:r>
              <w:rPr>
                <w:rFonts w:ascii="宋体" w:hAnsi="宋体" w:cs="宋体" w:eastAsia="宋体" w:hint="default"/>
                <w:sz w:val="18"/>
                <w:szCs w:val="18"/>
              </w:rPr>
              <w:t>按信用 风险特 征组合 计提坏 账准备 的应收 账款</w:t>
            </w:r>
          </w:p>
        </w:tc>
        <w:tc>
          <w:tcPr>
            <w:tcW w:w="143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635,089,486.21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31,753,881.72</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5.00%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603,335,604.49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219,784,176.40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13,232,129.10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6.02%</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
              <w:jc w:val="right"/>
              <w:rPr>
                <w:rFonts w:ascii="宋体" w:hAnsi="宋体" w:cs="宋体" w:eastAsia="宋体" w:hint="default"/>
                <w:sz w:val="18"/>
                <w:szCs w:val="18"/>
              </w:rPr>
            </w:pPr>
            <w:r>
              <w:rPr>
                <w:rFonts w:ascii="宋体"/>
                <w:sz w:val="18"/>
              </w:rPr>
              <w:t>206,552,047.30</w:t>
            </w:r>
          </w:p>
        </w:tc>
      </w:tr>
      <w:tr>
        <w:trPr>
          <w:trHeight w:val="415" w:hRule="exact"/>
        </w:trPr>
        <w:tc>
          <w:tcPr>
            <w:tcW w:w="6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635,089,486.21</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31,753,881.72</w:t>
            </w:r>
          </w:p>
        </w:tc>
        <w:tc>
          <w:tcPr>
            <w:tcW w:w="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603,335,604.49</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219,784,176.40</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13,232,129.10</w:t>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6.02%</w:t>
            </w:r>
          </w:p>
        </w:tc>
        <w:tc>
          <w:tcPr>
            <w:tcW w:w="14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206,552,047.30</w:t>
            </w:r>
          </w:p>
        </w:tc>
      </w:tr>
    </w:tbl>
    <w:p>
      <w:pPr>
        <w:pStyle w:val="BodyText"/>
        <w:spacing w:line="240" w:lineRule="auto" w:before="63"/>
        <w:ind w:left="974" w:right="135"/>
        <w:jc w:val="left"/>
      </w:pPr>
      <w:r>
        <w:rPr/>
        <w:t>期末单项金额重大并单项计提坏账准备的应收账款：</w:t>
      </w:r>
    </w:p>
    <w:p>
      <w:pPr>
        <w:spacing w:line="240" w:lineRule="auto" w:before="10"/>
        <w:rPr>
          <w:rFonts w:ascii="宋体" w:hAnsi="宋体" w:cs="宋体" w:eastAsia="宋体" w:hint="default"/>
          <w:sz w:val="14"/>
          <w:szCs w:val="14"/>
        </w:rPr>
      </w:pPr>
    </w:p>
    <w:p>
      <w:pPr>
        <w:pStyle w:val="BodyText"/>
        <w:spacing w:line="408" w:lineRule="auto" w:before="0"/>
        <w:ind w:left="974" w:right="6132"/>
        <w:jc w:val="left"/>
      </w:pPr>
      <w:r>
        <w:rPr/>
        <w:t>□ 适用 √</w:t>
      </w:r>
      <w:r>
        <w:rPr>
          <w:spacing w:val="-1"/>
        </w:rPr>
        <w:t> </w:t>
      </w:r>
      <w:r>
        <w:rPr/>
        <w:t>不适用</w:t>
      </w:r>
      <w:r>
        <w:rPr/>
        <w:t> 组合中，按账龄分析法计提坏账准备的应收账款：</w:t>
      </w:r>
    </w:p>
    <w:p>
      <w:pPr>
        <w:pStyle w:val="BodyText"/>
        <w:spacing w:line="240" w:lineRule="auto"/>
        <w:ind w:left="974" w:right="135"/>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958" w:type="dxa"/>
        <w:tblLayout w:type="fixed"/>
        <w:tblCellMar>
          <w:top w:w="0" w:type="dxa"/>
          <w:left w:w="0" w:type="dxa"/>
          <w:bottom w:w="0" w:type="dxa"/>
          <w:right w:w="0" w:type="dxa"/>
        </w:tblCellMar>
        <w:tblLook w:val="01E0"/>
      </w:tblPr>
      <w:tblGrid>
        <w:gridCol w:w="2393"/>
        <w:gridCol w:w="2393"/>
        <w:gridCol w:w="2392"/>
        <w:gridCol w:w="2391"/>
      </w:tblGrid>
      <w:tr>
        <w:trPr>
          <w:trHeight w:val="413" w:hRule="exact"/>
        </w:trPr>
        <w:tc>
          <w:tcPr>
            <w:tcW w:w="239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393" w:type="dxa"/>
            <w:vMerge/>
            <w:tcBorders>
              <w:left w:val="single" w:sz="12" w:space="0" w:color="000000"/>
              <w:bottom w:val="single" w:sz="6" w:space="0" w:color="000000"/>
              <w:right w:val="single" w:sz="6" w:space="0" w:color="000000"/>
            </w:tcBorders>
            <w:shd w:val="clear" w:color="auto" w:fill="D2D2D2"/>
          </w:tcPr>
          <w:p>
            <w:pPr/>
          </w:p>
        </w:tc>
        <w:tc>
          <w:tcPr>
            <w:tcW w:w="23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8" w:hRule="exact"/>
        </w:trPr>
        <w:tc>
          <w:tcPr>
            <w:tcW w:w="9569" w:type="dxa"/>
            <w:gridSpan w:val="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561,118,332.72</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16,837,944.54</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561,118,332.72</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16,837,944.54</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55,299,963.07</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5,529,996.31</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9,869,380.51</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2,960,814.15</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8,801,809.91</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6,425,126.72</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4,268,980.11</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2,134,490.06</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50.00%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807,310.46</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565,117.32</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70.00%</w:t>
            </w:r>
          </w:p>
        </w:tc>
      </w:tr>
      <w:tr>
        <w:trPr>
          <w:trHeight w:val="415" w:hRule="exact"/>
        </w:trPr>
        <w:tc>
          <w:tcPr>
            <w:tcW w:w="23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3,725,519.34</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3,725,519.34</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747" w:footer="1000" w:top="1040" w:bottom="1180" w:left="160" w:right="0"/>
        </w:sectPr>
      </w:pPr>
    </w:p>
    <w:p>
      <w:pPr>
        <w:spacing w:line="240" w:lineRule="auto" w:before="3"/>
        <w:rPr>
          <w:rFonts w:ascii="宋体" w:hAnsi="宋体" w:cs="宋体" w:eastAsia="宋体" w:hint="default"/>
          <w:sz w:val="29"/>
          <w:szCs w:val="29"/>
        </w:rPr>
      </w:pPr>
    </w:p>
    <w:tbl>
      <w:tblPr>
        <w:tblW w:w="0" w:type="auto"/>
        <w:jc w:val="left"/>
        <w:tblInd w:w="130" w:type="dxa"/>
        <w:tblLayout w:type="fixed"/>
        <w:tblCellMar>
          <w:top w:w="0" w:type="dxa"/>
          <w:left w:w="0" w:type="dxa"/>
          <w:bottom w:w="0" w:type="dxa"/>
          <w:right w:w="0" w:type="dxa"/>
        </w:tblCellMar>
        <w:tblLook w:val="01E0"/>
      </w:tblPr>
      <w:tblGrid>
        <w:gridCol w:w="2400"/>
        <w:gridCol w:w="2393"/>
        <w:gridCol w:w="2392"/>
        <w:gridCol w:w="2391"/>
      </w:tblGrid>
      <w:tr>
        <w:trPr>
          <w:trHeight w:val="422" w:hRule="exact"/>
        </w:trPr>
        <w:tc>
          <w:tcPr>
            <w:tcW w:w="2400" w:type="dxa"/>
            <w:tcBorders>
              <w:top w:val="single" w:sz="12"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1097" w:right="0"/>
              <w:jc w:val="left"/>
              <w:rPr>
                <w:rFonts w:ascii="宋体" w:hAnsi="宋体" w:cs="宋体" w:eastAsia="宋体" w:hint="default"/>
                <w:sz w:val="18"/>
                <w:szCs w:val="18"/>
              </w:rPr>
            </w:pPr>
            <w:r>
              <w:rPr>
                <w:rFonts w:ascii="宋体"/>
                <w:sz w:val="18"/>
              </w:rPr>
              <w:t>635,089,486.21</w:t>
            </w:r>
          </w:p>
        </w:tc>
        <w:tc>
          <w:tcPr>
            <w:tcW w:w="23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1186" w:right="0"/>
              <w:jc w:val="left"/>
              <w:rPr>
                <w:rFonts w:ascii="宋体" w:hAnsi="宋体" w:cs="宋体" w:eastAsia="宋体" w:hint="default"/>
                <w:sz w:val="18"/>
                <w:szCs w:val="18"/>
              </w:rPr>
            </w:pPr>
            <w:r>
              <w:rPr>
                <w:rFonts w:ascii="宋体"/>
                <w:sz w:val="18"/>
              </w:rPr>
              <w:t>31,753,881.72</w:t>
            </w:r>
          </w:p>
        </w:tc>
        <w:tc>
          <w:tcPr>
            <w:tcW w:w="2391" w:type="dxa"/>
            <w:tcBorders>
              <w:top w:val="single" w:sz="12" w:space="0" w:color="000000"/>
              <w:left w:val="single" w:sz="6" w:space="0" w:color="000000"/>
              <w:bottom w:val="single" w:sz="12" w:space="0" w:color="000000"/>
              <w:right w:val="single" w:sz="12" w:space="0" w:color="000000"/>
            </w:tcBorders>
          </w:tcPr>
          <w:p>
            <w:pPr/>
          </w:p>
        </w:tc>
      </w:tr>
    </w:tbl>
    <w:p>
      <w:pPr>
        <w:pStyle w:val="BodyText"/>
        <w:spacing w:line="408" w:lineRule="auto" w:before="63"/>
        <w:ind w:left="154" w:right="4732"/>
        <w:jc w:val="left"/>
      </w:pPr>
      <w:r>
        <w:rPr/>
        <w:t>确定该组合依据的说明： 组合中，采用余额百分比法计提坏账准备的应收账款：</w:t>
      </w:r>
    </w:p>
    <w:p>
      <w:pPr>
        <w:pStyle w:val="BodyText"/>
        <w:spacing w:line="408" w:lineRule="auto"/>
        <w:ind w:left="154" w:right="5152"/>
        <w:jc w:val="left"/>
      </w:pPr>
      <w:r>
        <w:rPr/>
        <w:t>□ 适用 √</w:t>
      </w:r>
      <w:r>
        <w:rPr>
          <w:spacing w:val="-1"/>
        </w:rPr>
        <w:t> </w:t>
      </w:r>
      <w:r>
        <w:rPr/>
        <w:t>不适用</w:t>
      </w:r>
      <w:r>
        <w:rPr/>
        <w:t> 组合中，采用其他方法计提坏账准备的应收账款：</w:t>
      </w:r>
    </w:p>
    <w:p>
      <w:pPr>
        <w:pStyle w:val="Heading4"/>
        <w:spacing w:line="240" w:lineRule="auto" w:before="46"/>
        <w:ind w:right="0"/>
        <w:jc w:val="left"/>
        <w:rPr>
          <w:b w:val="0"/>
          <w:bCs w:val="0"/>
        </w:rPr>
      </w:pPr>
      <w:bookmarkStart w:name="（2）本期计提、收回或转回的坏账准备情况" w:id="190"/>
      <w:bookmarkEnd w:id="190"/>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本期计提坏账准备金额</w:t>
      </w:r>
      <w:r>
        <w:rPr>
          <w:spacing w:val="-52"/>
        </w:rPr>
        <w:t> </w:t>
      </w:r>
      <w:r>
        <w:rPr>
          <w:rFonts w:ascii="宋体" w:hAnsi="宋体" w:cs="宋体" w:eastAsia="宋体" w:hint="default"/>
        </w:rPr>
        <w:t>2,547,740.91</w:t>
      </w:r>
      <w:r>
        <w:rPr>
          <w:rFonts w:ascii="宋体" w:hAnsi="宋体" w:cs="宋体" w:eastAsia="宋体" w:hint="default"/>
          <w:spacing w:val="-54"/>
        </w:rPr>
        <w:t> </w:t>
      </w:r>
      <w:r>
        <w:rPr/>
        <w:t>元；本期收回或转回坏账准备金额</w:t>
      </w:r>
      <w:r>
        <w:rPr>
          <w:spacing w:val="-52"/>
        </w:rPr>
        <w:t> </w:t>
      </w:r>
      <w:r>
        <w:rPr>
          <w:rFonts w:ascii="宋体" w:hAnsi="宋体" w:cs="宋体" w:eastAsia="宋体" w:hint="default"/>
        </w:rPr>
        <w:t>0.00</w:t>
      </w:r>
      <w:r>
        <w:rPr>
          <w:rFonts w:ascii="宋体" w:hAnsi="宋体" w:cs="宋体" w:eastAsia="宋体" w:hint="default"/>
          <w:spacing w:val="-52"/>
        </w:rPr>
        <w:t> </w:t>
      </w:r>
      <w:r>
        <w:rPr/>
        <w:t>元。</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本期实际核销的应收账款情况" w:id="191"/>
      <w:bookmarkEnd w:id="191"/>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4）按欠款方归集的期末余额前五吊的应收账款情况" w:id="192"/>
      <w:bookmarkEnd w:id="192"/>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9"/>
          <w:szCs w:val="9"/>
        </w:rPr>
      </w:pPr>
    </w:p>
    <w:tbl>
      <w:tblPr>
        <w:tblW w:w="0" w:type="auto"/>
        <w:jc w:val="left"/>
        <w:tblInd w:w="133" w:type="dxa"/>
        <w:tblLayout w:type="fixed"/>
        <w:tblCellMar>
          <w:top w:w="0" w:type="dxa"/>
          <w:left w:w="0" w:type="dxa"/>
          <w:bottom w:w="0" w:type="dxa"/>
          <w:right w:w="0" w:type="dxa"/>
        </w:tblCellMar>
        <w:tblLook w:val="01E0"/>
      </w:tblPr>
      <w:tblGrid>
        <w:gridCol w:w="2983"/>
        <w:gridCol w:w="1696"/>
        <w:gridCol w:w="3119"/>
        <w:gridCol w:w="1841"/>
      </w:tblGrid>
      <w:tr>
        <w:trPr>
          <w:trHeight w:val="434" w:hRule="exact"/>
        </w:trPr>
        <w:tc>
          <w:tcPr>
            <w:tcW w:w="298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1"/>
              <w:ind w:right="-49"/>
              <w:jc w:val="right"/>
              <w:rPr>
                <w:rFonts w:ascii="宋体" w:hAnsi="宋体" w:cs="宋体" w:eastAsia="宋体" w:hint="default"/>
                <w:sz w:val="18"/>
                <w:szCs w:val="18"/>
              </w:rPr>
            </w:pPr>
            <w:r>
              <w:rPr>
                <w:rFonts w:ascii="宋体" w:hAnsi="宋体" w:cs="宋体" w:eastAsia="宋体" w:hint="default"/>
                <w:sz w:val="18"/>
                <w:szCs w:val="18"/>
              </w:rPr>
              <w:t>占应收账款期末余额合计数的比例（</w:t>
            </w:r>
            <w:r>
              <w:rPr>
                <w:rFonts w:ascii="宋体" w:hAnsi="宋体" w:cs="宋体" w:eastAsia="宋体" w:hint="default"/>
                <w:sz w:val="18"/>
                <w:szCs w:val="18"/>
              </w:rPr>
              <w:t>%</w:t>
            </w:r>
            <w:r>
              <w:rPr>
                <w:rFonts w:ascii="宋体" w:hAnsi="宋体" w:cs="宋体" w:eastAsia="宋体" w:hint="default"/>
                <w:sz w:val="18"/>
                <w:szCs w:val="18"/>
              </w:rPr>
              <w:t>）</w:t>
            </w:r>
          </w:p>
        </w:tc>
        <w:tc>
          <w:tcPr>
            <w:tcW w:w="184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1"/>
              <w:ind w:left="19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27" w:hRule="exact"/>
        </w:trPr>
        <w:tc>
          <w:tcPr>
            <w:tcW w:w="29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国网山东省电力公司物资公司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1"/>
              <w:jc w:val="right"/>
              <w:rPr>
                <w:rFonts w:ascii="宋体" w:hAnsi="宋体" w:cs="宋体" w:eastAsia="宋体" w:hint="default"/>
                <w:sz w:val="18"/>
                <w:szCs w:val="18"/>
              </w:rPr>
            </w:pPr>
            <w:r>
              <w:rPr>
                <w:rFonts w:ascii="宋体"/>
                <w:sz w:val="18"/>
              </w:rPr>
              <w:t>74,591,184.93</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11.74</w:t>
            </w: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2,237,735.55</w:t>
            </w:r>
          </w:p>
        </w:tc>
      </w:tr>
      <w:tr>
        <w:trPr>
          <w:trHeight w:val="427" w:hRule="exact"/>
        </w:trPr>
        <w:tc>
          <w:tcPr>
            <w:tcW w:w="29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江苏省电力公司物资供应公司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1"/>
              <w:jc w:val="right"/>
              <w:rPr>
                <w:rFonts w:ascii="宋体" w:hAnsi="宋体" w:cs="宋体" w:eastAsia="宋体" w:hint="default"/>
                <w:sz w:val="18"/>
                <w:szCs w:val="18"/>
              </w:rPr>
            </w:pPr>
            <w:r>
              <w:rPr>
                <w:rFonts w:ascii="宋体"/>
                <w:sz w:val="18"/>
              </w:rPr>
              <w:t>53,074,622.34</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8.36</w:t>
            </w: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1,592,238.67</w:t>
            </w:r>
          </w:p>
        </w:tc>
      </w:tr>
      <w:tr>
        <w:trPr>
          <w:trHeight w:val="426" w:hRule="exact"/>
        </w:trPr>
        <w:tc>
          <w:tcPr>
            <w:tcW w:w="29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广西桂越电力科技有限公司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1"/>
              <w:jc w:val="right"/>
              <w:rPr>
                <w:rFonts w:ascii="宋体" w:hAnsi="宋体" w:cs="宋体" w:eastAsia="宋体" w:hint="default"/>
                <w:sz w:val="18"/>
                <w:szCs w:val="18"/>
              </w:rPr>
            </w:pPr>
            <w:r>
              <w:rPr>
                <w:rFonts w:ascii="宋体"/>
                <w:sz w:val="18"/>
              </w:rPr>
              <w:t>32,269,327.45</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5.08</w:t>
            </w: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sz w:val="18"/>
              </w:rPr>
              <w:t>968,079.82</w:t>
            </w:r>
          </w:p>
        </w:tc>
      </w:tr>
      <w:tr>
        <w:trPr>
          <w:trHeight w:val="427" w:hRule="exact"/>
        </w:trPr>
        <w:tc>
          <w:tcPr>
            <w:tcW w:w="29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陕西福星电网设备有限责任公司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1"/>
              <w:jc w:val="right"/>
              <w:rPr>
                <w:rFonts w:ascii="宋体" w:hAnsi="宋体" w:cs="宋体" w:eastAsia="宋体" w:hint="default"/>
                <w:sz w:val="18"/>
                <w:szCs w:val="18"/>
              </w:rPr>
            </w:pPr>
            <w:r>
              <w:rPr>
                <w:rFonts w:ascii="宋体"/>
                <w:sz w:val="18"/>
              </w:rPr>
              <w:t>22,695,373.57</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3.57</w:t>
            </w: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680,861.21</w:t>
            </w:r>
          </w:p>
        </w:tc>
      </w:tr>
      <w:tr>
        <w:trPr>
          <w:trHeight w:val="428" w:hRule="exact"/>
        </w:trPr>
        <w:tc>
          <w:tcPr>
            <w:tcW w:w="29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荆州荣森置业有限公司</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1"/>
              <w:jc w:val="right"/>
              <w:rPr>
                <w:rFonts w:ascii="宋体" w:hAnsi="宋体" w:cs="宋体" w:eastAsia="宋体" w:hint="default"/>
                <w:sz w:val="18"/>
                <w:szCs w:val="18"/>
              </w:rPr>
            </w:pPr>
            <w:r>
              <w:rPr>
                <w:rFonts w:ascii="宋体"/>
                <w:sz w:val="18"/>
              </w:rPr>
              <w:t>16,000,000.00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2.52</w:t>
            </w: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480,000.00</w:t>
            </w:r>
          </w:p>
        </w:tc>
      </w:tr>
      <w:tr>
        <w:trPr>
          <w:trHeight w:val="435" w:hRule="exact"/>
        </w:trPr>
        <w:tc>
          <w:tcPr>
            <w:tcW w:w="298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31"/>
              <w:jc w:val="right"/>
              <w:rPr>
                <w:rFonts w:ascii="宋体" w:hAnsi="宋体" w:cs="宋体" w:eastAsia="宋体" w:hint="default"/>
                <w:sz w:val="18"/>
                <w:szCs w:val="18"/>
              </w:rPr>
            </w:pPr>
            <w:r>
              <w:rPr>
                <w:rFonts w:ascii="宋体"/>
                <w:sz w:val="18"/>
              </w:rPr>
              <w:t>198,630,508.29</w:t>
            </w:r>
          </w:p>
        </w:tc>
        <w:tc>
          <w:tcPr>
            <w:tcW w:w="31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31.27</w:t>
            </w:r>
          </w:p>
        </w:tc>
        <w:tc>
          <w:tcPr>
            <w:tcW w:w="18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sz w:val="18"/>
              </w:rPr>
              <w:t>5,958,915.25</w:t>
            </w:r>
          </w:p>
        </w:tc>
      </w:tr>
    </w:tbl>
    <w:p>
      <w:pPr>
        <w:pStyle w:val="Heading4"/>
        <w:spacing w:line="240" w:lineRule="auto" w:before="63"/>
        <w:ind w:right="0"/>
        <w:jc w:val="left"/>
        <w:rPr>
          <w:b w:val="0"/>
          <w:bCs w:val="0"/>
        </w:rPr>
      </w:pPr>
      <w:bookmarkStart w:name="（5）因金融资产转移而终止确认的应收账款" w:id="193"/>
      <w:bookmarkEnd w:id="193"/>
      <w:r>
        <w:rPr>
          <w:b w:val="0"/>
          <w:bCs w:val="0"/>
        </w:rPr>
      </w:r>
      <w:r>
        <w:rPr/>
        <w:t>（</w:t>
      </w:r>
      <w:r>
        <w:rPr>
          <w:rFonts w:ascii="宋体" w:hAnsi="宋体" w:cs="宋体" w:eastAsia="宋体" w:hint="default"/>
        </w:rPr>
        <w:t>5</w:t>
      </w:r>
      <w:r>
        <w:rPr/>
        <w:t>）因金融资产转移而终止确认的应收账款</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6）转移应收账款且继续涉入形成的资产、负债金额" w:id="194"/>
      <w:bookmarkEnd w:id="194"/>
      <w:r>
        <w:rPr>
          <w:b w:val="0"/>
          <w:bCs w:val="0"/>
        </w:rPr>
      </w:r>
      <w:r>
        <w:rPr/>
        <w:t>（</w:t>
      </w:r>
      <w:r>
        <w:rPr>
          <w:rFonts w:ascii="宋体" w:hAnsi="宋体" w:cs="宋体" w:eastAsia="宋体"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4" w:right="7988"/>
        <w:jc w:val="left"/>
      </w:pPr>
      <w:r>
        <w:rPr/>
        <w:t>□ 适用 √</w:t>
      </w:r>
      <w:r>
        <w:rPr>
          <w:spacing w:val="-1"/>
        </w:rPr>
        <w:t> </w:t>
      </w:r>
      <w:r>
        <w:rPr/>
        <w:t>不适用</w:t>
      </w:r>
      <w:r>
        <w:rPr/>
        <w:t> 其他说明：</w:t>
      </w:r>
    </w:p>
    <w:p>
      <w:pPr>
        <w:pStyle w:val="BodyText"/>
        <w:spacing w:line="408" w:lineRule="auto"/>
        <w:ind w:right="234" w:firstLine="420"/>
        <w:jc w:val="both"/>
      </w:pPr>
      <w:r>
        <w:rPr/>
        <w:t>应收账款余额年末数比年初数增加</w:t>
      </w:r>
      <w:r>
        <w:rPr>
          <w:rFonts w:ascii="宋体" w:hAnsi="宋体" w:cs="宋体" w:eastAsia="宋体" w:hint="default"/>
        </w:rPr>
        <w:t>415,305,309.81</w:t>
      </w:r>
      <w:r>
        <w:rPr/>
        <w:t>元，增加比例为</w:t>
      </w:r>
      <w:r>
        <w:rPr>
          <w:rFonts w:ascii="宋体" w:hAnsi="宋体" w:cs="宋体" w:eastAsia="宋体" w:hint="default"/>
        </w:rPr>
        <w:t>188.96%</w:t>
      </w:r>
      <w:r>
        <w:rPr/>
        <w:t>，增加的主要原因为：新 增合并单位索瑞的应收账款</w:t>
      </w:r>
      <w:r>
        <w:rPr>
          <w:rFonts w:ascii="宋体" w:hAnsi="宋体" w:cs="宋体" w:eastAsia="宋体" w:hint="default"/>
        </w:rPr>
        <w:t>34,407.52</w:t>
      </w:r>
      <w:r>
        <w:rPr/>
        <w:t>万元；国网统一招标后，国网收款政策变更为</w:t>
      </w:r>
      <w:r>
        <w:rPr>
          <w:rFonts w:ascii="宋体" w:hAnsi="宋体" w:cs="宋体" w:eastAsia="宋体" w:hint="default"/>
        </w:rPr>
        <w:t>1</w:t>
      </w:r>
      <w:r>
        <w:rPr/>
        <w:t>：</w:t>
      </w:r>
      <w:r>
        <w:rPr>
          <w:rFonts w:ascii="宋体" w:hAnsi="宋体" w:cs="宋体" w:eastAsia="宋体" w:hint="default"/>
        </w:rPr>
        <w:t>3</w:t>
      </w:r>
      <w:r>
        <w:rPr/>
        <w:t>：</w:t>
      </w:r>
      <w:r>
        <w:rPr>
          <w:rFonts w:ascii="宋体" w:hAnsi="宋体" w:cs="宋体" w:eastAsia="宋体" w:hint="default"/>
        </w:rPr>
        <w:t>3</w:t>
      </w:r>
      <w:r>
        <w:rPr/>
        <w:t>：</w:t>
      </w:r>
      <w:r>
        <w:rPr>
          <w:rFonts w:ascii="宋体" w:hAnsi="宋体" w:cs="宋体" w:eastAsia="宋体" w:hint="default"/>
        </w:rPr>
        <w:t>3</w:t>
      </w:r>
      <w:r>
        <w:rPr/>
        <w:t>，导致公 司收款账期延长。</w:t>
      </w:r>
    </w:p>
    <w:p>
      <w:pPr>
        <w:pStyle w:val="Heading4"/>
        <w:spacing w:line="240" w:lineRule="auto" w:before="46"/>
        <w:ind w:left="153" w:right="0"/>
        <w:jc w:val="left"/>
        <w:rPr>
          <w:b w:val="0"/>
          <w:bCs w:val="0"/>
        </w:rPr>
      </w:pPr>
      <w:bookmarkStart w:name="6、预付款项" w:id="195"/>
      <w:bookmarkEnd w:id="195"/>
      <w:r>
        <w:rPr>
          <w:b w:val="0"/>
          <w:bCs w:val="0"/>
        </w:rPr>
      </w:r>
      <w:r>
        <w:rPr>
          <w:rFonts w:ascii="宋体" w:hAnsi="宋体" w:cs="宋体" w:eastAsia="宋体" w:hint="default"/>
        </w:rPr>
        <w:t>6</w:t>
      </w:r>
      <w:r>
        <w:rPr/>
        <w:t>、预付款项</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53" w:right="0"/>
        <w:jc w:val="left"/>
        <w:rPr>
          <w:b w:val="0"/>
          <w:bCs w:val="0"/>
        </w:rPr>
      </w:pPr>
      <w:bookmarkStart w:name="（1）预付款项按账龄列示" w:id="196"/>
      <w:bookmarkEnd w:id="196"/>
      <w:r>
        <w:rPr>
          <w:b w:val="0"/>
          <w:bCs w:val="0"/>
        </w:rPr>
      </w:r>
      <w:r>
        <w:rPr/>
        <w:t>（</w:t>
      </w:r>
      <w:r>
        <w:rPr>
          <w:rFonts w:ascii="宋体" w:hAnsi="宋体" w:cs="宋体" w:eastAsia="宋体" w:hint="default"/>
        </w:rPr>
        <w:t>1</w:t>
      </w:r>
      <w:r>
        <w:rPr/>
        <w:t>）预付款项按账龄列示</w:t>
      </w:r>
      <w:r>
        <w:rPr>
          <w:b w:val="0"/>
          <w:bCs w:val="0"/>
        </w:rPr>
      </w:r>
    </w:p>
    <w:p>
      <w:pPr>
        <w:spacing w:line="240" w:lineRule="auto" w:before="12"/>
        <w:rPr>
          <w:rFonts w:ascii="宋体" w:hAnsi="宋体" w:cs="宋体" w:eastAsia="宋体" w:hint="default"/>
          <w:b/>
          <w:bCs/>
          <w:sz w:val="13"/>
          <w:szCs w:val="13"/>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13"/>
        <w:gridCol w:w="1916"/>
        <w:gridCol w:w="1914"/>
        <w:gridCol w:w="1914"/>
        <w:gridCol w:w="1909"/>
      </w:tblGrid>
      <w:tr>
        <w:trPr>
          <w:trHeight w:val="413" w:hRule="exact"/>
        </w:trPr>
        <w:tc>
          <w:tcPr>
            <w:tcW w:w="191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3"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1913" w:type="dxa"/>
            <w:vMerge/>
            <w:tcBorders>
              <w:left w:val="single" w:sz="12" w:space="0" w:color="000000"/>
              <w:bottom w:val="single" w:sz="12" w:space="0" w:color="000000"/>
              <w:right w:val="single" w:sz="6" w:space="0" w:color="000000"/>
            </w:tcBorders>
            <w:shd w:val="clear" w:color="auto" w:fill="D2D2D2"/>
          </w:tcPr>
          <w:p>
            <w:pPr/>
          </w:p>
        </w:tc>
        <w:tc>
          <w:tcPr>
            <w:tcW w:w="1916"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9"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913"/>
        <w:gridCol w:w="1916"/>
        <w:gridCol w:w="1914"/>
        <w:gridCol w:w="1914"/>
        <w:gridCol w:w="1915"/>
      </w:tblGrid>
      <w:tr>
        <w:trPr>
          <w:trHeight w:val="415" w:hRule="exact"/>
        </w:trPr>
        <w:tc>
          <w:tcPr>
            <w:tcW w:w="19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3,508,071.57</w:t>
            </w:r>
          </w:p>
        </w:tc>
        <w:tc>
          <w:tcPr>
            <w:tcW w:w="19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74.40%</w:t>
            </w:r>
          </w:p>
        </w:tc>
        <w:tc>
          <w:tcPr>
            <w:tcW w:w="19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17,356,947.84</w:t>
            </w:r>
          </w:p>
        </w:tc>
        <w:tc>
          <w:tcPr>
            <w:tcW w:w="191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62.15%</w:t>
            </w: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177,138.76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10,437,311.71</w:t>
            </w:r>
          </w:p>
        </w:tc>
        <w:tc>
          <w:tcPr>
            <w:tcW w:w="19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37.37%</w:t>
            </w: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1,030,000.00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21.84%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53,500.00</w:t>
            </w:r>
          </w:p>
        </w:tc>
        <w:tc>
          <w:tcPr>
            <w:tcW w:w="19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0.19%</w:t>
            </w: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16"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81,000.00</w:t>
            </w:r>
          </w:p>
        </w:tc>
        <w:tc>
          <w:tcPr>
            <w:tcW w:w="19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0.29%</w:t>
            </w:r>
          </w:p>
        </w:tc>
      </w:tr>
      <w:tr>
        <w:trPr>
          <w:trHeight w:val="415" w:hRule="exact"/>
        </w:trPr>
        <w:tc>
          <w:tcPr>
            <w:tcW w:w="19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4,715,210.33</w:t>
            </w:r>
          </w:p>
        </w:tc>
        <w:tc>
          <w:tcPr>
            <w:tcW w:w="191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1914" w:type="dxa"/>
            <w:tcBorders>
              <w:top w:val="single" w:sz="6" w:space="0" w:color="000000"/>
              <w:left w:val="single" w:sz="6" w:space="0" w:color="000000"/>
              <w:bottom w:val="single" w:sz="12" w:space="0" w:color="000000"/>
              <w:right w:val="single" w:sz="14" w:space="0" w:color="D2D2D2"/>
            </w:tcBorders>
          </w:tcPr>
          <w:p>
            <w:pPr>
              <w:pStyle w:val="TableParagraph"/>
              <w:spacing w:line="240" w:lineRule="auto" w:before="52"/>
              <w:ind w:right="9"/>
              <w:jc w:val="right"/>
              <w:rPr>
                <w:rFonts w:ascii="宋体" w:hAnsi="宋体" w:cs="宋体" w:eastAsia="宋体" w:hint="default"/>
                <w:sz w:val="18"/>
                <w:szCs w:val="18"/>
              </w:rPr>
            </w:pPr>
            <w:r>
              <w:rPr>
                <w:rFonts w:ascii="宋体"/>
                <w:sz w:val="18"/>
              </w:rPr>
              <w:t>27,928,759.55</w:t>
            </w:r>
          </w:p>
        </w:tc>
        <w:tc>
          <w:tcPr>
            <w:tcW w:w="1915"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sz w:val="18"/>
              </w:rPr>
              <w:t>--</w:t>
            </w:r>
          </w:p>
        </w:tc>
      </w:tr>
    </w:tbl>
    <w:p>
      <w:pPr>
        <w:pStyle w:val="BodyText"/>
        <w:spacing w:line="408" w:lineRule="auto" w:before="63"/>
        <w:ind w:right="102"/>
        <w:jc w:val="left"/>
      </w:pPr>
      <w:r>
        <w:rPr/>
        <w:t>账龄超过</w:t>
      </w:r>
      <w:r>
        <w:rPr>
          <w:spacing w:val="-52"/>
        </w:rPr>
        <w:t> </w:t>
      </w:r>
      <w:r>
        <w:rPr>
          <w:rFonts w:ascii="宋体" w:hAnsi="宋体" w:cs="宋体" w:eastAsia="宋体" w:hint="default"/>
        </w:rPr>
        <w:t>1</w:t>
      </w:r>
      <w:r>
        <w:rPr>
          <w:rFonts w:ascii="宋体" w:hAnsi="宋体" w:cs="宋体" w:eastAsia="宋体" w:hint="default"/>
          <w:spacing w:val="-53"/>
        </w:rPr>
        <w:t> </w:t>
      </w:r>
      <w:r>
        <w:rPr/>
        <w:t>年且金额重要的预付款项未及时结算原因的说明： </w:t>
      </w:r>
      <w:r>
        <w:rPr>
          <w:spacing w:val="-1"/>
        </w:rPr>
        <w:t>预付东大光一联合研究中心的</w:t>
      </w:r>
      <w:r>
        <w:rPr>
          <w:rFonts w:ascii="宋体" w:hAnsi="宋体" w:cs="宋体" w:eastAsia="宋体" w:hint="default"/>
          <w:spacing w:val="-1"/>
        </w:rPr>
        <w:t>100</w:t>
      </w:r>
      <w:r>
        <w:rPr>
          <w:spacing w:val="-1"/>
        </w:rPr>
        <w:t>万元为项目开发费，该项目仍未达到验收条件；其他款项为采购预付款。</w:t>
      </w:r>
    </w:p>
    <w:p>
      <w:pPr>
        <w:pStyle w:val="Heading4"/>
        <w:spacing w:line="240" w:lineRule="auto" w:before="46"/>
        <w:ind w:right="102"/>
        <w:jc w:val="left"/>
        <w:rPr>
          <w:b w:val="0"/>
          <w:bCs w:val="0"/>
        </w:rPr>
      </w:pPr>
      <w:bookmarkStart w:name="（2）按预付对象归集的期末余额前五吊的预付款情况" w:id="197"/>
      <w:bookmarkEnd w:id="197"/>
      <w:r>
        <w:rPr>
          <w:b w:val="0"/>
          <w:bCs w:val="0"/>
        </w:rPr>
      </w:r>
      <w:r>
        <w:rPr/>
        <w:t>（</w:t>
      </w:r>
      <w:r>
        <w:rPr>
          <w:rFonts w:ascii="宋体" w:hAnsi="宋体" w:cs="宋体" w:eastAsia="宋体"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9"/>
          <w:szCs w:val="9"/>
        </w:rPr>
      </w:pPr>
    </w:p>
    <w:tbl>
      <w:tblPr>
        <w:tblW w:w="0" w:type="auto"/>
        <w:jc w:val="left"/>
        <w:tblInd w:w="133" w:type="dxa"/>
        <w:tblLayout w:type="fixed"/>
        <w:tblCellMar>
          <w:top w:w="0" w:type="dxa"/>
          <w:left w:w="0" w:type="dxa"/>
          <w:bottom w:w="0" w:type="dxa"/>
          <w:right w:w="0" w:type="dxa"/>
        </w:tblCellMar>
        <w:tblLook w:val="01E0"/>
      </w:tblPr>
      <w:tblGrid>
        <w:gridCol w:w="2979"/>
        <w:gridCol w:w="1558"/>
        <w:gridCol w:w="1700"/>
        <w:gridCol w:w="1419"/>
        <w:gridCol w:w="1983"/>
      </w:tblGrid>
      <w:tr>
        <w:trPr>
          <w:trHeight w:val="440" w:hRule="exact"/>
        </w:trPr>
        <w:tc>
          <w:tcPr>
            <w:tcW w:w="297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8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32"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东大光一联合研究中心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sz w:val="18"/>
              </w:rPr>
              <w:t>1,000,000.00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432"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北京南瑞智芯微电子科技有限公司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sz w:val="18"/>
              </w:rPr>
              <w:t>585,000.00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432"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南京天心软件科技有限公司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sz w:val="18"/>
              </w:rPr>
              <w:t>490,000.00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432"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湖南威科电力仪表有限公司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sz w:val="18"/>
              </w:rPr>
              <w:t>465,120.00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432" w:hRule="exact"/>
        </w:trPr>
        <w:tc>
          <w:tcPr>
            <w:tcW w:w="29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青岛鼎信通讯股份有限公司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sz w:val="18"/>
              </w:rPr>
              <w:t>263,387.20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业务未完结</w:t>
            </w:r>
          </w:p>
        </w:tc>
      </w:tr>
      <w:tr>
        <w:trPr>
          <w:trHeight w:val="440" w:hRule="exact"/>
        </w:trPr>
        <w:tc>
          <w:tcPr>
            <w:tcW w:w="297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6" w:space="0" w:color="000000"/>
              <w:left w:val="single" w:sz="6" w:space="0" w:color="000000"/>
              <w:bottom w:val="single" w:sz="12" w:space="0" w:color="000000"/>
              <w:right w:val="single" w:sz="6" w:space="0" w:color="000000"/>
            </w:tcBorders>
          </w:tcPr>
          <w:p>
            <w:pP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sz w:val="18"/>
              </w:rPr>
              <w:t>2,803,507.20</w:t>
            </w:r>
          </w:p>
        </w:tc>
        <w:tc>
          <w:tcPr>
            <w:tcW w:w="1419" w:type="dxa"/>
            <w:tcBorders>
              <w:top w:val="single" w:sz="6" w:space="0" w:color="000000"/>
              <w:left w:val="single" w:sz="6" w:space="0" w:color="000000"/>
              <w:bottom w:val="single" w:sz="12" w:space="0" w:color="000000"/>
              <w:right w:val="single" w:sz="6" w:space="0" w:color="000000"/>
            </w:tcBorders>
          </w:tcPr>
          <w:p>
            <w:pPr/>
          </w:p>
        </w:tc>
        <w:tc>
          <w:tcPr>
            <w:tcW w:w="1983"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0" w:lineRule="auto" w:before="63"/>
        <w:ind w:left="154" w:right="102"/>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231"/>
        <w:jc w:val="left"/>
      </w:pPr>
      <w:r>
        <w:rPr/>
        <w:t>预付账款年末数比年初数减少</w:t>
      </w:r>
      <w:r>
        <w:rPr>
          <w:spacing w:val="-54"/>
        </w:rPr>
        <w:t> </w:t>
      </w:r>
      <w:r>
        <w:rPr>
          <w:rFonts w:ascii="宋体" w:hAnsi="宋体" w:cs="宋体" w:eastAsia="宋体" w:hint="default"/>
        </w:rPr>
        <w:t>23,213,549.22</w:t>
      </w:r>
      <w:r>
        <w:rPr>
          <w:rFonts w:ascii="宋体" w:hAnsi="宋体" w:cs="宋体" w:eastAsia="宋体" w:hint="default"/>
          <w:spacing w:val="-54"/>
        </w:rPr>
        <w:t> </w:t>
      </w:r>
      <w:r>
        <w:rPr/>
        <w:t>元，减少比例为</w:t>
      </w:r>
      <w:r>
        <w:rPr>
          <w:spacing w:val="-55"/>
        </w:rPr>
        <w:t> </w:t>
      </w:r>
      <w:r>
        <w:rPr>
          <w:rFonts w:ascii="宋体" w:hAnsi="宋体" w:cs="宋体" w:eastAsia="宋体" w:hint="default"/>
        </w:rPr>
        <w:t>83.12</w:t>
      </w:r>
      <w:r>
        <w:rPr/>
        <w:t>％，减少主要原因为：本期处置子公 司南京宇能仪表有限公司，年初大部分预付款为其所有导致。</w:t>
      </w:r>
    </w:p>
    <w:p>
      <w:pPr>
        <w:pStyle w:val="Heading4"/>
        <w:spacing w:line="240" w:lineRule="auto" w:before="46"/>
        <w:ind w:left="153" w:right="102"/>
        <w:jc w:val="left"/>
        <w:rPr>
          <w:b w:val="0"/>
          <w:bCs w:val="0"/>
        </w:rPr>
      </w:pPr>
      <w:bookmarkStart w:name="7、应收利息" w:id="198"/>
      <w:bookmarkEnd w:id="198"/>
      <w:r>
        <w:rPr>
          <w:b w:val="0"/>
          <w:bCs w:val="0"/>
        </w:rPr>
      </w:r>
      <w:r>
        <w:rPr>
          <w:rFonts w:ascii="宋体" w:hAnsi="宋体" w:cs="宋体" w:eastAsia="宋体" w:hint="default"/>
        </w:rPr>
        <w:t>7</w:t>
      </w:r>
      <w:r>
        <w:rPr/>
        <w:t>、应收利息</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53" w:right="102"/>
        <w:jc w:val="left"/>
        <w:rPr>
          <w:b w:val="0"/>
          <w:bCs w:val="0"/>
        </w:rPr>
      </w:pPr>
      <w:bookmarkStart w:name="（1）应收利息分类" w:id="199"/>
      <w:bookmarkEnd w:id="199"/>
      <w:r>
        <w:rPr>
          <w:b w:val="0"/>
          <w:bCs w:val="0"/>
        </w:rPr>
      </w:r>
      <w:r>
        <w:rPr/>
        <w:t>（</w:t>
      </w:r>
      <w:r>
        <w:rPr>
          <w:rFonts w:ascii="宋体" w:hAnsi="宋体" w:cs="宋体" w:eastAsia="宋体" w:hint="default"/>
        </w:rPr>
        <w:t>1</w:t>
      </w:r>
      <w:r>
        <w:rPr/>
        <w:t>）应收利息分类</w:t>
      </w:r>
      <w:r>
        <w:rPr>
          <w:b w:val="0"/>
          <w:bCs w:val="0"/>
        </w:rPr>
      </w:r>
    </w:p>
    <w:p>
      <w:pPr>
        <w:spacing w:before="14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91"/>
        <w:gridCol w:w="3191"/>
        <w:gridCol w:w="3188"/>
      </w:tblGrid>
      <w:tr>
        <w:trPr>
          <w:trHeight w:val="349"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319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left="13"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8"/>
              <w:jc w:val="right"/>
              <w:rPr>
                <w:rFonts w:ascii="宋体" w:hAnsi="宋体" w:cs="宋体" w:eastAsia="宋体" w:hint="default"/>
                <w:sz w:val="18"/>
                <w:szCs w:val="18"/>
              </w:rPr>
            </w:pPr>
            <w:r>
              <w:rPr>
                <w:rFonts w:ascii="宋体"/>
                <w:sz w:val="18"/>
              </w:rPr>
              <w:t>579,682.22</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1"/>
              <w:ind w:right="11"/>
              <w:jc w:val="right"/>
              <w:rPr>
                <w:rFonts w:ascii="宋体" w:hAnsi="宋体" w:cs="宋体" w:eastAsia="宋体" w:hint="default"/>
                <w:sz w:val="18"/>
                <w:szCs w:val="18"/>
              </w:rPr>
            </w:pPr>
            <w:r>
              <w:rPr>
                <w:rFonts w:ascii="宋体"/>
                <w:sz w:val="18"/>
              </w:rPr>
              <w:t>725,792.34</w:t>
            </w:r>
          </w:p>
        </w:tc>
      </w:tr>
      <w:tr>
        <w:trPr>
          <w:trHeight w:val="363"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579,682.22</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725,792.34</w:t>
            </w:r>
          </w:p>
        </w:tc>
      </w:tr>
    </w:tbl>
    <w:p>
      <w:pPr>
        <w:pStyle w:val="Heading4"/>
        <w:spacing w:line="240" w:lineRule="auto" w:before="63"/>
        <w:ind w:right="102"/>
        <w:jc w:val="left"/>
        <w:rPr>
          <w:b w:val="0"/>
          <w:bCs w:val="0"/>
        </w:rPr>
      </w:pPr>
      <w:bookmarkStart w:name="（2）重要逾期利息" w:id="200"/>
      <w:bookmarkEnd w:id="200"/>
      <w:r>
        <w:rPr>
          <w:b w:val="0"/>
          <w:bCs w:val="0"/>
        </w:rPr>
      </w:r>
      <w:r>
        <w:rPr/>
        <w:t>（</w:t>
      </w:r>
      <w:r>
        <w:rPr>
          <w:rFonts w:ascii="宋体" w:hAnsi="宋体" w:cs="宋体" w:eastAsia="宋体" w:hint="default"/>
        </w:rPr>
        <w:t>2</w:t>
      </w:r>
      <w:r>
        <w:rPr/>
        <w:t>）重要逾期利息</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04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8、应收股利" w:id="201"/>
      <w:bookmarkEnd w:id="201"/>
      <w:r>
        <w:rPr>
          <w:rFonts w:ascii="宋体" w:hAnsi="宋体" w:cs="宋体" w:eastAsia="宋体" w:hint="default"/>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、应收股利</w:t>
      </w:r>
      <w:r>
        <w:rPr>
          <w:rFonts w:ascii="宋体" w:hAnsi="宋体" w:cs="宋体" w:eastAsia="宋体" w:hint="default"/>
          <w:sz w:val="21"/>
          <w:szCs w:val="21"/>
        </w:rPr>
      </w:r>
    </w:p>
    <w:p>
      <w:pPr>
        <w:pStyle w:val="Heading4"/>
        <w:spacing w:line="240" w:lineRule="auto" w:before="46"/>
        <w:ind w:right="102"/>
        <w:jc w:val="left"/>
        <w:rPr>
          <w:b w:val="0"/>
          <w:bCs w:val="0"/>
        </w:rPr>
      </w:pPr>
      <w:bookmarkStart w:name="（1）应收股利" w:id="202"/>
      <w:bookmarkEnd w:id="202"/>
      <w:r>
        <w:rPr>
          <w:b w:val="0"/>
          <w:bCs w:val="0"/>
        </w:rPr>
      </w:r>
      <w:r>
        <w:rPr/>
        <w:t>（</w:t>
      </w:r>
      <w:r>
        <w:rPr>
          <w:rFonts w:ascii="宋体" w:hAnsi="宋体" w:cs="宋体" w:eastAsia="宋体" w:hint="default"/>
        </w:rPr>
        <w:t>1</w:t>
      </w:r>
      <w:r>
        <w:rPr/>
        <w:t>）应收股利</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10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102"/>
        <w:jc w:val="left"/>
        <w:rPr>
          <w:b w:val="0"/>
          <w:bCs w:val="0"/>
        </w:rPr>
      </w:pPr>
      <w:bookmarkStart w:name="（2）重要的账龄超过1年的应收股利" w:id="203"/>
      <w:bookmarkEnd w:id="203"/>
      <w:r>
        <w:rPr>
          <w:b w:val="0"/>
          <w:bCs w:val="0"/>
        </w:rPr>
      </w:r>
      <w:r>
        <w:rPr/>
        <w:t>（</w:t>
      </w:r>
      <w:r>
        <w:rPr>
          <w:rFonts w:ascii="宋体" w:hAnsi="宋体" w:cs="宋体" w:eastAsia="宋体" w:hint="default"/>
        </w:rPr>
        <w:t>2</w:t>
      </w:r>
      <w:r>
        <w:rPr/>
        <w:t>）重要的账龄超过</w:t>
      </w:r>
      <w:r>
        <w:rPr>
          <w:spacing w:val="-54"/>
        </w:rPr>
        <w:t> </w:t>
      </w:r>
      <w:r>
        <w:rPr>
          <w:rFonts w:ascii="宋体" w:hAnsi="宋体" w:cs="宋体" w:eastAsia="宋体" w:hint="default"/>
        </w:rPr>
        <w:t>1</w:t>
      </w:r>
      <w:r>
        <w:rPr>
          <w:rFonts w:ascii="宋体" w:hAnsi="宋体" w:cs="宋体" w:eastAsia="宋体" w:hint="default"/>
          <w:spacing w:val="-55"/>
        </w:rPr>
        <w:t> </w:t>
      </w:r>
      <w:r>
        <w:rPr/>
        <w:t>年的应收股利</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102"/>
        <w:jc w:val="left"/>
      </w:pPr>
      <w:r>
        <w:rPr/>
        <w:t>□ 适用 √</w:t>
      </w:r>
      <w:r>
        <w:rPr>
          <w:spacing w:val="-1"/>
        </w:rPr>
        <w:t> </w:t>
      </w:r>
      <w:r>
        <w:rPr/>
        <w:t>不适用</w:t>
      </w:r>
    </w:p>
    <w:p>
      <w:pPr>
        <w:spacing w:after="0" w:line="240" w:lineRule="auto"/>
        <w:jc w:val="left"/>
        <w:sectPr>
          <w:pgSz w:w="11910" w:h="16840"/>
          <w:pgMar w:header="747" w:footer="1000" w:top="1040" w:bottom="118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893" w:right="0"/>
        <w:jc w:val="left"/>
        <w:rPr>
          <w:b w:val="0"/>
          <w:bCs w:val="0"/>
        </w:rPr>
      </w:pPr>
      <w:bookmarkStart w:name="9、其他应收款" w:id="204"/>
      <w:bookmarkEnd w:id="204"/>
      <w:r>
        <w:rPr>
          <w:b w:val="0"/>
          <w:bCs w:val="0"/>
        </w:rPr>
      </w:r>
      <w:r>
        <w:rPr>
          <w:rFonts w:ascii="宋体" w:hAnsi="宋体" w:cs="宋体" w:eastAsia="宋体" w:hint="default"/>
        </w:rPr>
        <w:t>9</w:t>
      </w:r>
      <w:r>
        <w:rPr/>
        <w:t>、其他应收款</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893" w:right="0"/>
        <w:jc w:val="left"/>
        <w:rPr>
          <w:b w:val="0"/>
          <w:bCs w:val="0"/>
        </w:rPr>
      </w:pPr>
      <w:bookmarkStart w:name="（1）其他应收款分类披露" w:id="205"/>
      <w:bookmarkEnd w:id="205"/>
      <w:r>
        <w:rPr>
          <w:b w:val="0"/>
          <w:bCs w:val="0"/>
        </w:rPr>
      </w:r>
      <w:r>
        <w:rPr/>
        <w:t>（</w:t>
      </w:r>
      <w:r>
        <w:rPr>
          <w:rFonts w:ascii="宋体" w:hAnsi="宋体" w:cs="宋体" w:eastAsia="宋体" w:hint="default"/>
        </w:rPr>
        <w:t>1</w:t>
      </w:r>
      <w:r>
        <w:rPr/>
        <w:t>）其他应收款分类披露</w:t>
      </w:r>
      <w:r>
        <w:rPr>
          <w:b w:val="0"/>
          <w:bCs w:val="0"/>
        </w:rPr>
      </w:r>
    </w:p>
    <w:p>
      <w:pPr>
        <w:spacing w:line="240" w:lineRule="auto" w:before="6"/>
        <w:rPr>
          <w:rFonts w:ascii="宋体" w:hAnsi="宋体" w:cs="宋体" w:eastAsia="宋体" w:hint="default"/>
          <w:b/>
          <w:bCs/>
          <w:sz w:val="10"/>
          <w:szCs w:val="10"/>
        </w:rPr>
      </w:pPr>
    </w:p>
    <w:p>
      <w:pPr>
        <w:spacing w:before="44"/>
        <w:ind w:left="0" w:right="9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693"/>
        <w:gridCol w:w="1428"/>
        <w:gridCol w:w="709"/>
        <w:gridCol w:w="1276"/>
        <w:gridCol w:w="568"/>
        <w:gridCol w:w="1416"/>
        <w:gridCol w:w="1277"/>
        <w:gridCol w:w="710"/>
        <w:gridCol w:w="1274"/>
        <w:gridCol w:w="568"/>
        <w:gridCol w:w="1277"/>
      </w:tblGrid>
      <w:tr>
        <w:trPr>
          <w:trHeight w:val="414" w:hRule="exact"/>
        </w:trPr>
        <w:tc>
          <w:tcPr>
            <w:tcW w:w="693" w:type="dxa"/>
            <w:vMerge w:val="restart"/>
            <w:tcBorders>
              <w:top w:val="single" w:sz="12" w:space="0" w:color="000000"/>
              <w:left w:val="single" w:sz="12" w:space="0" w:color="000000"/>
              <w:right w:val="single" w:sz="6" w:space="0" w:color="000000"/>
            </w:tcBorders>
            <w:shd w:val="clear" w:color="auto" w:fill="D2D2D2"/>
          </w:tcPr>
          <w:p>
            <w:pPr/>
          </w:p>
        </w:tc>
        <w:tc>
          <w:tcPr>
            <w:tcW w:w="5397"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05"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4" w:hRule="exact"/>
        </w:trPr>
        <w:tc>
          <w:tcPr>
            <w:tcW w:w="693" w:type="dxa"/>
            <w:vMerge/>
            <w:tcBorders>
              <w:left w:val="single" w:sz="12" w:space="0" w:color="000000"/>
              <w:bottom w:val="nil" w:sz="6" w:space="0" w:color="auto"/>
              <w:right w:val="single" w:sz="6" w:space="0" w:color="000000"/>
            </w:tcBorders>
            <w:shd w:val="clear" w:color="auto" w:fill="D2D2D2"/>
          </w:tcPr>
          <w:p>
            <w:pPr/>
          </w:p>
        </w:tc>
        <w:tc>
          <w:tcPr>
            <w:tcW w:w="21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7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6" w:type="dxa"/>
            <w:vMerge w:val="restart"/>
            <w:tcBorders>
              <w:top w:val="single" w:sz="6" w:space="0" w:color="000000"/>
              <w:left w:val="single" w:sz="6" w:space="0" w:color="000000"/>
              <w:right w:val="single" w:sz="6" w:space="0" w:color="000000"/>
            </w:tcBorders>
            <w:shd w:val="clear" w:color="auto" w:fill="D2D2D2"/>
          </w:tcPr>
          <w:p>
            <w:pPr/>
          </w:p>
        </w:tc>
        <w:tc>
          <w:tcPr>
            <w:tcW w:w="198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6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6" w:space="0" w:color="000000"/>
              <w:left w:val="single" w:sz="6" w:space="0" w:color="000000"/>
              <w:right w:val="single" w:sz="12" w:space="0" w:color="000000"/>
            </w:tcBorders>
            <w:shd w:val="clear" w:color="auto" w:fill="D2D2D2"/>
          </w:tcPr>
          <w:p>
            <w:pPr/>
          </w:p>
        </w:tc>
      </w:tr>
      <w:tr>
        <w:trPr>
          <w:trHeight w:val="243" w:hRule="exact"/>
        </w:trPr>
        <w:tc>
          <w:tcPr>
            <w:tcW w:w="693"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137" w:type="dxa"/>
            <w:gridSpan w:val="2"/>
            <w:vMerge/>
            <w:tcBorders>
              <w:left w:val="single" w:sz="6" w:space="0" w:color="000000"/>
              <w:bottom w:val="single" w:sz="6" w:space="0" w:color="000000"/>
              <w:right w:val="single" w:sz="6" w:space="0" w:color="000000"/>
            </w:tcBorders>
            <w:shd w:val="clear" w:color="auto" w:fill="D2D2D2"/>
          </w:tcPr>
          <w:p>
            <w:pPr/>
          </w:p>
        </w:tc>
        <w:tc>
          <w:tcPr>
            <w:tcW w:w="1844" w:type="dxa"/>
            <w:gridSpan w:val="2"/>
            <w:vMerge/>
            <w:tcBorders>
              <w:left w:val="single" w:sz="6" w:space="0" w:color="000000"/>
              <w:bottom w:val="single" w:sz="6" w:space="0" w:color="000000"/>
              <w:right w:val="single" w:sz="6" w:space="0" w:color="000000"/>
            </w:tcBorders>
            <w:shd w:val="clear" w:color="auto" w:fill="D2D2D2"/>
          </w:tcPr>
          <w:p>
            <w:pPr/>
          </w:p>
        </w:tc>
        <w:tc>
          <w:tcPr>
            <w:tcW w:w="1416" w:type="dxa"/>
            <w:vMerge/>
            <w:tcBorders>
              <w:left w:val="single" w:sz="6" w:space="0" w:color="000000"/>
              <w:bottom w:val="nil" w:sz="6" w:space="0" w:color="auto"/>
              <w:right w:val="single" w:sz="6" w:space="0" w:color="000000"/>
            </w:tcBorders>
            <w:shd w:val="clear" w:color="auto" w:fill="D2D2D2"/>
          </w:tcPr>
          <w:p>
            <w:pPr/>
          </w:p>
        </w:tc>
        <w:tc>
          <w:tcPr>
            <w:tcW w:w="1986" w:type="dxa"/>
            <w:gridSpan w:val="2"/>
            <w:vMerge/>
            <w:tcBorders>
              <w:left w:val="single" w:sz="6" w:space="0" w:color="000000"/>
              <w:bottom w:val="single" w:sz="6" w:space="0" w:color="000000"/>
              <w:right w:val="single" w:sz="6" w:space="0" w:color="000000"/>
            </w:tcBorders>
            <w:shd w:val="clear" w:color="auto" w:fill="D2D2D2"/>
          </w:tcPr>
          <w:p>
            <w:pPr/>
          </w:p>
        </w:tc>
        <w:tc>
          <w:tcPr>
            <w:tcW w:w="1842" w:type="dxa"/>
            <w:gridSpan w:val="2"/>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nil" w:sz="6" w:space="0" w:color="auto"/>
              <w:right w:val="single" w:sz="12" w:space="0" w:color="000000"/>
            </w:tcBorders>
            <w:shd w:val="clear" w:color="auto" w:fill="D2D2D2"/>
          </w:tcPr>
          <w:p>
            <w:pPr/>
          </w:p>
        </w:tc>
      </w:tr>
      <w:tr>
        <w:trPr>
          <w:trHeight w:val="164" w:hRule="exact"/>
        </w:trPr>
        <w:tc>
          <w:tcPr>
            <w:tcW w:w="693" w:type="dxa"/>
            <w:vMerge/>
            <w:tcBorders>
              <w:left w:val="single" w:sz="12" w:space="0" w:color="000000"/>
              <w:bottom w:val="nil" w:sz="6" w:space="0" w:color="auto"/>
              <w:right w:val="single" w:sz="6" w:space="0" w:color="000000"/>
            </w:tcBorders>
            <w:shd w:val="clear" w:color="auto" w:fill="D2D2D2"/>
          </w:tcPr>
          <w:p>
            <w:pPr/>
          </w:p>
        </w:tc>
        <w:tc>
          <w:tcPr>
            <w:tcW w:w="1428" w:type="dxa"/>
            <w:tcBorders>
              <w:top w:val="single" w:sz="6" w:space="0" w:color="000000"/>
              <w:left w:val="single" w:sz="6" w:space="0" w:color="000000"/>
              <w:bottom w:val="nil" w:sz="6" w:space="0" w:color="auto"/>
              <w:right w:val="single" w:sz="6" w:space="0" w:color="000000"/>
            </w:tcBorders>
            <w:shd w:val="clear" w:color="auto" w:fill="D2D2D2"/>
          </w:tcPr>
          <w:p>
            <w:pPr/>
          </w:p>
        </w:tc>
        <w:tc>
          <w:tcPr>
            <w:tcW w:w="709"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shd w:val="clear" w:color="auto" w:fill="D2D2D2"/>
          </w:tcPr>
          <w:p>
            <w:pPr/>
          </w:p>
        </w:tc>
        <w:tc>
          <w:tcPr>
            <w:tcW w:w="568"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2"/>
              <w:ind w:left="95" w:right="9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41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1"/>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tcBorders>
              <w:top w:val="single" w:sz="6" w:space="0" w:color="000000"/>
              <w:left w:val="single" w:sz="6" w:space="0" w:color="000000"/>
              <w:bottom w:val="nil" w:sz="6" w:space="0" w:color="auto"/>
              <w:right w:val="single" w:sz="6" w:space="0" w:color="000000"/>
            </w:tcBorders>
            <w:shd w:val="clear" w:color="auto" w:fill="D2D2D2"/>
          </w:tcPr>
          <w:p>
            <w:pPr/>
          </w:p>
        </w:tc>
        <w:tc>
          <w:tcPr>
            <w:tcW w:w="710"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4" w:type="dxa"/>
            <w:tcBorders>
              <w:top w:val="single" w:sz="6" w:space="0" w:color="000000"/>
              <w:left w:val="single" w:sz="6" w:space="0" w:color="000000"/>
              <w:bottom w:val="nil" w:sz="6" w:space="0" w:color="auto"/>
              <w:right w:val="single" w:sz="6" w:space="0" w:color="000000"/>
            </w:tcBorders>
            <w:shd w:val="clear" w:color="auto" w:fill="D2D2D2"/>
          </w:tcPr>
          <w:p>
            <w:pPr/>
          </w:p>
        </w:tc>
        <w:tc>
          <w:tcPr>
            <w:tcW w:w="568"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2"/>
              <w:ind w:left="95" w:right="9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7"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1"/>
              <w:ind w:left="2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8" w:hRule="exact"/>
        </w:trPr>
        <w:tc>
          <w:tcPr>
            <w:tcW w:w="693" w:type="dxa"/>
            <w:vMerge w:val="restart"/>
            <w:tcBorders>
              <w:top w:val="nil" w:sz="6" w:space="0" w:color="auto"/>
              <w:left w:val="single" w:sz="12" w:space="0" w:color="000000"/>
              <w:right w:val="single" w:sz="6" w:space="0" w:color="000000"/>
            </w:tcBorders>
            <w:shd w:val="clear" w:color="auto" w:fill="D2D2D2"/>
          </w:tcPr>
          <w:p>
            <w:pPr/>
          </w:p>
        </w:tc>
        <w:tc>
          <w:tcPr>
            <w:tcW w:w="142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6" w:space="0" w:color="000000"/>
              <w:right w:val="single" w:sz="6" w:space="0" w:color="000000"/>
            </w:tcBorders>
            <w:shd w:val="clear" w:color="auto" w:fill="D2D2D2"/>
          </w:tcPr>
          <w:p>
            <w:pPr/>
          </w:p>
        </w:tc>
        <w:tc>
          <w:tcPr>
            <w:tcW w:w="1416" w:type="dxa"/>
            <w:vMerge/>
            <w:tcBorders>
              <w:left w:val="single" w:sz="6" w:space="0" w:color="000000"/>
              <w:bottom w:val="nil" w:sz="6" w:space="0" w:color="auto"/>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bottom w:val="nil" w:sz="6" w:space="0" w:color="auto"/>
              <w:right w:val="single" w:sz="12" w:space="0" w:color="000000"/>
            </w:tcBorders>
            <w:shd w:val="clear" w:color="auto" w:fill="D2D2D2"/>
          </w:tcPr>
          <w:p>
            <w:pPr/>
          </w:p>
        </w:tc>
      </w:tr>
      <w:tr>
        <w:trPr>
          <w:trHeight w:val="204" w:hRule="exact"/>
        </w:trPr>
        <w:tc>
          <w:tcPr>
            <w:tcW w:w="693" w:type="dxa"/>
            <w:vMerge/>
            <w:tcBorders>
              <w:left w:val="single" w:sz="12" w:space="0" w:color="000000"/>
              <w:right w:val="single" w:sz="6" w:space="0" w:color="000000"/>
            </w:tcBorders>
            <w:shd w:val="clear" w:color="auto" w:fill="D2D2D2"/>
          </w:tcPr>
          <w:p>
            <w:pPr/>
          </w:p>
        </w:tc>
        <w:tc>
          <w:tcPr>
            <w:tcW w:w="1428" w:type="dxa"/>
            <w:vMerge/>
            <w:tcBorders>
              <w:left w:val="single" w:sz="6" w:space="0" w:color="000000"/>
              <w:bottom w:val="nil" w:sz="6" w:space="0" w:color="auto"/>
              <w:right w:val="single" w:sz="6" w:space="0" w:color="000000"/>
            </w:tcBorders>
            <w:shd w:val="clear" w:color="auto" w:fill="D2D2D2"/>
          </w:tcPr>
          <w:p>
            <w:pPr/>
          </w:p>
        </w:tc>
        <w:tc>
          <w:tcPr>
            <w:tcW w:w="709"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568" w:type="dxa"/>
            <w:vMerge/>
            <w:tcBorders>
              <w:left w:val="single" w:sz="6" w:space="0" w:color="000000"/>
              <w:right w:val="single" w:sz="6" w:space="0" w:color="000000"/>
            </w:tcBorders>
            <w:shd w:val="clear" w:color="auto" w:fill="D2D2D2"/>
          </w:tcPr>
          <w:p>
            <w:pPr/>
          </w:p>
        </w:tc>
        <w:tc>
          <w:tcPr>
            <w:tcW w:w="1416" w:type="dxa"/>
            <w:vMerge w:val="restart"/>
            <w:tcBorders>
              <w:top w:val="nil" w:sz="6" w:space="0" w:color="auto"/>
              <w:left w:val="single" w:sz="6" w:space="0" w:color="000000"/>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710" w:type="dxa"/>
            <w:vMerge/>
            <w:tcBorders>
              <w:left w:val="single" w:sz="6" w:space="0" w:color="000000"/>
              <w:bottom w:val="nil" w:sz="6" w:space="0" w:color="auto"/>
              <w:right w:val="single" w:sz="6" w:space="0" w:color="000000"/>
            </w:tcBorders>
            <w:shd w:val="clear" w:color="auto" w:fill="D2D2D2"/>
          </w:tcPr>
          <w:p>
            <w:pPr/>
          </w:p>
        </w:tc>
        <w:tc>
          <w:tcPr>
            <w:tcW w:w="1274" w:type="dxa"/>
            <w:vMerge/>
            <w:tcBorders>
              <w:left w:val="single" w:sz="6" w:space="0" w:color="000000"/>
              <w:bottom w:val="nil" w:sz="6" w:space="0" w:color="auto"/>
              <w:right w:val="single" w:sz="6" w:space="0" w:color="000000"/>
            </w:tcBorders>
            <w:shd w:val="clear" w:color="auto" w:fill="D2D2D2"/>
          </w:tcPr>
          <w:p>
            <w:pPr/>
          </w:p>
        </w:tc>
        <w:tc>
          <w:tcPr>
            <w:tcW w:w="568" w:type="dxa"/>
            <w:vMerge/>
            <w:tcBorders>
              <w:left w:val="single" w:sz="6" w:space="0" w:color="000000"/>
              <w:right w:val="single" w:sz="6" w:space="0" w:color="000000"/>
            </w:tcBorders>
            <w:shd w:val="clear" w:color="auto" w:fill="D2D2D2"/>
          </w:tcPr>
          <w:p>
            <w:pPr/>
          </w:p>
        </w:tc>
        <w:tc>
          <w:tcPr>
            <w:tcW w:w="1277" w:type="dxa"/>
            <w:vMerge w:val="restart"/>
            <w:tcBorders>
              <w:top w:val="nil" w:sz="6" w:space="0" w:color="auto"/>
              <w:left w:val="single" w:sz="6" w:space="0" w:color="000000"/>
              <w:right w:val="single" w:sz="12" w:space="0" w:color="000000"/>
            </w:tcBorders>
            <w:shd w:val="clear" w:color="auto" w:fill="D2D2D2"/>
          </w:tcPr>
          <w:p>
            <w:pPr/>
          </w:p>
        </w:tc>
      </w:tr>
      <w:tr>
        <w:trPr>
          <w:trHeight w:val="163" w:hRule="exact"/>
        </w:trPr>
        <w:tc>
          <w:tcPr>
            <w:tcW w:w="693" w:type="dxa"/>
            <w:vMerge/>
            <w:tcBorders>
              <w:left w:val="single" w:sz="12" w:space="0" w:color="000000"/>
              <w:bottom w:val="single" w:sz="6" w:space="0" w:color="000000"/>
              <w:right w:val="single" w:sz="6" w:space="0" w:color="000000"/>
            </w:tcBorders>
            <w:shd w:val="clear" w:color="auto" w:fill="D2D2D2"/>
          </w:tcPr>
          <w:p>
            <w:pPr/>
          </w:p>
        </w:tc>
        <w:tc>
          <w:tcPr>
            <w:tcW w:w="1428" w:type="dxa"/>
            <w:tcBorders>
              <w:top w:val="nil" w:sz="6" w:space="0" w:color="auto"/>
              <w:left w:val="single" w:sz="6" w:space="0" w:color="000000"/>
              <w:bottom w:val="single" w:sz="6" w:space="0" w:color="000000"/>
              <w:right w:val="single" w:sz="6" w:space="0" w:color="000000"/>
            </w:tcBorders>
            <w:shd w:val="clear" w:color="auto" w:fill="D2D2D2"/>
          </w:tcPr>
          <w:p>
            <w:pPr/>
          </w:p>
        </w:tc>
        <w:tc>
          <w:tcPr>
            <w:tcW w:w="70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568" w:type="dxa"/>
            <w:vMerge/>
            <w:tcBorders>
              <w:left w:val="single" w:sz="6" w:space="0" w:color="000000"/>
              <w:bottom w:val="single" w:sz="6" w:space="0" w:color="000000"/>
              <w:right w:val="single" w:sz="6" w:space="0" w:color="000000"/>
            </w:tcBorders>
            <w:shd w:val="clear" w:color="auto" w:fill="D2D2D2"/>
          </w:tcPr>
          <w:p>
            <w:pPr/>
          </w:p>
        </w:tc>
        <w:tc>
          <w:tcPr>
            <w:tcW w:w="1416" w:type="dxa"/>
            <w:vMerge/>
            <w:tcBorders>
              <w:left w:val="single" w:sz="6" w:space="0" w:color="000000"/>
              <w:bottom w:val="single" w:sz="6" w:space="0" w:color="000000"/>
              <w:right w:val="single" w:sz="6" w:space="0" w:color="000000"/>
            </w:tcBorders>
            <w:shd w:val="clear" w:color="auto" w:fill="D2D2D2"/>
          </w:tcPr>
          <w:p>
            <w:pPr/>
          </w:p>
        </w:tc>
        <w:tc>
          <w:tcPr>
            <w:tcW w:w="1277" w:type="dxa"/>
            <w:tcBorders>
              <w:top w:val="nil" w:sz="6" w:space="0" w:color="auto"/>
              <w:left w:val="single" w:sz="6" w:space="0" w:color="000000"/>
              <w:bottom w:val="single" w:sz="6" w:space="0" w:color="000000"/>
              <w:right w:val="single" w:sz="6" w:space="0" w:color="000000"/>
            </w:tcBorders>
            <w:shd w:val="clear" w:color="auto" w:fill="D2D2D2"/>
          </w:tcPr>
          <w:p>
            <w:pPr/>
          </w:p>
        </w:tc>
        <w:tc>
          <w:tcPr>
            <w:tcW w:w="710"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4" w:type="dxa"/>
            <w:tcBorders>
              <w:top w:val="nil" w:sz="6" w:space="0" w:color="auto"/>
              <w:left w:val="single" w:sz="6" w:space="0" w:color="000000"/>
              <w:bottom w:val="single" w:sz="6" w:space="0" w:color="000000"/>
              <w:right w:val="single" w:sz="6" w:space="0" w:color="000000"/>
            </w:tcBorders>
            <w:shd w:val="clear" w:color="auto" w:fill="D2D2D2"/>
          </w:tcPr>
          <w:p>
            <w:pPr/>
          </w:p>
        </w:tc>
        <w:tc>
          <w:tcPr>
            <w:tcW w:w="568"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12" w:space="0" w:color="000000"/>
            </w:tcBorders>
            <w:shd w:val="clear" w:color="auto" w:fill="D2D2D2"/>
          </w:tcPr>
          <w:p>
            <w:pPr/>
          </w:p>
        </w:tc>
      </w:tr>
      <w:tr>
        <w:trPr>
          <w:trHeight w:val="2279" w:hRule="exact"/>
        </w:trPr>
        <w:tc>
          <w:tcPr>
            <w:tcW w:w="6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6" w:right="122"/>
              <w:jc w:val="both"/>
              <w:rPr>
                <w:rFonts w:ascii="宋体" w:hAnsi="宋体" w:cs="宋体" w:eastAsia="宋体" w:hint="default"/>
                <w:sz w:val="18"/>
                <w:szCs w:val="18"/>
              </w:rPr>
            </w:pPr>
            <w:r>
              <w:rPr>
                <w:rFonts w:ascii="宋体" w:hAnsi="宋体" w:cs="宋体" w:eastAsia="宋体" w:hint="default"/>
                <w:sz w:val="18"/>
                <w:szCs w:val="18"/>
              </w:rPr>
              <w:t>单项金 额重大 并单独 计提坏 账准备 的其他 应收款</w:t>
            </w:r>
          </w:p>
        </w:tc>
        <w:tc>
          <w:tcPr>
            <w:tcW w:w="1428"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78,750,000.00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77.01%</w:t>
            </w:r>
          </w:p>
        </w:tc>
        <w:tc>
          <w:tcPr>
            <w:tcW w:w="1276"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78,750,000.00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12" w:space="0" w:color="000000"/>
            </w:tcBorders>
          </w:tcPr>
          <w:p>
            <w:pPr/>
          </w:p>
        </w:tc>
      </w:tr>
      <w:tr>
        <w:trPr>
          <w:trHeight w:val="2279" w:hRule="exact"/>
        </w:trPr>
        <w:tc>
          <w:tcPr>
            <w:tcW w:w="6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6" w:right="122"/>
              <w:jc w:val="both"/>
              <w:rPr>
                <w:rFonts w:ascii="宋体" w:hAnsi="宋体" w:cs="宋体" w:eastAsia="宋体" w:hint="default"/>
                <w:sz w:val="18"/>
                <w:szCs w:val="18"/>
              </w:rPr>
            </w:pPr>
            <w:r>
              <w:rPr>
                <w:rFonts w:ascii="宋体" w:hAnsi="宋体" w:cs="宋体" w:eastAsia="宋体" w:hint="default"/>
                <w:sz w:val="18"/>
                <w:szCs w:val="18"/>
              </w:rPr>
              <w:t>按信用 风险特 征组合 计提坏 账准备 的其他 应收款</w:t>
            </w:r>
          </w:p>
        </w:tc>
        <w:tc>
          <w:tcPr>
            <w:tcW w:w="1428"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23,508,693.63</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22.99%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1,601,459.95</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6.81%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21,907,233.68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1" w:right="0"/>
              <w:jc w:val="center"/>
              <w:rPr>
                <w:rFonts w:ascii="宋体" w:hAnsi="宋体" w:cs="宋体" w:eastAsia="宋体" w:hint="default"/>
                <w:sz w:val="18"/>
                <w:szCs w:val="18"/>
              </w:rPr>
            </w:pPr>
            <w:r>
              <w:rPr>
                <w:rFonts w:ascii="宋体"/>
                <w:sz w:val="18"/>
              </w:rPr>
              <w:t>41,982,475.77</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 w:right="0"/>
              <w:jc w:val="center"/>
              <w:rPr>
                <w:rFonts w:ascii="宋体" w:hAnsi="宋体" w:cs="宋体" w:eastAsia="宋体" w:hint="default"/>
                <w:sz w:val="18"/>
                <w:szCs w:val="18"/>
              </w:rPr>
            </w:pPr>
            <w:r>
              <w:rPr>
                <w:rFonts w:ascii="宋体"/>
                <w:sz w:val="18"/>
              </w:rPr>
              <w:t>100.00%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2,867,440.75</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6.83%</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
              <w:jc w:val="right"/>
              <w:rPr>
                <w:rFonts w:ascii="宋体" w:hAnsi="宋体" w:cs="宋体" w:eastAsia="宋体" w:hint="default"/>
                <w:sz w:val="18"/>
                <w:szCs w:val="18"/>
              </w:rPr>
            </w:pPr>
            <w:r>
              <w:rPr>
                <w:rFonts w:ascii="宋体"/>
                <w:sz w:val="18"/>
              </w:rPr>
              <w:t>39,115,035.02</w:t>
            </w:r>
          </w:p>
        </w:tc>
      </w:tr>
      <w:tr>
        <w:trPr>
          <w:trHeight w:val="415" w:hRule="exact"/>
        </w:trPr>
        <w:tc>
          <w:tcPr>
            <w:tcW w:w="6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8"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102,258,693.63</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1,601,459.95</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1.57%</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100,657,233.68</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41,982,475.77</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100.00%</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2,867,440.75</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6.83%</w:t>
            </w:r>
          </w:p>
        </w:tc>
        <w:tc>
          <w:tcPr>
            <w:tcW w:w="12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39,115,035.02</w:t>
            </w:r>
          </w:p>
        </w:tc>
      </w:tr>
    </w:tbl>
    <w:p>
      <w:pPr>
        <w:pStyle w:val="BodyText"/>
        <w:spacing w:line="240" w:lineRule="auto" w:before="63"/>
        <w:ind w:left="894" w:right="0"/>
        <w:jc w:val="left"/>
      </w:pPr>
      <w:r>
        <w:rPr/>
        <w:t>期末单项金额重大并单项计提坏账准备的其他应收款：</w:t>
      </w:r>
    </w:p>
    <w:p>
      <w:pPr>
        <w:spacing w:line="240" w:lineRule="auto" w:before="10"/>
        <w:rPr>
          <w:rFonts w:ascii="宋体" w:hAnsi="宋体" w:cs="宋体" w:eastAsia="宋体" w:hint="default"/>
          <w:sz w:val="14"/>
          <w:szCs w:val="14"/>
        </w:rPr>
      </w:pPr>
    </w:p>
    <w:p>
      <w:pPr>
        <w:pStyle w:val="BodyText"/>
        <w:spacing w:line="240" w:lineRule="auto" w:before="0"/>
        <w:ind w:left="894" w:right="0"/>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9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878" w:type="dxa"/>
        <w:tblLayout w:type="fixed"/>
        <w:tblCellMar>
          <w:top w:w="0" w:type="dxa"/>
          <w:left w:w="0" w:type="dxa"/>
          <w:bottom w:w="0" w:type="dxa"/>
          <w:right w:w="0" w:type="dxa"/>
        </w:tblCellMar>
        <w:tblLook w:val="01E0"/>
      </w:tblPr>
      <w:tblGrid>
        <w:gridCol w:w="1913"/>
        <w:gridCol w:w="1916"/>
        <w:gridCol w:w="1914"/>
        <w:gridCol w:w="1914"/>
        <w:gridCol w:w="1915"/>
      </w:tblGrid>
      <w:tr>
        <w:trPr>
          <w:trHeight w:val="419" w:hRule="exact"/>
        </w:trPr>
        <w:tc>
          <w:tcPr>
            <w:tcW w:w="191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12" w:space="0" w:color="000000"/>
              <w:left w:val="single" w:sz="6" w:space="0" w:color="000000"/>
              <w:bottom w:val="single" w:sz="6" w:space="0" w:color="FFFFFF"/>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2" w:hRule="exact"/>
        </w:trPr>
        <w:tc>
          <w:tcPr>
            <w:tcW w:w="1913" w:type="dxa"/>
            <w:vMerge/>
            <w:tcBorders>
              <w:left w:val="single" w:sz="12" w:space="0" w:color="000000"/>
              <w:bottom w:val="single" w:sz="6" w:space="0" w:color="000000"/>
              <w:right w:val="single" w:sz="6" w:space="0" w:color="000000"/>
            </w:tcBorders>
            <w:shd w:val="clear" w:color="auto" w:fill="D2D2D2"/>
          </w:tcPr>
          <w:p>
            <w:pPr/>
          </w:p>
        </w:tc>
        <w:tc>
          <w:tcPr>
            <w:tcW w:w="1916"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3"/>
              <w:ind w:left="5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6" w:space="0" w:color="FFFFFF"/>
              <w:left w:val="single" w:sz="6" w:space="0" w:color="000000"/>
              <w:bottom w:val="single" w:sz="6" w:space="0" w:color="000000"/>
              <w:right w:val="single" w:sz="12"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638" w:hRule="exact"/>
        </w:trPr>
        <w:tc>
          <w:tcPr>
            <w:tcW w:w="191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75"/>
              <w:jc w:val="left"/>
              <w:rPr>
                <w:rFonts w:ascii="宋体" w:hAnsi="宋体" w:cs="宋体" w:eastAsia="宋体" w:hint="default"/>
                <w:sz w:val="18"/>
                <w:szCs w:val="18"/>
              </w:rPr>
            </w:pPr>
            <w:r>
              <w:rPr>
                <w:rFonts w:ascii="宋体" w:hAnsi="宋体" w:cs="宋体" w:eastAsia="宋体" w:hint="default"/>
                <w:sz w:val="18"/>
                <w:szCs w:val="18"/>
              </w:rPr>
              <w:t>江苏光一投资管理有限 责任公司</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78,750,000.00</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预期可以收回</w:t>
            </w:r>
          </w:p>
        </w:tc>
      </w:tr>
      <w:tr>
        <w:trPr>
          <w:trHeight w:val="421" w:hRule="exact"/>
        </w:trPr>
        <w:tc>
          <w:tcPr>
            <w:tcW w:w="19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78,750,000.00</w:t>
            </w:r>
          </w:p>
        </w:tc>
        <w:tc>
          <w:tcPr>
            <w:tcW w:w="1914" w:type="dxa"/>
            <w:tcBorders>
              <w:top w:val="single" w:sz="6" w:space="0" w:color="000000"/>
              <w:left w:val="single" w:sz="6" w:space="0" w:color="000000"/>
              <w:bottom w:val="single" w:sz="12" w:space="0" w:color="000000"/>
              <w:right w:val="single" w:sz="6" w:space="0" w:color="000000"/>
            </w:tcBorders>
          </w:tcPr>
          <w:p>
            <w:pPr/>
          </w:p>
        </w:tc>
        <w:tc>
          <w:tcPr>
            <w:tcW w:w="191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915"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sz w:val="18"/>
              </w:rPr>
              <w:t>--</w:t>
            </w:r>
          </w:p>
        </w:tc>
      </w:tr>
    </w:tbl>
    <w:p>
      <w:pPr>
        <w:pStyle w:val="BodyText"/>
        <w:spacing w:line="240" w:lineRule="auto" w:before="63"/>
        <w:ind w:left="894" w:right="0"/>
        <w:jc w:val="left"/>
      </w:pPr>
      <w:r>
        <w:rPr/>
        <w:t>组合中，按账龄分析法计提坏账准备的其他应收款：</w:t>
      </w:r>
    </w:p>
    <w:p>
      <w:pPr>
        <w:spacing w:line="240" w:lineRule="auto" w:before="10"/>
        <w:rPr>
          <w:rFonts w:ascii="宋体" w:hAnsi="宋体" w:cs="宋体" w:eastAsia="宋体" w:hint="default"/>
          <w:sz w:val="14"/>
          <w:szCs w:val="14"/>
        </w:rPr>
      </w:pPr>
    </w:p>
    <w:p>
      <w:pPr>
        <w:pStyle w:val="BodyText"/>
        <w:spacing w:line="240" w:lineRule="auto" w:before="0"/>
        <w:ind w:left="894" w:right="0"/>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9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tbl>
      <w:tblPr>
        <w:tblW w:w="0" w:type="auto"/>
        <w:jc w:val="left"/>
        <w:tblInd w:w="878" w:type="dxa"/>
        <w:tblLayout w:type="fixed"/>
        <w:tblCellMar>
          <w:top w:w="0" w:type="dxa"/>
          <w:left w:w="0" w:type="dxa"/>
          <w:bottom w:w="0" w:type="dxa"/>
          <w:right w:w="0" w:type="dxa"/>
        </w:tblCellMar>
        <w:tblLook w:val="01E0"/>
      </w:tblPr>
      <w:tblGrid>
        <w:gridCol w:w="2393"/>
        <w:gridCol w:w="2393"/>
        <w:gridCol w:w="2392"/>
        <w:gridCol w:w="2399"/>
      </w:tblGrid>
      <w:tr>
        <w:trPr>
          <w:trHeight w:val="413" w:hRule="exact"/>
        </w:trPr>
        <w:tc>
          <w:tcPr>
            <w:tcW w:w="239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84"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6" w:hRule="exact"/>
        </w:trPr>
        <w:tc>
          <w:tcPr>
            <w:tcW w:w="2393" w:type="dxa"/>
            <w:vMerge/>
            <w:tcBorders>
              <w:left w:val="single" w:sz="12" w:space="0" w:color="000000"/>
              <w:bottom w:val="single" w:sz="12" w:space="0" w:color="000000"/>
              <w:right w:val="single" w:sz="6" w:space="0" w:color="000000"/>
            </w:tcBorders>
            <w:shd w:val="clear" w:color="auto" w:fill="D2D2D2"/>
          </w:tcPr>
          <w:p>
            <w:pPr/>
          </w:p>
        </w:tc>
        <w:tc>
          <w:tcPr>
            <w:tcW w:w="239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73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9"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747" w:footer="1000" w:top="1040" w:bottom="1180" w:left="240" w:right="22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2393"/>
        <w:gridCol w:w="2393"/>
        <w:gridCol w:w="2392"/>
        <w:gridCol w:w="2391"/>
      </w:tblGrid>
      <w:tr>
        <w:trPr>
          <w:trHeight w:val="415" w:hRule="exact"/>
        </w:trPr>
        <w:tc>
          <w:tcPr>
            <w:tcW w:w="9569" w:type="dxa"/>
            <w:gridSpan w:val="4"/>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21,491,140.10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644,734.22</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21,491,140.10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644,734.22</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1,043,522.63</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104,352.27</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17,730.00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5,319.00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956,300.90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847,054.47</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82,200.00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41,100.00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227,154.76</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159,008.33</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70.00%</w:t>
            </w:r>
          </w:p>
        </w:tc>
      </w:tr>
      <w:tr>
        <w:trPr>
          <w:trHeight w:val="407" w:hRule="exact"/>
        </w:trPr>
        <w:tc>
          <w:tcPr>
            <w:tcW w:w="239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646,946.14</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646,946.14</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15" w:hRule="exact"/>
        </w:trPr>
        <w:tc>
          <w:tcPr>
            <w:tcW w:w="239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23,508,693.63</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1,601,459.95</w:t>
            </w:r>
          </w:p>
        </w:tc>
        <w:tc>
          <w:tcPr>
            <w:tcW w:w="2391"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408" w:lineRule="auto" w:before="63"/>
        <w:ind w:left="154" w:right="4522"/>
        <w:jc w:val="left"/>
      </w:pPr>
      <w:r>
        <w:rPr/>
        <w:t>确定该组合依据的说明： 组合中，采用余额百分比法计提坏账准备的其他应收款：</w:t>
      </w:r>
    </w:p>
    <w:p>
      <w:pPr>
        <w:pStyle w:val="BodyText"/>
        <w:spacing w:line="408" w:lineRule="auto"/>
        <w:ind w:left="154" w:right="4942"/>
        <w:jc w:val="left"/>
      </w:pPr>
      <w:r>
        <w:rPr/>
        <w:t>□ 适用 √</w:t>
      </w:r>
      <w:r>
        <w:rPr>
          <w:spacing w:val="-1"/>
        </w:rPr>
        <w:t> </w:t>
      </w:r>
      <w:r>
        <w:rPr/>
        <w:t>不适用</w:t>
      </w:r>
      <w:r>
        <w:rPr/>
        <w:t> 组合中，采用其他方法计提坏账准备的其他应收款：</w:t>
      </w:r>
    </w:p>
    <w:p>
      <w:pPr>
        <w:pStyle w:val="BodyText"/>
        <w:spacing w:line="240" w:lineRule="auto"/>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本期计提、收回或转回的坏账准备情况" w:id="206"/>
      <w:bookmarkEnd w:id="206"/>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本期计提坏账准备金额</w:t>
      </w:r>
      <w:r>
        <w:rPr>
          <w:spacing w:val="-53"/>
        </w:rPr>
        <w:t> </w:t>
      </w:r>
      <w:r>
        <w:rPr>
          <w:rFonts w:ascii="宋体" w:hAnsi="宋体" w:cs="宋体" w:eastAsia="宋体" w:hint="default"/>
        </w:rPr>
        <w:t>0.00</w:t>
      </w:r>
      <w:r>
        <w:rPr>
          <w:rFonts w:ascii="宋体" w:hAnsi="宋体" w:cs="宋体" w:eastAsia="宋体" w:hint="default"/>
          <w:spacing w:val="-54"/>
        </w:rPr>
        <w:t> </w:t>
      </w:r>
      <w:r>
        <w:rPr/>
        <w:t>元；本期收回或转回坏账准备金额</w:t>
      </w:r>
      <w:r>
        <w:rPr>
          <w:spacing w:val="-53"/>
        </w:rPr>
        <w:t> </w:t>
      </w:r>
      <w:r>
        <w:rPr>
          <w:rFonts w:ascii="宋体" w:hAnsi="宋体" w:cs="宋体" w:eastAsia="宋体" w:hint="default"/>
        </w:rPr>
        <w:t>1,646,752.71</w:t>
      </w:r>
      <w:r>
        <w:rPr>
          <w:rFonts w:ascii="宋体" w:hAnsi="宋体" w:cs="宋体" w:eastAsia="宋体" w:hint="default"/>
          <w:spacing w:val="-53"/>
        </w:rPr>
        <w:t> </w:t>
      </w:r>
      <w:r>
        <w:rPr/>
        <w:t>元。</w:t>
      </w:r>
    </w:p>
    <w:p>
      <w:pPr>
        <w:spacing w:line="240" w:lineRule="auto" w:before="10"/>
        <w:rPr>
          <w:rFonts w:ascii="宋体" w:hAnsi="宋体" w:cs="宋体" w:eastAsia="宋体" w:hint="default"/>
          <w:sz w:val="14"/>
          <w:szCs w:val="14"/>
        </w:rPr>
      </w:pPr>
    </w:p>
    <w:p>
      <w:pPr>
        <w:pStyle w:val="Heading4"/>
        <w:spacing w:line="240" w:lineRule="auto"/>
        <w:ind w:left="153" w:right="0"/>
        <w:jc w:val="left"/>
        <w:rPr>
          <w:b w:val="0"/>
          <w:bCs w:val="0"/>
        </w:rPr>
      </w:pPr>
      <w:bookmarkStart w:name="（3）本期实际核销的其他应收款情况" w:id="207"/>
      <w:bookmarkEnd w:id="207"/>
      <w:r>
        <w:rPr>
          <w:b w:val="0"/>
          <w:bCs w:val="0"/>
        </w:rPr>
      </w:r>
      <w:r>
        <w:rPr/>
        <w:t>（</w:t>
      </w:r>
      <w:r>
        <w:rPr>
          <w:rFonts w:ascii="宋体" w:hAnsi="宋体" w:cs="宋体" w:eastAsia="宋体" w:hint="default"/>
        </w:rPr>
        <w:t>3</w:t>
      </w:r>
      <w:r>
        <w:rPr/>
        <w:t>）本期实际核销的其他应收款情况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4）其他应收款按款项性质分类情况" w:id="208"/>
      <w:bookmarkEnd w:id="208"/>
      <w:r>
        <w:rPr>
          <w:b w:val="0"/>
          <w:bCs w:val="0"/>
        </w:rPr>
      </w:r>
      <w:r>
        <w:rPr/>
        <w:t>（</w:t>
      </w:r>
      <w:r>
        <w:rPr>
          <w:rFonts w:ascii="宋体" w:hAnsi="宋体" w:cs="宋体" w:eastAsia="宋体" w:hint="default"/>
        </w:rPr>
        <w:t>4</w:t>
      </w:r>
      <w:r>
        <w:rPr/>
        <w:t>）其他应收款按款项性质分类情况</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88"/>
        <w:gridCol w:w="3191"/>
        <w:gridCol w:w="3191"/>
      </w:tblGrid>
      <w:tr>
        <w:trPr>
          <w:trHeight w:val="413"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4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4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股权与债权转让款</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78,750,000.00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7,052,800.00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18,028,720.90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9,509,499.66</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1,736,584.49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3,768,096.71</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应收租金及保证金</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1,079,330.40</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3,400.00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573,209.29</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28,742.00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南京宇能股东与其往来</w:t>
            </w:r>
          </w:p>
        </w:tc>
        <w:tc>
          <w:tcPr>
            <w:tcW w:w="3191" w:type="dxa"/>
            <w:tcBorders>
              <w:top w:val="single" w:sz="6" w:space="0" w:color="000000"/>
              <w:left w:val="single" w:sz="6" w:space="0" w:color="000000"/>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15,910,463.08</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2,090,848.55</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5,709,474.32</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102,258,693.63</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41,982,475.77</w:t>
            </w:r>
          </w:p>
        </w:tc>
      </w:tr>
    </w:tbl>
    <w:p>
      <w:pPr>
        <w:spacing w:after="0" w:line="240" w:lineRule="auto"/>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7"/>
        <w:rPr>
          <w:rFonts w:ascii="宋体" w:hAnsi="宋体" w:cs="宋体" w:eastAsia="宋体" w:hint="default"/>
          <w:sz w:val="25"/>
          <w:szCs w:val="25"/>
        </w:rPr>
      </w:pPr>
    </w:p>
    <w:p>
      <w:pPr>
        <w:pStyle w:val="Heading4"/>
        <w:spacing w:line="240" w:lineRule="auto" w:before="35"/>
        <w:ind w:left="153" w:right="0"/>
        <w:jc w:val="left"/>
        <w:rPr>
          <w:b w:val="0"/>
          <w:bCs w:val="0"/>
        </w:rPr>
      </w:pPr>
      <w:bookmarkStart w:name="（5）按欠款方归集的期末余额前五吊的其他应收款情况" w:id="209"/>
      <w:bookmarkEnd w:id="209"/>
      <w:r>
        <w:rPr>
          <w:b w:val="0"/>
          <w:bCs w:val="0"/>
        </w:rPr>
      </w: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595"/>
        <w:gridCol w:w="1595"/>
        <w:gridCol w:w="1594"/>
        <w:gridCol w:w="1594"/>
        <w:gridCol w:w="1596"/>
        <w:gridCol w:w="1594"/>
      </w:tblGrid>
      <w:tr>
        <w:trPr>
          <w:trHeight w:val="727" w:hRule="exact"/>
        </w:trPr>
        <w:tc>
          <w:tcPr>
            <w:tcW w:w="15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70" w:right="6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9" w:hRule="exact"/>
        </w:trPr>
        <w:tc>
          <w:tcPr>
            <w:tcW w:w="159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117"/>
              <w:jc w:val="left"/>
              <w:rPr>
                <w:rFonts w:ascii="宋体" w:hAnsi="宋体" w:cs="宋体" w:eastAsia="宋体" w:hint="default"/>
                <w:sz w:val="18"/>
                <w:szCs w:val="18"/>
              </w:rPr>
            </w:pPr>
            <w:r>
              <w:rPr>
                <w:rFonts w:ascii="宋体" w:hAnsi="宋体" w:cs="宋体" w:eastAsia="宋体" w:hint="default"/>
                <w:sz w:val="18"/>
                <w:szCs w:val="18"/>
              </w:rPr>
              <w:t>江苏光一投资管理 有限责任公司</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股权与债权转让款</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78,750,000.00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77.01%</w:t>
            </w:r>
          </w:p>
        </w:tc>
        <w:tc>
          <w:tcPr>
            <w:tcW w:w="1594"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159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117"/>
              <w:jc w:val="left"/>
              <w:rPr>
                <w:rFonts w:ascii="宋体" w:hAnsi="宋体" w:cs="宋体" w:eastAsia="宋体" w:hint="default"/>
                <w:sz w:val="18"/>
                <w:szCs w:val="18"/>
              </w:rPr>
            </w:pPr>
            <w:r>
              <w:rPr>
                <w:rFonts w:ascii="宋体" w:hAnsi="宋体" w:cs="宋体" w:eastAsia="宋体" w:hint="default"/>
                <w:sz w:val="18"/>
                <w:szCs w:val="18"/>
              </w:rPr>
              <w:t>中通安徽智慧城市 投资有限公司</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6,000,000.00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5.87%</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180,000.00</w:t>
            </w:r>
          </w:p>
        </w:tc>
      </w:tr>
      <w:tr>
        <w:trPr>
          <w:trHeight w:val="720" w:hRule="exact"/>
        </w:trPr>
        <w:tc>
          <w:tcPr>
            <w:tcW w:w="159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117"/>
              <w:jc w:val="left"/>
              <w:rPr>
                <w:rFonts w:ascii="宋体" w:hAnsi="宋体" w:cs="宋体" w:eastAsia="宋体" w:hint="default"/>
                <w:sz w:val="18"/>
                <w:szCs w:val="18"/>
              </w:rPr>
            </w:pPr>
            <w:r>
              <w:rPr>
                <w:rFonts w:ascii="宋体" w:hAnsi="宋体" w:cs="宋体" w:eastAsia="宋体" w:hint="default"/>
                <w:sz w:val="18"/>
                <w:szCs w:val="18"/>
              </w:rPr>
              <w:t>深圳市泰川宏业科 技有限公司</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2,220,767.68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2.17%</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66,650.14</w:t>
            </w:r>
          </w:p>
        </w:tc>
      </w:tr>
      <w:tr>
        <w:trPr>
          <w:trHeight w:val="407" w:hRule="exact"/>
        </w:trPr>
        <w:tc>
          <w:tcPr>
            <w:tcW w:w="1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1,500,000.00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1.47%</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45,000.00</w:t>
            </w:r>
          </w:p>
        </w:tc>
      </w:tr>
      <w:tr>
        <w:trPr>
          <w:trHeight w:val="719" w:hRule="exact"/>
        </w:trPr>
        <w:tc>
          <w:tcPr>
            <w:tcW w:w="1595"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117"/>
              <w:jc w:val="left"/>
              <w:rPr>
                <w:rFonts w:ascii="宋体" w:hAnsi="宋体" w:cs="宋体" w:eastAsia="宋体" w:hint="default"/>
                <w:sz w:val="18"/>
                <w:szCs w:val="18"/>
              </w:rPr>
            </w:pPr>
            <w:r>
              <w:rPr>
                <w:rFonts w:ascii="宋体" w:hAnsi="宋体" w:cs="宋体" w:eastAsia="宋体" w:hint="default"/>
                <w:sz w:val="18"/>
                <w:szCs w:val="18"/>
              </w:rPr>
              <w:t>中国电力财务有限 公司华中分公司</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842,878.30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0.82%</w:t>
            </w: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25,286.35</w:t>
            </w:r>
          </w:p>
        </w:tc>
      </w:tr>
      <w:tr>
        <w:trPr>
          <w:trHeight w:val="415" w:hRule="exact"/>
        </w:trPr>
        <w:tc>
          <w:tcPr>
            <w:tcW w:w="15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94" w:type="dxa"/>
            <w:tcBorders>
              <w:top w:val="single" w:sz="6" w:space="0" w:color="000000"/>
              <w:left w:val="single" w:sz="6" w:space="0" w:color="000000"/>
              <w:bottom w:val="single" w:sz="12" w:space="0" w:color="000000"/>
              <w:right w:val="single" w:sz="8" w:space="0" w:color="D2D2D2"/>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89,313,645.98</w:t>
            </w:r>
          </w:p>
        </w:tc>
        <w:tc>
          <w:tcPr>
            <w:tcW w:w="1594"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87.34%</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316,936.49</w:t>
            </w:r>
          </w:p>
        </w:tc>
      </w:tr>
    </w:tbl>
    <w:p>
      <w:pPr>
        <w:pStyle w:val="Heading4"/>
        <w:spacing w:line="240" w:lineRule="auto" w:before="63"/>
        <w:ind w:right="0"/>
        <w:jc w:val="left"/>
        <w:rPr>
          <w:b w:val="0"/>
          <w:bCs w:val="0"/>
        </w:rPr>
      </w:pPr>
      <w:bookmarkStart w:name="（6）涉及政府补助的应收款项" w:id="210"/>
      <w:bookmarkEnd w:id="210"/>
      <w:r>
        <w:rPr>
          <w:b w:val="0"/>
          <w:bCs w:val="0"/>
        </w:rPr>
      </w:r>
      <w:r>
        <w:rPr/>
        <w:t>（</w:t>
      </w:r>
      <w:r>
        <w:rPr>
          <w:rFonts w:ascii="宋体" w:hAnsi="宋体" w:cs="宋体" w:eastAsia="宋体" w:hint="default"/>
        </w:rPr>
        <w:t>6</w:t>
      </w:r>
      <w:r>
        <w:rPr/>
        <w:t>）涉及政府补助的应收款项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7）因金融资产转移而终止确认的其他应收款" w:id="211"/>
      <w:bookmarkEnd w:id="211"/>
      <w:r>
        <w:rPr>
          <w:b w:val="0"/>
          <w:bCs w:val="0"/>
        </w:rPr>
      </w:r>
      <w:r>
        <w:rPr/>
        <w:t>（</w:t>
      </w:r>
      <w:r>
        <w:rPr>
          <w:rFonts w:ascii="宋体" w:hAnsi="宋体" w:cs="宋体" w:eastAsia="宋体"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8）转移其他应收款且继续涉入形成的资产、负债金额" w:id="212"/>
      <w:bookmarkEnd w:id="212"/>
      <w:r>
        <w:rPr>
          <w:b w:val="0"/>
          <w:bCs w:val="0"/>
        </w:rPr>
      </w:r>
      <w:r>
        <w:rPr/>
        <w:t>（</w:t>
      </w:r>
      <w:r>
        <w:rPr>
          <w:rFonts w:ascii="宋体" w:hAnsi="宋体" w:cs="宋体" w:eastAsia="宋体"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4" w:right="7988"/>
        <w:jc w:val="left"/>
      </w:pPr>
      <w:r>
        <w:rPr/>
        <w:t>□ 适用 √</w:t>
      </w:r>
      <w:r>
        <w:rPr>
          <w:spacing w:val="-1"/>
        </w:rPr>
        <w:t> </w:t>
      </w:r>
      <w:r>
        <w:rPr/>
        <w:t>不适用</w:t>
      </w:r>
      <w:r>
        <w:rPr/>
        <w:t> 其他说明：</w:t>
      </w:r>
    </w:p>
    <w:p>
      <w:pPr>
        <w:pStyle w:val="BodyText"/>
        <w:spacing w:line="240" w:lineRule="auto"/>
        <w:ind w:left="0" w:right="182"/>
        <w:jc w:val="right"/>
      </w:pPr>
      <w:r>
        <w:rPr/>
        <w:t>其他应收款余额年末数比年初数增加</w:t>
      </w:r>
      <w:r>
        <w:rPr>
          <w:spacing w:val="-54"/>
        </w:rPr>
        <w:t> </w:t>
      </w:r>
      <w:r>
        <w:rPr>
          <w:rFonts w:ascii="宋体" w:hAnsi="宋体" w:cs="宋体" w:eastAsia="宋体" w:hint="default"/>
        </w:rPr>
        <w:t>60,276,217.86</w:t>
      </w:r>
      <w:r>
        <w:rPr>
          <w:rFonts w:ascii="宋体" w:hAnsi="宋体" w:cs="宋体" w:eastAsia="宋体" w:hint="default"/>
          <w:spacing w:val="-54"/>
        </w:rPr>
        <w:t> </w:t>
      </w:r>
      <w:r>
        <w:rPr/>
        <w:t>元，增加比例为</w:t>
      </w:r>
      <w:r>
        <w:rPr>
          <w:spacing w:val="-55"/>
        </w:rPr>
        <w:t> </w:t>
      </w:r>
      <w:r>
        <w:rPr>
          <w:rFonts w:ascii="宋体" w:hAnsi="宋体" w:cs="宋体" w:eastAsia="宋体" w:hint="default"/>
        </w:rPr>
        <w:t>143.57%</w:t>
      </w:r>
      <w:r>
        <w:rPr/>
        <w:t>，增加的主要原因为：</w:t>
      </w:r>
    </w:p>
    <w:p>
      <w:pPr>
        <w:spacing w:line="240" w:lineRule="auto" w:before="10"/>
        <w:rPr>
          <w:rFonts w:ascii="宋体" w:hAnsi="宋体" w:cs="宋体" w:eastAsia="宋体" w:hint="default"/>
          <w:sz w:val="14"/>
          <w:szCs w:val="14"/>
        </w:rPr>
      </w:pPr>
    </w:p>
    <w:p>
      <w:pPr>
        <w:pStyle w:val="BodyText"/>
        <w:spacing w:line="408" w:lineRule="auto" w:before="0"/>
        <w:ind w:right="1376"/>
        <w:jc w:val="left"/>
        <w:rPr>
          <w:rFonts w:ascii="宋体" w:hAnsi="宋体" w:cs="宋体" w:eastAsia="宋体" w:hint="default"/>
        </w:rPr>
      </w:pPr>
      <w:r>
        <w:rPr/>
        <w:t>①新增合并范围增加了</w:t>
      </w:r>
      <w:r>
        <w:rPr>
          <w:spacing w:val="-53"/>
        </w:rPr>
        <w:t> </w:t>
      </w:r>
      <w:r>
        <w:rPr>
          <w:rFonts w:ascii="宋体" w:hAnsi="宋体" w:cs="宋体" w:eastAsia="宋体" w:hint="default"/>
        </w:rPr>
        <w:t>985.94</w:t>
      </w:r>
      <w:r>
        <w:rPr>
          <w:rFonts w:ascii="宋体" w:hAnsi="宋体" w:cs="宋体" w:eastAsia="宋体" w:hint="default"/>
          <w:spacing w:val="-54"/>
        </w:rPr>
        <w:t> </w:t>
      </w:r>
      <w:r>
        <w:rPr/>
        <w:t>万元；②本年度新增股权与债权转让款</w:t>
      </w:r>
      <w:r>
        <w:rPr>
          <w:spacing w:val="-53"/>
        </w:rPr>
        <w:t> </w:t>
      </w:r>
      <w:r>
        <w:rPr>
          <w:rFonts w:ascii="宋体" w:hAnsi="宋体" w:cs="宋体" w:eastAsia="宋体" w:hint="default"/>
        </w:rPr>
        <w:t>7,875.00</w:t>
      </w:r>
      <w:r>
        <w:rPr>
          <w:rFonts w:ascii="宋体" w:hAnsi="宋体" w:cs="宋体" w:eastAsia="宋体" w:hint="default"/>
          <w:spacing w:val="-53"/>
        </w:rPr>
        <w:t> </w:t>
      </w:r>
      <w:r>
        <w:rPr/>
        <w:t>万元所致。 </w:t>
      </w:r>
      <w:bookmarkStart w:name="10、存货" w:id="213"/>
      <w:bookmarkEnd w:id="213"/>
      <w:r>
        <w:rPr/>
      </w:r>
      <w:r>
        <w:rPr>
          <w:rFonts w:ascii="宋体" w:hAnsi="宋体" w:cs="宋体" w:eastAsia="宋体" w:hint="default"/>
          <w:b/>
          <w:bCs/>
        </w:rPr>
        <w:t>10</w:t>
      </w:r>
      <w:r>
        <w:rPr>
          <w:rFonts w:ascii="宋体" w:hAnsi="宋体" w:cs="宋体" w:eastAsia="宋体" w:hint="default"/>
          <w:b/>
          <w:bCs/>
        </w:rPr>
        <w:t>、存货</w:t>
      </w:r>
      <w:r>
        <w:rPr>
          <w:rFonts w:ascii="宋体" w:hAnsi="宋体" w:cs="宋体" w:eastAsia="宋体" w:hint="default"/>
        </w:rPr>
      </w:r>
    </w:p>
    <w:p>
      <w:pPr>
        <w:pStyle w:val="Heading4"/>
        <w:spacing w:line="240" w:lineRule="auto" w:before="46"/>
        <w:ind w:left="153" w:right="0"/>
        <w:jc w:val="left"/>
        <w:rPr>
          <w:b w:val="0"/>
          <w:bCs w:val="0"/>
        </w:rPr>
      </w:pPr>
      <w:bookmarkStart w:name="（1）存货分类" w:id="214"/>
      <w:bookmarkEnd w:id="214"/>
      <w:r>
        <w:rPr>
          <w:b w:val="0"/>
          <w:bCs w:val="0"/>
        </w:rPr>
      </w:r>
      <w:r>
        <w:rPr/>
        <w:t>（</w:t>
      </w:r>
      <w:r>
        <w:rPr>
          <w:rFonts w:ascii="宋体" w:hAnsi="宋体" w:cs="宋体" w:eastAsia="宋体" w:hint="default"/>
        </w:rPr>
        <w:t>1</w:t>
      </w:r>
      <w:r>
        <w:rPr/>
        <w:t>）存货分类</w:t>
      </w:r>
      <w:r>
        <w:rPr>
          <w:b w:val="0"/>
          <w:bCs w:val="0"/>
        </w:rPr>
      </w:r>
    </w:p>
    <w:p>
      <w:pPr>
        <w:spacing w:line="240" w:lineRule="auto" w:before="11"/>
        <w:rPr>
          <w:rFonts w:ascii="宋体" w:hAnsi="宋体" w:cs="宋体" w:eastAsia="宋体" w:hint="default"/>
          <w:b/>
          <w:bCs/>
          <w:sz w:val="13"/>
          <w:szCs w:val="13"/>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352"/>
        <w:gridCol w:w="1378"/>
        <w:gridCol w:w="1367"/>
        <w:gridCol w:w="1367"/>
        <w:gridCol w:w="1368"/>
        <w:gridCol w:w="1367"/>
        <w:gridCol w:w="1366"/>
      </w:tblGrid>
      <w:tr>
        <w:trPr>
          <w:trHeight w:val="218" w:hRule="exact"/>
        </w:trPr>
        <w:tc>
          <w:tcPr>
            <w:tcW w:w="135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4112"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6" w:space="0" w:color="000000"/>
              <w:bottom w:val="single" w:sz="6" w:space="0" w:color="000000"/>
              <w:right w:val="single" w:sz="6" w:space="0" w:color="000000"/>
            </w:tcBorders>
            <w:shd w:val="clear" w:color="auto" w:fill="D2D2D2"/>
          </w:tcPr>
          <w:p>
            <w:pPr/>
          </w:p>
        </w:tc>
        <w:tc>
          <w:tcPr>
            <w:tcW w:w="4101" w:type="dxa"/>
            <w:gridSpan w:val="3"/>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1352" w:type="dxa"/>
            <w:vMerge/>
            <w:tcBorders>
              <w:left w:val="single" w:sz="12" w:space="0" w:color="000000"/>
              <w:bottom w:val="nil" w:sz="6" w:space="0" w:color="auto"/>
              <w:right w:val="single" w:sz="6" w:space="0" w:color="000000"/>
            </w:tcBorders>
            <w:shd w:val="clear" w:color="auto" w:fill="D2D2D2"/>
          </w:tcPr>
          <w:p>
            <w:pPr/>
          </w:p>
        </w:tc>
        <w:tc>
          <w:tcPr>
            <w:tcW w:w="137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0" w:hRule="exact"/>
        </w:trPr>
        <w:tc>
          <w:tcPr>
            <w:tcW w:w="135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378"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8"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37,991,148.03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434,682.70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37,556,465.33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15,196,219.37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271,695.62</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14,924,523.75</w:t>
            </w: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20,586,631.20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1,357,758.84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19,228,872.36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21,372,225.05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21,372,225.05</w:t>
            </w: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27,929,153.33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307,721.77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27,621,431.56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29,877,158.49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212,414.86</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29,664,743.63</w:t>
            </w: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407,199.55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407,199.55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729,982.78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729,982.78</w:t>
            </w:r>
          </w:p>
        </w:tc>
      </w:tr>
      <w:tr>
        <w:trPr>
          <w:trHeight w:val="415" w:hRule="exact"/>
        </w:trPr>
        <w:tc>
          <w:tcPr>
            <w:tcW w:w="135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86,914,132.11</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2,100,163.31</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84,813,968.80</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67,175,585.69</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484,110.48</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66,691,475.21</w:t>
            </w:r>
          </w:p>
        </w:tc>
      </w:tr>
    </w:tbl>
    <w:p>
      <w:pPr>
        <w:spacing w:after="0" w:line="240" w:lineRule="auto"/>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7"/>
        <w:rPr>
          <w:rFonts w:ascii="宋体" w:hAnsi="宋体" w:cs="宋体" w:eastAsia="宋体" w:hint="default"/>
          <w:sz w:val="25"/>
          <w:szCs w:val="25"/>
        </w:rPr>
      </w:pPr>
    </w:p>
    <w:p>
      <w:pPr>
        <w:pStyle w:val="Heading4"/>
        <w:spacing w:line="240" w:lineRule="auto" w:before="35"/>
        <w:ind w:left="153" w:right="0"/>
        <w:jc w:val="left"/>
        <w:rPr>
          <w:b w:val="0"/>
          <w:bCs w:val="0"/>
        </w:rPr>
      </w:pPr>
      <w:bookmarkStart w:name="（2）存货跌价准备" w:id="215"/>
      <w:bookmarkEnd w:id="215"/>
      <w:r>
        <w:rPr>
          <w:b w:val="0"/>
          <w:bCs w:val="0"/>
        </w:rPr>
      </w:r>
      <w:r>
        <w:rPr/>
        <w:t>（</w:t>
      </w:r>
      <w:r>
        <w:rPr>
          <w:rFonts w:ascii="宋体" w:hAnsi="宋体" w:cs="宋体" w:eastAsia="宋体" w:hint="default"/>
        </w:rPr>
        <w:t>2</w:t>
      </w:r>
      <w:r>
        <w:rPr/>
        <w:t>）存货跌价准备</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352"/>
        <w:gridCol w:w="1378"/>
        <w:gridCol w:w="1367"/>
        <w:gridCol w:w="1367"/>
        <w:gridCol w:w="1368"/>
        <w:gridCol w:w="1367"/>
        <w:gridCol w:w="1366"/>
      </w:tblGrid>
      <w:tr>
        <w:trPr>
          <w:trHeight w:val="219" w:hRule="exact"/>
        </w:trPr>
        <w:tc>
          <w:tcPr>
            <w:tcW w:w="135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378" w:type="dxa"/>
            <w:tcBorders>
              <w:top w:val="single" w:sz="12" w:space="0" w:color="000000"/>
              <w:left w:val="single" w:sz="6" w:space="0" w:color="000000"/>
              <w:bottom w:val="nil" w:sz="6" w:space="0" w:color="auto"/>
              <w:right w:val="single" w:sz="6" w:space="0" w:color="000000"/>
            </w:tcBorders>
            <w:shd w:val="clear" w:color="auto" w:fill="D2D2D2"/>
          </w:tcPr>
          <w:p>
            <w:pPr/>
          </w:p>
        </w:tc>
        <w:tc>
          <w:tcPr>
            <w:tcW w:w="2734"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81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82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6"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5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6" w:space="0" w:color="000000"/>
              <w:bottom w:val="single" w:sz="6" w:space="0" w:color="000000"/>
              <w:right w:val="single" w:sz="6" w:space="0" w:color="000000"/>
            </w:tcBorders>
            <w:shd w:val="clear" w:color="auto" w:fill="D2D2D2"/>
          </w:tcPr>
          <w:p>
            <w:pPr/>
          </w:p>
        </w:tc>
        <w:tc>
          <w:tcPr>
            <w:tcW w:w="2735" w:type="dxa"/>
            <w:gridSpan w:val="2"/>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right w:val="single" w:sz="12" w:space="0" w:color="000000"/>
            </w:tcBorders>
            <w:shd w:val="clear" w:color="auto" w:fill="D2D2D2"/>
          </w:tcPr>
          <w:p>
            <w:pPr/>
          </w:p>
        </w:tc>
      </w:tr>
      <w:tr>
        <w:trPr>
          <w:trHeight w:val="196" w:hRule="exact"/>
        </w:trPr>
        <w:tc>
          <w:tcPr>
            <w:tcW w:w="1352" w:type="dxa"/>
            <w:vMerge/>
            <w:tcBorders>
              <w:left w:val="single" w:sz="12" w:space="0" w:color="000000"/>
              <w:bottom w:val="nil" w:sz="6" w:space="0" w:color="auto"/>
              <w:right w:val="single" w:sz="6" w:space="0" w:color="000000"/>
            </w:tcBorders>
            <w:shd w:val="clear" w:color="auto" w:fill="D2D2D2"/>
          </w:tcPr>
          <w:p>
            <w:pPr/>
          </w:p>
        </w:tc>
        <w:tc>
          <w:tcPr>
            <w:tcW w:w="1378"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226"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6" w:space="0" w:color="000000"/>
              <w:right w:val="single" w:sz="12" w:space="0" w:color="000000"/>
            </w:tcBorders>
            <w:shd w:val="clear" w:color="auto" w:fill="D2D2D2"/>
          </w:tcPr>
          <w:p>
            <w:pPr/>
          </w:p>
        </w:tc>
      </w:tr>
      <w:tr>
        <w:trPr>
          <w:trHeight w:val="210" w:hRule="exact"/>
        </w:trPr>
        <w:tc>
          <w:tcPr>
            <w:tcW w:w="135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378"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8"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271,695.62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165,682.44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434,682.70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437,378.06</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434,682.70</w:t>
            </w:r>
          </w:p>
        </w:tc>
      </w:tr>
      <w:tr>
        <w:trPr>
          <w:trHeight w:val="408"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8" w:type="dxa"/>
            <w:tcBorders>
              <w:top w:val="single" w:sz="6" w:space="0" w:color="000000"/>
              <w:left w:val="single" w:sz="14" w:space="0" w:color="D2D2D2"/>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1,357,758.84</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1,357,758.84</w:t>
            </w: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212,414.86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192,640.11</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97,333.20</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307,721.77</w:t>
            </w:r>
          </w:p>
        </w:tc>
      </w:tr>
      <w:tr>
        <w:trPr>
          <w:trHeight w:val="415" w:hRule="exact"/>
        </w:trPr>
        <w:tc>
          <w:tcPr>
            <w:tcW w:w="135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484,110.48</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165,682.44</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1,985,081.65</w:t>
            </w:r>
          </w:p>
        </w:tc>
        <w:tc>
          <w:tcPr>
            <w:tcW w:w="1368" w:type="dxa"/>
            <w:tcBorders>
              <w:top w:val="single" w:sz="6" w:space="0" w:color="000000"/>
              <w:left w:val="single" w:sz="6" w:space="0" w:color="000000"/>
              <w:bottom w:val="single" w:sz="12" w:space="0" w:color="000000"/>
              <w:right w:val="single" w:sz="6" w:space="0" w:color="000000"/>
            </w:tcBorders>
          </w:tcPr>
          <w:p>
            <w:pP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534,711.26</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2,100,163.31</w:t>
            </w:r>
          </w:p>
        </w:tc>
      </w:tr>
    </w:tbl>
    <w:p>
      <w:pPr>
        <w:pStyle w:val="BodyText"/>
        <w:spacing w:line="408" w:lineRule="auto" w:before="63"/>
        <w:ind w:left="154" w:right="0" w:firstLine="420"/>
        <w:jc w:val="left"/>
      </w:pPr>
      <w:r>
        <w:rPr/>
        <w:t>①存货年末数比年初数增加</w:t>
      </w:r>
      <w:r>
        <w:rPr>
          <w:rFonts w:ascii="宋体" w:hAnsi="宋体" w:cs="宋体" w:eastAsia="宋体" w:hint="default"/>
        </w:rPr>
        <w:t>19,738,546.42</w:t>
      </w:r>
      <w:r>
        <w:rPr/>
        <w:t>元，增加比例为</w:t>
      </w:r>
      <w:r>
        <w:rPr>
          <w:rFonts w:ascii="宋体" w:hAnsi="宋体" w:cs="宋体" w:eastAsia="宋体" w:hint="default"/>
        </w:rPr>
        <w:t>29.38%</w:t>
      </w:r>
      <w:r>
        <w:rPr/>
        <w:t>，增加的主要原因为：新增合并单 位索瑞存货</w:t>
      </w:r>
      <w:r>
        <w:rPr>
          <w:rFonts w:ascii="宋体" w:hAnsi="宋体" w:cs="宋体" w:eastAsia="宋体" w:hint="default"/>
        </w:rPr>
        <w:t>51,860,778.06</w:t>
      </w:r>
      <w:r>
        <w:rPr/>
        <w:t>元，另减少合并单位南京宇能存货金额所致。</w:t>
      </w:r>
    </w:p>
    <w:p>
      <w:pPr>
        <w:pStyle w:val="BodyText"/>
        <w:spacing w:line="408" w:lineRule="auto"/>
        <w:ind w:left="154" w:right="0" w:firstLine="420"/>
        <w:jc w:val="left"/>
      </w:pPr>
      <w:r>
        <w:rPr>
          <w:spacing w:val="-1"/>
        </w:rPr>
        <w:t>②本期存货跌价准备其他增加为新增合并单位索瑞的存货跌价准备，其他减少为本期处置子公司南京</w:t>
      </w:r>
      <w:r>
        <w:rPr/>
        <w:t> 宇能的存货金额。</w:t>
      </w:r>
    </w:p>
    <w:p>
      <w:pPr>
        <w:pStyle w:val="Heading4"/>
        <w:spacing w:line="240" w:lineRule="auto" w:before="46"/>
        <w:ind w:right="0"/>
        <w:jc w:val="left"/>
        <w:rPr>
          <w:b w:val="0"/>
          <w:bCs w:val="0"/>
        </w:rPr>
      </w:pPr>
      <w:bookmarkStart w:name="（3）存货期末余额含有借款费用资本化金额的说明" w:id="216"/>
      <w:bookmarkEnd w:id="216"/>
      <w:r>
        <w:rPr>
          <w:b w:val="0"/>
          <w:bCs w:val="0"/>
        </w:rPr>
      </w:r>
      <w:r>
        <w:rPr/>
        <w:t>（</w:t>
      </w:r>
      <w:r>
        <w:rPr>
          <w:rFonts w:ascii="宋体" w:hAnsi="宋体" w:cs="宋体" w:eastAsia="宋体"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4）期末建造合同形成的已完工未结算资产情况" w:id="217"/>
      <w:bookmarkEnd w:id="217"/>
      <w:r>
        <w:rPr>
          <w:b w:val="0"/>
          <w:bCs w:val="0"/>
        </w:rPr>
      </w:r>
      <w:r>
        <w:rPr/>
        <w:t>（</w:t>
      </w:r>
      <w:r>
        <w:rPr>
          <w:rFonts w:ascii="宋体" w:hAnsi="宋体" w:cs="宋体" w:eastAsia="宋体"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241"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1、划分为持有待售的资产" w:id="218"/>
      <w:bookmarkEnd w:id="218"/>
      <w:r>
        <w:rPr>
          <w:rFonts w:ascii="宋体" w:hAnsi="宋体" w:cs="宋体" w:eastAsia="宋体" w:hint="default"/>
          <w:sz w:val="21"/>
          <w:szCs w:val="21"/>
        </w:rPr>
      </w:r>
      <w:r>
        <w:rPr>
          <w:rFonts w:ascii="宋体" w:hAnsi="宋体" w:cs="宋体" w:eastAsia="宋体" w:hint="default"/>
          <w:b/>
          <w:bCs/>
          <w:sz w:val="21"/>
          <w:szCs w:val="21"/>
        </w:rPr>
        <w:t>11</w:t>
      </w:r>
      <w:r>
        <w:rPr>
          <w:rFonts w:ascii="宋体" w:hAnsi="宋体" w:cs="宋体" w:eastAsia="宋体" w:hint="default"/>
          <w:b/>
          <w:bCs/>
          <w:sz w:val="21"/>
          <w:szCs w:val="21"/>
        </w:rPr>
        <w:t>、划分为持有待售的资产</w:t>
      </w:r>
      <w:r>
        <w:rPr>
          <w:rFonts w:ascii="宋体" w:hAnsi="宋体" w:cs="宋体" w:eastAsia="宋体" w:hint="default"/>
          <w:sz w:val="21"/>
          <w:szCs w:val="21"/>
        </w:rPr>
      </w:r>
    </w:p>
    <w:p>
      <w:pPr>
        <w:spacing w:line="408" w:lineRule="auto" w:before="46"/>
        <w:ind w:left="154" w:right="703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2、一年内到期的非流动资产" w:id="219"/>
      <w:bookmarkEnd w:id="219"/>
      <w:r>
        <w:rPr>
          <w:rFonts w:ascii="宋体" w:hAnsi="宋体" w:cs="宋体" w:eastAsia="宋体" w:hint="default"/>
          <w:sz w:val="21"/>
          <w:szCs w:val="21"/>
        </w:rPr>
      </w:r>
      <w:r>
        <w:rPr>
          <w:rFonts w:ascii="宋体" w:hAnsi="宋体" w:cs="宋体" w:eastAsia="宋体"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408" w:lineRule="auto" w:before="46"/>
        <w:ind w:left="15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3、其他流动资产" w:id="220"/>
      <w:bookmarkEnd w:id="220"/>
      <w:r>
        <w:rPr>
          <w:rFonts w:ascii="宋体" w:hAnsi="宋体" w:cs="宋体" w:eastAsia="宋体" w:hint="default"/>
          <w:sz w:val="21"/>
          <w:szCs w:val="21"/>
        </w:rPr>
      </w:r>
      <w:r>
        <w:rPr>
          <w:rFonts w:ascii="宋体" w:hAnsi="宋体" w:cs="宋体" w:eastAsia="宋体"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before="3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1"/>
        <w:gridCol w:w="3191"/>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21,270,269.47</w:t>
            </w:r>
          </w:p>
        </w:tc>
        <w:tc>
          <w:tcPr>
            <w:tcW w:w="31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2,162,210.01</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预交的企业所得税</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595,349.79</w:t>
            </w:r>
          </w:p>
        </w:tc>
        <w:tc>
          <w:tcPr>
            <w:tcW w:w="3191"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21,865,619.26</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2,162,210.01</w:t>
            </w:r>
          </w:p>
        </w:tc>
      </w:tr>
    </w:tbl>
    <w:p>
      <w:pPr>
        <w:spacing w:line="240" w:lineRule="auto" w:before="3"/>
        <w:rPr>
          <w:rFonts w:ascii="宋体" w:hAnsi="宋体" w:cs="宋体" w:eastAsia="宋体" w:hint="default"/>
          <w:sz w:val="5"/>
          <w:szCs w:val="5"/>
        </w:rPr>
      </w:pPr>
    </w:p>
    <w:p>
      <w:pPr>
        <w:pStyle w:val="BodyText"/>
        <w:spacing w:line="240" w:lineRule="auto" w:before="35"/>
        <w:ind w:left="154" w:right="0"/>
        <w:jc w:val="left"/>
      </w:pPr>
      <w:r>
        <w:rPr/>
        <w:t>其他说明：</w:t>
      </w:r>
    </w:p>
    <w:p>
      <w:pPr>
        <w:spacing w:line="240" w:lineRule="auto" w:before="9"/>
        <w:rPr>
          <w:rFonts w:ascii="宋体" w:hAnsi="宋体" w:cs="宋体" w:eastAsia="宋体" w:hint="default"/>
          <w:sz w:val="17"/>
          <w:szCs w:val="17"/>
        </w:rPr>
      </w:pPr>
    </w:p>
    <w:p>
      <w:pPr>
        <w:pStyle w:val="BodyText"/>
        <w:spacing w:line="408" w:lineRule="auto" w:before="0"/>
        <w:ind w:right="0" w:firstLine="421"/>
        <w:jc w:val="left"/>
      </w:pPr>
      <w:r>
        <w:rPr>
          <w:spacing w:val="-1"/>
        </w:rPr>
        <w:t>其他流动资产年末数比年初数增加</w:t>
      </w:r>
      <w:r>
        <w:rPr>
          <w:rFonts w:ascii="宋体" w:hAnsi="宋体" w:cs="宋体" w:eastAsia="宋体" w:hint="default"/>
          <w:spacing w:val="-1"/>
        </w:rPr>
        <w:t>19,703,409.25</w:t>
      </w:r>
      <w:r>
        <w:rPr>
          <w:spacing w:val="-1"/>
        </w:rPr>
        <w:t>元，增加比例为</w:t>
      </w:r>
      <w:r>
        <w:rPr>
          <w:rFonts w:ascii="宋体" w:hAnsi="宋体" w:cs="宋体" w:eastAsia="宋体" w:hint="default"/>
          <w:spacing w:val="-1"/>
        </w:rPr>
        <w:t>911.26%</w:t>
      </w:r>
      <w:r>
        <w:rPr>
          <w:spacing w:val="-1"/>
        </w:rPr>
        <w:t>，增加的主要原因为本期新</w:t>
      </w:r>
      <w:r>
        <w:rPr/>
        <w:t> 增合并子公司索瑞电气的其他流动资产</w:t>
      </w:r>
      <w:r>
        <w:rPr>
          <w:rFonts w:ascii="宋体" w:hAnsi="宋体" w:cs="宋体" w:eastAsia="宋体" w:hint="default"/>
        </w:rPr>
        <w:t>21,831,833.21</w:t>
      </w:r>
      <w:r>
        <w:rPr/>
        <w:t>元及本期减少合并子公司南京宇能的金额所致。</w:t>
      </w:r>
    </w:p>
    <w:p>
      <w:pPr>
        <w:spacing w:after="0" w:line="408"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53" w:right="0"/>
        <w:jc w:val="left"/>
        <w:rPr>
          <w:b w:val="0"/>
          <w:bCs w:val="0"/>
        </w:rPr>
      </w:pPr>
      <w:bookmarkStart w:name="14、可供出售金融资产" w:id="221"/>
      <w:bookmarkEnd w:id="221"/>
      <w:r>
        <w:rPr>
          <w:b w:val="0"/>
          <w:bCs w:val="0"/>
        </w:rPr>
      </w:r>
      <w:r>
        <w:rPr>
          <w:rFonts w:ascii="宋体" w:hAnsi="宋体" w:cs="宋体" w:eastAsia="宋体" w:hint="default"/>
        </w:rPr>
        <w:t>14</w:t>
      </w:r>
      <w:r>
        <w:rPr/>
        <w:t>、可供出售金融资产</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53" w:right="0"/>
        <w:jc w:val="left"/>
        <w:rPr>
          <w:b w:val="0"/>
          <w:bCs w:val="0"/>
        </w:rPr>
      </w:pPr>
      <w:bookmarkStart w:name="（1）可供出售金融资产情况" w:id="222"/>
      <w:bookmarkEnd w:id="222"/>
      <w:r>
        <w:rPr>
          <w:b w:val="0"/>
          <w:bCs w:val="0"/>
        </w:rPr>
      </w:r>
      <w:r>
        <w:rPr/>
        <w:t>（</w:t>
      </w:r>
      <w:r>
        <w:rPr>
          <w:rFonts w:ascii="宋体" w:hAnsi="宋体" w:cs="宋体" w:eastAsia="宋体" w:hint="default"/>
        </w:rPr>
        <w:t>1</w:t>
      </w:r>
      <w:r>
        <w:rPr/>
        <w:t>）可供出售金融资产情况</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001"/>
        <w:gridCol w:w="1195"/>
        <w:gridCol w:w="1196"/>
        <w:gridCol w:w="1196"/>
        <w:gridCol w:w="1248"/>
        <w:gridCol w:w="1367"/>
        <w:gridCol w:w="1366"/>
      </w:tblGrid>
      <w:tr>
        <w:trPr>
          <w:trHeight w:val="218" w:hRule="exact"/>
        </w:trPr>
        <w:tc>
          <w:tcPr>
            <w:tcW w:w="2001"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587"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1"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001"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6" w:space="0" w:color="000000"/>
              <w:bottom w:val="single" w:sz="6" w:space="0" w:color="000000"/>
              <w:right w:val="single" w:sz="6" w:space="0" w:color="000000"/>
            </w:tcBorders>
            <w:shd w:val="clear" w:color="auto" w:fill="D2D2D2"/>
          </w:tcPr>
          <w:p>
            <w:pPr/>
          </w:p>
        </w:tc>
        <w:tc>
          <w:tcPr>
            <w:tcW w:w="3981" w:type="dxa"/>
            <w:gridSpan w:val="3"/>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2001" w:type="dxa"/>
            <w:vMerge/>
            <w:tcBorders>
              <w:left w:val="single" w:sz="12" w:space="0" w:color="000000"/>
              <w:bottom w:val="nil" w:sz="6" w:space="0" w:color="auto"/>
              <w:right w:val="single" w:sz="6" w:space="0" w:color="000000"/>
            </w:tcBorders>
            <w:shd w:val="clear" w:color="auto" w:fill="D2D2D2"/>
          </w:tcPr>
          <w:p>
            <w:pPr/>
          </w:p>
        </w:tc>
        <w:tc>
          <w:tcPr>
            <w:tcW w:w="119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2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0" w:hRule="exact"/>
        </w:trPr>
        <w:tc>
          <w:tcPr>
            <w:tcW w:w="2001" w:type="dxa"/>
            <w:tcBorders>
              <w:top w:val="nil" w:sz="6" w:space="0" w:color="auto"/>
              <w:left w:val="single" w:sz="12" w:space="0" w:color="000000"/>
              <w:bottom w:val="single" w:sz="6" w:space="0" w:color="000000"/>
              <w:right w:val="single" w:sz="6" w:space="0" w:color="000000"/>
            </w:tcBorders>
            <w:shd w:val="clear" w:color="auto" w:fill="D2D2D2"/>
          </w:tcPr>
          <w:p>
            <w:pPr/>
          </w:p>
        </w:tc>
        <w:tc>
          <w:tcPr>
            <w:tcW w:w="1195" w:type="dxa"/>
            <w:vMerge/>
            <w:tcBorders>
              <w:left w:val="single" w:sz="6" w:space="0" w:color="000000"/>
              <w:bottom w:val="single" w:sz="6" w:space="0" w:color="000000"/>
              <w:right w:val="single" w:sz="6" w:space="0" w:color="000000"/>
            </w:tcBorders>
            <w:shd w:val="clear" w:color="auto" w:fill="D2D2D2"/>
          </w:tcPr>
          <w:p>
            <w:pPr/>
          </w:p>
        </w:tc>
        <w:tc>
          <w:tcPr>
            <w:tcW w:w="1196" w:type="dxa"/>
            <w:vMerge/>
            <w:tcBorders>
              <w:left w:val="single" w:sz="6" w:space="0" w:color="000000"/>
              <w:bottom w:val="single" w:sz="6" w:space="0" w:color="000000"/>
              <w:right w:val="single" w:sz="6" w:space="0" w:color="000000"/>
            </w:tcBorders>
            <w:shd w:val="clear" w:color="auto" w:fill="D2D2D2"/>
          </w:tcPr>
          <w:p>
            <w:pPr/>
          </w:p>
        </w:tc>
        <w:tc>
          <w:tcPr>
            <w:tcW w:w="1196" w:type="dxa"/>
            <w:vMerge/>
            <w:tcBorders>
              <w:left w:val="single" w:sz="6" w:space="0" w:color="000000"/>
              <w:bottom w:val="single" w:sz="6" w:space="0" w:color="000000"/>
              <w:right w:val="single" w:sz="6" w:space="0" w:color="000000"/>
            </w:tcBorders>
            <w:shd w:val="clear" w:color="auto" w:fill="D2D2D2"/>
          </w:tcPr>
          <w:p>
            <w:pPr/>
          </w:p>
        </w:tc>
        <w:tc>
          <w:tcPr>
            <w:tcW w:w="1248"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12" w:space="0" w:color="000000"/>
            </w:tcBorders>
            <w:shd w:val="clear" w:color="auto" w:fill="D2D2D2"/>
          </w:tcPr>
          <w:p>
            <w:pPr/>
          </w:p>
        </w:tc>
      </w:tr>
      <w:tr>
        <w:trPr>
          <w:trHeight w:val="408" w:hRule="exact"/>
        </w:trPr>
        <w:tc>
          <w:tcPr>
            <w:tcW w:w="20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700,000.00</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700,000.00</w:t>
            </w:r>
          </w:p>
        </w:tc>
        <w:tc>
          <w:tcPr>
            <w:tcW w:w="124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00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700,000.00</w:t>
            </w:r>
          </w:p>
        </w:tc>
        <w:tc>
          <w:tcPr>
            <w:tcW w:w="1196"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700,000.00</w:t>
            </w:r>
          </w:p>
        </w:tc>
        <w:tc>
          <w:tcPr>
            <w:tcW w:w="124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00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700,000.00</w:t>
            </w:r>
          </w:p>
        </w:tc>
        <w:tc>
          <w:tcPr>
            <w:tcW w:w="1196" w:type="dxa"/>
            <w:tcBorders>
              <w:top w:val="single" w:sz="6" w:space="0" w:color="000000"/>
              <w:left w:val="single" w:sz="6" w:space="0" w:color="000000"/>
              <w:bottom w:val="single" w:sz="12" w:space="0" w:color="000000"/>
              <w:right w:val="single" w:sz="6" w:space="0" w:color="000000"/>
            </w:tcBorders>
          </w:tcPr>
          <w:p>
            <w:pP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700,000.00</w:t>
            </w:r>
          </w:p>
        </w:tc>
        <w:tc>
          <w:tcPr>
            <w:tcW w:w="1248" w:type="dxa"/>
            <w:tcBorders>
              <w:top w:val="single" w:sz="6" w:space="0" w:color="000000"/>
              <w:left w:val="single" w:sz="6" w:space="0" w:color="000000"/>
              <w:bottom w:val="single" w:sz="12" w:space="0" w:color="000000"/>
              <w:right w:val="single" w:sz="6" w:space="0" w:color="000000"/>
            </w:tcBorders>
          </w:tcPr>
          <w:p>
            <w:pPr/>
          </w:p>
        </w:tc>
        <w:tc>
          <w:tcPr>
            <w:tcW w:w="1367"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
        <w:rPr>
          <w:rFonts w:ascii="宋体" w:hAnsi="宋体" w:cs="宋体" w:eastAsia="宋体" w:hint="default"/>
          <w:sz w:val="14"/>
          <w:szCs w:val="14"/>
        </w:rPr>
      </w:pPr>
    </w:p>
    <w:p>
      <w:pPr>
        <w:pStyle w:val="Heading4"/>
        <w:spacing w:line="240" w:lineRule="auto" w:before="35"/>
        <w:ind w:right="0"/>
        <w:jc w:val="left"/>
        <w:rPr>
          <w:b w:val="0"/>
          <w:bCs w:val="0"/>
        </w:rPr>
      </w:pPr>
      <w:bookmarkStart w:name="（2）期末按公允价值计量的可供出售金融资产" w:id="223"/>
      <w:bookmarkEnd w:id="223"/>
      <w:r>
        <w:rPr>
          <w:b w:val="0"/>
          <w:bCs w:val="0"/>
        </w:rPr>
      </w:r>
      <w:r>
        <w:rPr/>
        <w:t>（</w:t>
      </w:r>
      <w:r>
        <w:rPr>
          <w:rFonts w:ascii="宋体" w:hAnsi="宋体" w:cs="宋体" w:eastAsia="宋体"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期末按成本计量的可供出售金融资产" w:id="224"/>
      <w:bookmarkEnd w:id="224"/>
      <w:r>
        <w:rPr>
          <w:b w:val="0"/>
          <w:bCs w:val="0"/>
        </w:rPr>
      </w:r>
      <w:r>
        <w:rPr/>
        <w:t>（</w:t>
      </w:r>
      <w:r>
        <w:rPr>
          <w:rFonts w:ascii="宋体" w:hAnsi="宋体" w:cs="宋体" w:eastAsia="宋体" w:hint="default"/>
        </w:rPr>
        <w:t>3</w:t>
      </w:r>
      <w:r>
        <w:rPr/>
        <w:t>）期末按成本计量的可供出售金融资产</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864"/>
        <w:gridCol w:w="556"/>
        <w:gridCol w:w="1184"/>
        <w:gridCol w:w="870"/>
        <w:gridCol w:w="1064"/>
        <w:gridCol w:w="677"/>
        <w:gridCol w:w="870"/>
        <w:gridCol w:w="870"/>
        <w:gridCol w:w="870"/>
        <w:gridCol w:w="870"/>
        <w:gridCol w:w="869"/>
      </w:tblGrid>
      <w:tr>
        <w:trPr>
          <w:trHeight w:val="414" w:hRule="exact"/>
        </w:trPr>
        <w:tc>
          <w:tcPr>
            <w:tcW w:w="864"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6" w:right="6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674" w:type="dxa"/>
            <w:gridSpan w:val="4"/>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87" w:type="dxa"/>
            <w:gridSpan w:val="4"/>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68" w:right="65"/>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69"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8" w:right="56"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4" w:type="dxa"/>
            <w:vMerge/>
            <w:tcBorders>
              <w:left w:val="single" w:sz="12" w:space="0" w:color="000000"/>
              <w:bottom w:val="single" w:sz="6" w:space="0" w:color="000000"/>
              <w:right w:val="single" w:sz="6" w:space="0" w:color="000000"/>
            </w:tcBorders>
            <w:shd w:val="clear" w:color="auto" w:fill="D2D2D2"/>
          </w:tcPr>
          <w:p>
            <w:pP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0"/>
              <w:ind w:left="91"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0"/>
              <w:ind w:left="22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0"/>
              <w:ind w:left="6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6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0"/>
              <w:ind w:left="151"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0"/>
              <w:ind w:left="6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0"/>
              <w:ind w:left="6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0"/>
              <w:ind w:left="248"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6" w:space="0" w:color="000000"/>
              <w:bottom w:val="single" w:sz="6" w:space="0" w:color="000000"/>
              <w:right w:val="single" w:sz="6" w:space="0" w:color="000000"/>
            </w:tcBorders>
            <w:shd w:val="clear" w:color="auto" w:fill="D2D2D2"/>
          </w:tcPr>
          <w:p>
            <w:pPr/>
          </w:p>
        </w:tc>
        <w:tc>
          <w:tcPr>
            <w:tcW w:w="869" w:type="dxa"/>
            <w:vMerge/>
            <w:tcBorders>
              <w:left w:val="single" w:sz="6" w:space="0" w:color="000000"/>
              <w:bottom w:val="single" w:sz="6" w:space="0" w:color="000000"/>
              <w:right w:val="single" w:sz="12" w:space="0" w:color="000000"/>
            </w:tcBorders>
            <w:shd w:val="clear" w:color="auto" w:fill="D2D2D2"/>
          </w:tcPr>
          <w:p>
            <w:pPr/>
          </w:p>
        </w:tc>
      </w:tr>
      <w:tr>
        <w:trPr>
          <w:trHeight w:val="1031" w:hRule="exact"/>
        </w:trPr>
        <w:tc>
          <w:tcPr>
            <w:tcW w:w="864"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2"/>
              <w:ind w:left="13" w:right="106"/>
              <w:jc w:val="both"/>
              <w:rPr>
                <w:rFonts w:ascii="宋体" w:hAnsi="宋体" w:cs="宋体" w:eastAsia="宋体" w:hint="default"/>
                <w:sz w:val="18"/>
                <w:szCs w:val="18"/>
              </w:rPr>
            </w:pPr>
            <w:r>
              <w:rPr>
                <w:rFonts w:ascii="宋体" w:hAnsi="宋体" w:cs="宋体" w:eastAsia="宋体" w:hint="default"/>
                <w:sz w:val="18"/>
                <w:szCs w:val="18"/>
              </w:rPr>
              <w:t>贵州贵银 投资有限 公司</w:t>
            </w:r>
          </w:p>
        </w:tc>
        <w:tc>
          <w:tcPr>
            <w:tcW w:w="556"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9" w:right="0"/>
              <w:jc w:val="left"/>
              <w:rPr>
                <w:rFonts w:ascii="宋体" w:hAnsi="宋体" w:cs="宋体" w:eastAsia="宋体" w:hint="default"/>
                <w:sz w:val="18"/>
                <w:szCs w:val="18"/>
              </w:rPr>
            </w:pPr>
            <w:r>
              <w:rPr>
                <w:rFonts w:ascii="宋体"/>
                <w:sz w:val="18"/>
              </w:rPr>
              <w:t>700,000.00</w:t>
            </w:r>
          </w:p>
        </w:tc>
        <w:tc>
          <w:tcPr>
            <w:tcW w:w="870"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7" w:right="0"/>
              <w:jc w:val="center"/>
              <w:rPr>
                <w:rFonts w:ascii="宋体" w:hAnsi="宋体" w:cs="宋体" w:eastAsia="宋体" w:hint="default"/>
                <w:sz w:val="18"/>
                <w:szCs w:val="18"/>
              </w:rPr>
            </w:pPr>
            <w:r>
              <w:rPr>
                <w:rFonts w:ascii="宋体"/>
                <w:sz w:val="18"/>
              </w:rPr>
              <w:t>700,000.00</w:t>
            </w:r>
          </w:p>
        </w:tc>
        <w:tc>
          <w:tcPr>
            <w:tcW w:w="677"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85" w:right="0"/>
              <w:jc w:val="left"/>
              <w:rPr>
                <w:rFonts w:ascii="宋体" w:hAnsi="宋体" w:cs="宋体" w:eastAsia="宋体" w:hint="default"/>
                <w:sz w:val="18"/>
                <w:szCs w:val="18"/>
              </w:rPr>
            </w:pPr>
            <w:r>
              <w:rPr>
                <w:rFonts w:ascii="宋体"/>
                <w:sz w:val="18"/>
              </w:rPr>
              <w:t>7.00%</w:t>
            </w:r>
          </w:p>
        </w:tc>
        <w:tc>
          <w:tcPr>
            <w:tcW w:w="869"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86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6" w:type="dxa"/>
            <w:tcBorders>
              <w:top w:val="single" w:sz="6" w:space="0" w:color="000000"/>
              <w:left w:val="single" w:sz="14" w:space="0" w:color="D2D2D2"/>
              <w:bottom w:val="single" w:sz="12" w:space="0" w:color="000000"/>
              <w:right w:val="single" w:sz="6" w:space="0" w:color="000000"/>
            </w:tcBorders>
          </w:tcPr>
          <w:p>
            <w:pPr/>
          </w:p>
        </w:tc>
        <w:tc>
          <w:tcPr>
            <w:tcW w:w="11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49" w:right="0"/>
              <w:jc w:val="left"/>
              <w:rPr>
                <w:rFonts w:ascii="宋体" w:hAnsi="宋体" w:cs="宋体" w:eastAsia="宋体" w:hint="default"/>
                <w:sz w:val="18"/>
                <w:szCs w:val="18"/>
              </w:rPr>
            </w:pPr>
            <w:r>
              <w:rPr>
                <w:rFonts w:ascii="宋体"/>
                <w:sz w:val="18"/>
              </w:rPr>
              <w:t>700,000.00</w:t>
            </w:r>
          </w:p>
        </w:tc>
        <w:tc>
          <w:tcPr>
            <w:tcW w:w="870" w:type="dxa"/>
            <w:tcBorders>
              <w:top w:val="single" w:sz="6" w:space="0" w:color="000000"/>
              <w:left w:val="single" w:sz="6" w:space="0" w:color="000000"/>
              <w:bottom w:val="single" w:sz="12" w:space="0" w:color="000000"/>
              <w:right w:val="single" w:sz="6" w:space="0" w:color="000000"/>
            </w:tcBorders>
          </w:tcPr>
          <w:p>
            <w:pP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07" w:right="0"/>
              <w:jc w:val="center"/>
              <w:rPr>
                <w:rFonts w:ascii="宋体" w:hAnsi="宋体" w:cs="宋体" w:eastAsia="宋体" w:hint="default"/>
                <w:sz w:val="18"/>
                <w:szCs w:val="18"/>
              </w:rPr>
            </w:pPr>
            <w:r>
              <w:rPr>
                <w:rFonts w:ascii="宋体"/>
                <w:sz w:val="18"/>
              </w:rPr>
              <w:t>700,000.00</w:t>
            </w:r>
          </w:p>
        </w:tc>
        <w:tc>
          <w:tcPr>
            <w:tcW w:w="677" w:type="dxa"/>
            <w:tcBorders>
              <w:top w:val="single" w:sz="6" w:space="0" w:color="000000"/>
              <w:left w:val="single" w:sz="6" w:space="0" w:color="000000"/>
              <w:bottom w:val="single" w:sz="12" w:space="0" w:color="000000"/>
              <w:right w:val="single" w:sz="6" w:space="0" w:color="000000"/>
            </w:tcBorders>
          </w:tcPr>
          <w:p>
            <w:pPr/>
          </w:p>
        </w:tc>
        <w:tc>
          <w:tcPr>
            <w:tcW w:w="870" w:type="dxa"/>
            <w:tcBorders>
              <w:top w:val="single" w:sz="6" w:space="0" w:color="000000"/>
              <w:left w:val="single" w:sz="6" w:space="0" w:color="000000"/>
              <w:bottom w:val="single" w:sz="12" w:space="0" w:color="000000"/>
              <w:right w:val="single" w:sz="6" w:space="0" w:color="000000"/>
            </w:tcBorders>
          </w:tcPr>
          <w:p>
            <w:pPr/>
          </w:p>
        </w:tc>
        <w:tc>
          <w:tcPr>
            <w:tcW w:w="870" w:type="dxa"/>
            <w:tcBorders>
              <w:top w:val="single" w:sz="6" w:space="0" w:color="000000"/>
              <w:left w:val="single" w:sz="6" w:space="0" w:color="000000"/>
              <w:bottom w:val="single" w:sz="12" w:space="0" w:color="000000"/>
              <w:right w:val="single" w:sz="6" w:space="0" w:color="000000"/>
            </w:tcBorders>
          </w:tcPr>
          <w:p>
            <w:pPr/>
          </w:p>
        </w:tc>
        <w:tc>
          <w:tcPr>
            <w:tcW w:w="870" w:type="dxa"/>
            <w:tcBorders>
              <w:top w:val="single" w:sz="6" w:space="0" w:color="000000"/>
              <w:left w:val="single" w:sz="6" w:space="0" w:color="000000"/>
              <w:bottom w:val="single" w:sz="12" w:space="0" w:color="000000"/>
              <w:right w:val="single" w:sz="9" w:space="0" w:color="D2D2D2"/>
            </w:tcBorders>
          </w:tcPr>
          <w:p>
            <w:pPr/>
          </w:p>
        </w:tc>
        <w:tc>
          <w:tcPr>
            <w:tcW w:w="87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338" w:right="0"/>
              <w:jc w:val="left"/>
              <w:rPr>
                <w:rFonts w:ascii="宋体" w:hAnsi="宋体" w:cs="宋体" w:eastAsia="宋体" w:hint="default"/>
                <w:sz w:val="18"/>
                <w:szCs w:val="18"/>
              </w:rPr>
            </w:pPr>
            <w:r>
              <w:rPr>
                <w:rFonts w:ascii="宋体"/>
                <w:sz w:val="18"/>
              </w:rPr>
              <w:t>--</w:t>
            </w:r>
          </w:p>
        </w:tc>
        <w:tc>
          <w:tcPr>
            <w:tcW w:w="86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
        <w:rPr>
          <w:rFonts w:ascii="宋体" w:hAnsi="宋体" w:cs="宋体" w:eastAsia="宋体" w:hint="default"/>
          <w:sz w:val="14"/>
          <w:szCs w:val="14"/>
        </w:rPr>
      </w:pPr>
    </w:p>
    <w:p>
      <w:pPr>
        <w:pStyle w:val="Heading4"/>
        <w:spacing w:line="240" w:lineRule="auto" w:before="35"/>
        <w:ind w:right="0"/>
        <w:jc w:val="left"/>
        <w:rPr>
          <w:b w:val="0"/>
          <w:bCs w:val="0"/>
        </w:rPr>
      </w:pPr>
      <w:bookmarkStart w:name="（4）报告期内可供出售金融资产减值的变动情况" w:id="225"/>
      <w:bookmarkEnd w:id="225"/>
      <w:r>
        <w:rPr>
          <w:b w:val="0"/>
          <w:bCs w:val="0"/>
        </w:rPr>
      </w:r>
      <w:r>
        <w:rPr/>
        <w:t>（</w:t>
      </w:r>
      <w:r>
        <w:rPr>
          <w:rFonts w:ascii="宋体" w:hAnsi="宋体" w:cs="宋体" w:eastAsia="宋体"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5）可供出售权益工具期末公允价值严重下跌或非暂时性下跌但未计提减值准备的相关说" w:id="226"/>
      <w:bookmarkEnd w:id="226"/>
      <w:r>
        <w:rPr>
          <w:b w:val="0"/>
          <w:bCs w:val="0"/>
        </w:rPr>
      </w:r>
      <w:r>
        <w:rPr/>
        <w:t>（</w:t>
      </w:r>
      <w:r>
        <w:rPr>
          <w:rFonts w:ascii="宋体" w:hAnsi="宋体" w:cs="宋体" w:eastAsia="宋体"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87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5、持有至到期投资" w:id="227"/>
      <w:bookmarkEnd w:id="227"/>
      <w:r>
        <w:rPr>
          <w:rFonts w:ascii="宋体" w:hAnsi="宋体" w:cs="宋体" w:eastAsia="宋体" w:hint="default"/>
          <w:sz w:val="21"/>
          <w:szCs w:val="21"/>
        </w:rPr>
      </w:r>
      <w:r>
        <w:rPr>
          <w:rFonts w:ascii="宋体" w:hAnsi="宋体" w:cs="宋体" w:eastAsia="宋体" w:hint="default"/>
          <w:b/>
          <w:bCs/>
          <w:sz w:val="21"/>
          <w:szCs w:val="21"/>
        </w:rPr>
        <w:t>15</w:t>
      </w:r>
      <w:r>
        <w:rPr>
          <w:rFonts w:ascii="宋体" w:hAnsi="宋体" w:cs="宋体" w:eastAsia="宋体" w:hint="default"/>
          <w:b/>
          <w:bCs/>
          <w:sz w:val="21"/>
          <w:szCs w:val="21"/>
        </w:rPr>
        <w:t>、持有至到期投资</w:t>
      </w:r>
      <w:r>
        <w:rPr>
          <w:rFonts w:ascii="宋体" w:hAnsi="宋体" w:cs="宋体" w:eastAsia="宋体" w:hint="default"/>
          <w:sz w:val="21"/>
          <w:szCs w:val="21"/>
        </w:rPr>
      </w:r>
    </w:p>
    <w:p>
      <w:pPr>
        <w:pStyle w:val="Heading4"/>
        <w:spacing w:line="240" w:lineRule="auto" w:before="46"/>
        <w:ind w:left="153" w:right="0"/>
        <w:jc w:val="left"/>
        <w:rPr>
          <w:b w:val="0"/>
          <w:bCs w:val="0"/>
        </w:rPr>
      </w:pPr>
      <w:bookmarkStart w:name="（1）持有至到期投资情况" w:id="228"/>
      <w:bookmarkEnd w:id="228"/>
      <w:r>
        <w:rPr>
          <w:b w:val="0"/>
          <w:bCs w:val="0"/>
        </w:rPr>
      </w:r>
      <w:r>
        <w:rPr/>
        <w:t>（</w:t>
      </w:r>
      <w:r>
        <w:rPr>
          <w:rFonts w:ascii="宋体" w:hAnsi="宋体" w:cs="宋体" w:eastAsia="宋体" w:hint="default"/>
        </w:rPr>
        <w:t>1</w:t>
      </w:r>
      <w:r>
        <w:rPr/>
        <w:t>）持有至到期投资情况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期末重要的持有至到期投资" w:id="229"/>
      <w:bookmarkEnd w:id="229"/>
      <w:r>
        <w:rPr>
          <w:b w:val="0"/>
          <w:bCs w:val="0"/>
        </w:rPr>
      </w:r>
      <w:r>
        <w:rPr/>
        <w:t>（</w:t>
      </w:r>
      <w:r>
        <w:rPr>
          <w:rFonts w:ascii="宋体" w:hAnsi="宋体" w:cs="宋体" w:eastAsia="宋体" w:hint="default"/>
        </w:rPr>
        <w:t>2</w:t>
      </w:r>
      <w:r>
        <w:rPr/>
        <w:t>）期末重要的持有至到期投资</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本期重分类的持有至到期投资" w:id="230"/>
      <w:bookmarkEnd w:id="230"/>
      <w:r>
        <w:rPr>
          <w:b w:val="0"/>
          <w:bCs w:val="0"/>
        </w:rPr>
      </w:r>
      <w:r>
        <w:rPr/>
        <w:t>（</w:t>
      </w:r>
      <w:r>
        <w:rPr>
          <w:rFonts w:ascii="宋体" w:hAnsi="宋体" w:cs="宋体" w:eastAsia="宋体" w:hint="default"/>
        </w:rPr>
        <w:t>3</w:t>
      </w:r>
      <w:r>
        <w:rPr/>
        <w:t>）本期重分类的持有至到期投资</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53" w:right="0"/>
        <w:jc w:val="left"/>
        <w:rPr>
          <w:b w:val="0"/>
          <w:bCs w:val="0"/>
        </w:rPr>
      </w:pPr>
      <w:bookmarkStart w:name="16、长期应收款" w:id="231"/>
      <w:bookmarkEnd w:id="231"/>
      <w:r>
        <w:rPr>
          <w:b w:val="0"/>
          <w:bCs w:val="0"/>
        </w:rPr>
      </w:r>
      <w:r>
        <w:rPr>
          <w:rFonts w:ascii="宋体" w:hAnsi="宋体" w:cs="宋体" w:eastAsia="宋体" w:hint="default"/>
        </w:rPr>
        <w:t>16</w:t>
      </w:r>
      <w:r>
        <w:rPr/>
        <w:t>、长期应收款</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53" w:right="0"/>
        <w:jc w:val="left"/>
        <w:rPr>
          <w:b w:val="0"/>
          <w:bCs w:val="0"/>
        </w:rPr>
      </w:pPr>
      <w:bookmarkStart w:name="（1）长期应收款情况" w:id="232"/>
      <w:bookmarkEnd w:id="232"/>
      <w:r>
        <w:rPr>
          <w:b w:val="0"/>
          <w:bCs w:val="0"/>
        </w:rPr>
      </w:r>
      <w:r>
        <w:rPr/>
        <w:t>（</w:t>
      </w:r>
      <w:r>
        <w:rPr>
          <w:rFonts w:ascii="宋体" w:hAnsi="宋体" w:cs="宋体" w:eastAsia="宋体" w:hint="default"/>
        </w:rPr>
        <w:t>1</w:t>
      </w:r>
      <w:r>
        <w:rPr/>
        <w:t>）长期应收款情况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因金融资产转移而终止确认的长期应收款" w:id="233"/>
      <w:bookmarkEnd w:id="233"/>
      <w:r>
        <w:rPr>
          <w:b w:val="0"/>
          <w:bCs w:val="0"/>
        </w:rPr>
      </w:r>
      <w:r>
        <w:rPr/>
        <w:t>（</w:t>
      </w:r>
      <w:r>
        <w:rPr>
          <w:rFonts w:ascii="宋体" w:hAnsi="宋体" w:cs="宋体" w:eastAsia="宋体"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转移长期应收款且继续涉入形成的资产、负债金额" w:id="234"/>
      <w:bookmarkEnd w:id="234"/>
      <w:r>
        <w:rPr>
          <w:b w:val="0"/>
          <w:bCs w:val="0"/>
        </w:rPr>
      </w:r>
      <w:r>
        <w:rPr/>
        <w:t>（</w:t>
      </w:r>
      <w:r>
        <w:rPr>
          <w:rFonts w:ascii="宋体" w:hAnsi="宋体" w:cs="宋体" w:eastAsia="宋体" w:hint="default"/>
        </w:rPr>
        <w:t>3</w:t>
      </w:r>
      <w:r>
        <w:rPr/>
        <w:t>）转移长期应收款且继续涉入形成的资产、负债金额</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7、长期股权投资" w:id="235"/>
      <w:bookmarkEnd w:id="235"/>
      <w:r>
        <w:rPr>
          <w:rFonts w:ascii="宋体" w:hAnsi="宋体" w:cs="宋体" w:eastAsia="宋体" w:hint="default"/>
          <w:sz w:val="21"/>
          <w:szCs w:val="21"/>
        </w:rPr>
      </w:r>
      <w:r>
        <w:rPr>
          <w:rFonts w:ascii="宋体" w:hAnsi="宋体" w:cs="宋体" w:eastAsia="宋体"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408" w:lineRule="auto" w:before="46"/>
        <w:ind w:left="15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18、投资性房地产" w:id="236"/>
      <w:bookmarkEnd w:id="236"/>
      <w:r>
        <w:rPr>
          <w:rFonts w:ascii="宋体" w:hAnsi="宋体" w:cs="宋体" w:eastAsia="宋体" w:hint="default"/>
          <w:sz w:val="21"/>
          <w:szCs w:val="21"/>
        </w:rPr>
      </w:r>
      <w:r>
        <w:rPr>
          <w:rFonts w:ascii="宋体" w:hAnsi="宋体" w:cs="宋体" w:eastAsia="宋体" w:hint="default"/>
          <w:b/>
          <w:bCs/>
          <w:sz w:val="21"/>
          <w:szCs w:val="21"/>
        </w:rPr>
        <w:t>18</w:t>
      </w:r>
      <w:r>
        <w:rPr>
          <w:rFonts w:ascii="宋体" w:hAnsi="宋体" w:cs="宋体" w:eastAsia="宋体" w:hint="default"/>
          <w:b/>
          <w:bCs/>
          <w:sz w:val="21"/>
          <w:szCs w:val="21"/>
        </w:rPr>
        <w:t>、投资性房地产</w:t>
      </w:r>
      <w:r>
        <w:rPr>
          <w:rFonts w:ascii="宋体" w:hAnsi="宋体" w:cs="宋体" w:eastAsia="宋体" w:hint="default"/>
          <w:sz w:val="21"/>
          <w:szCs w:val="21"/>
        </w:rPr>
      </w:r>
    </w:p>
    <w:p>
      <w:pPr>
        <w:pStyle w:val="Heading4"/>
        <w:spacing w:line="240" w:lineRule="auto" w:before="46"/>
        <w:ind w:right="0"/>
        <w:jc w:val="left"/>
        <w:rPr>
          <w:b w:val="0"/>
          <w:bCs w:val="0"/>
        </w:rPr>
      </w:pPr>
      <w:bookmarkStart w:name="（1）采用成本计量模式的投资性房地产" w:id="237"/>
      <w:bookmarkEnd w:id="237"/>
      <w:r>
        <w:rPr>
          <w:b w:val="0"/>
          <w:bCs w:val="0"/>
        </w:rPr>
      </w:r>
      <w:r>
        <w:rPr/>
        <w:t>（</w:t>
      </w:r>
      <w:r>
        <w:rPr>
          <w:rFonts w:ascii="宋体" w:hAnsi="宋体" w:cs="宋体" w:eastAsia="宋体" w:hint="default"/>
        </w:rPr>
        <w:t>1</w:t>
      </w:r>
      <w:r>
        <w:rPr/>
        <w:t>）采用成本计量模式的投资性房地产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129"/>
        <w:gridCol w:w="1860"/>
        <w:gridCol w:w="1860"/>
        <w:gridCol w:w="1862"/>
        <w:gridCol w:w="1861"/>
      </w:tblGrid>
      <w:tr>
        <w:trPr>
          <w:trHeight w:val="413" w:hRule="exact"/>
        </w:trPr>
        <w:tc>
          <w:tcPr>
            <w:tcW w:w="212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6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6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60" w:type="dxa"/>
            <w:tcBorders>
              <w:top w:val="single" w:sz="6" w:space="0" w:color="000000"/>
              <w:left w:val="single" w:sz="14" w:space="0" w:color="D2D2D2"/>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8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13,328,252.77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13,328,252.77</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5,494,149.67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5,494,149.67</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860" w:type="dxa"/>
            <w:tcBorders>
              <w:top w:val="single" w:sz="6" w:space="0" w:color="000000"/>
              <w:left w:val="single" w:sz="14" w:space="0" w:color="D2D2D2"/>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13" w:right="2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固定资产</w:t>
            </w:r>
            <w:r>
              <w:rPr>
                <w:rFonts w:ascii="宋体" w:hAnsi="宋体" w:cs="宋体" w:eastAsia="宋体" w:hint="default"/>
                <w:sz w:val="18"/>
                <w:szCs w:val="18"/>
              </w:rPr>
              <w:t>\ </w:t>
            </w:r>
            <w:r>
              <w:rPr>
                <w:rFonts w:ascii="宋体" w:hAnsi="宋体" w:cs="宋体" w:eastAsia="宋体" w:hint="default"/>
                <w:sz w:val="18"/>
                <w:szCs w:val="18"/>
              </w:rPr>
              <w:t>在建工程转入</w:t>
            </w:r>
          </w:p>
        </w:tc>
        <w:tc>
          <w:tcPr>
            <w:tcW w:w="1860" w:type="dxa"/>
            <w:tcBorders>
              <w:top w:val="single" w:sz="6" w:space="0" w:color="000000"/>
              <w:left w:val="single" w:sz="14" w:space="0" w:color="D2D2D2"/>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860"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5,494,149.67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5,494,149.67</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2,900,549.37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2,900,549.37</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2,900,549.37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2,900,549.37</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15,921,853.07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15,921,853.07</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3,565,763.55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3,565,763.55</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1,952,621.18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1,952,621.18</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603,861.42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603,861.42</w:t>
            </w:r>
          </w:p>
        </w:tc>
      </w:tr>
      <w:tr>
        <w:trPr>
          <w:trHeight w:val="415" w:hRule="exact"/>
        </w:trPr>
        <w:tc>
          <w:tcPr>
            <w:tcW w:w="21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1,348,759.76</w:t>
            </w:r>
          </w:p>
        </w:tc>
        <w:tc>
          <w:tcPr>
            <w:tcW w:w="1860" w:type="dxa"/>
            <w:tcBorders>
              <w:top w:val="single" w:sz="6" w:space="0" w:color="000000"/>
              <w:left w:val="single" w:sz="6" w:space="0" w:color="000000"/>
              <w:bottom w:val="single" w:sz="12" w:space="0" w:color="000000"/>
              <w:right w:val="single" w:sz="6" w:space="0" w:color="000000"/>
            </w:tcBorders>
          </w:tcPr>
          <w:p>
            <w:pPr/>
          </w:p>
        </w:tc>
        <w:tc>
          <w:tcPr>
            <w:tcW w:w="1862" w:type="dxa"/>
            <w:tcBorders>
              <w:top w:val="single" w:sz="6" w:space="0" w:color="000000"/>
              <w:left w:val="single" w:sz="6" w:space="0" w:color="000000"/>
              <w:bottom w:val="single" w:sz="12" w:space="0" w:color="000000"/>
              <w:right w:val="single" w:sz="6" w:space="0" w:color="000000"/>
            </w:tcBorders>
          </w:tcPr>
          <w:p>
            <w:pPr/>
          </w:p>
        </w:tc>
        <w:tc>
          <w:tcPr>
            <w:tcW w:w="18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1,348,759.76</w:t>
            </w:r>
          </w:p>
        </w:tc>
      </w:tr>
    </w:tbl>
    <w:p>
      <w:pPr>
        <w:spacing w:after="0" w:line="240" w:lineRule="auto"/>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2129"/>
        <w:gridCol w:w="1860"/>
        <w:gridCol w:w="1860"/>
        <w:gridCol w:w="1862"/>
        <w:gridCol w:w="1861"/>
      </w:tblGrid>
      <w:tr>
        <w:trPr>
          <w:trHeight w:val="415" w:hRule="exact"/>
        </w:trPr>
        <w:tc>
          <w:tcPr>
            <w:tcW w:w="212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665,916.93</w:t>
            </w:r>
          </w:p>
        </w:tc>
        <w:tc>
          <w:tcPr>
            <w:tcW w:w="1860" w:type="dxa"/>
            <w:tcBorders>
              <w:top w:val="single" w:sz="12" w:space="0" w:color="000000"/>
              <w:left w:val="single" w:sz="6" w:space="0" w:color="000000"/>
              <w:bottom w:val="single" w:sz="6" w:space="0" w:color="000000"/>
              <w:right w:val="single" w:sz="6" w:space="0" w:color="000000"/>
            </w:tcBorders>
          </w:tcPr>
          <w:p>
            <w:pPr/>
          </w:p>
        </w:tc>
        <w:tc>
          <w:tcPr>
            <w:tcW w:w="1862" w:type="dxa"/>
            <w:tcBorders>
              <w:top w:val="single" w:sz="12" w:space="0" w:color="000000"/>
              <w:left w:val="single" w:sz="6" w:space="0" w:color="000000"/>
              <w:bottom w:val="single" w:sz="6" w:space="0" w:color="000000"/>
              <w:right w:val="single" w:sz="6" w:space="0" w:color="000000"/>
            </w:tcBorders>
          </w:tcPr>
          <w:p>
            <w:pPr/>
          </w:p>
        </w:tc>
        <w:tc>
          <w:tcPr>
            <w:tcW w:w="186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665,916.93</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665,916.93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665,916.93</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4,852,467.80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4,852,467.80</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11,069,385.27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11,069,385.27</w:t>
            </w:r>
          </w:p>
        </w:tc>
      </w:tr>
      <w:tr>
        <w:trPr>
          <w:trHeight w:val="415" w:hRule="exact"/>
        </w:trPr>
        <w:tc>
          <w:tcPr>
            <w:tcW w:w="212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9,762,489.22</w:t>
            </w:r>
          </w:p>
        </w:tc>
        <w:tc>
          <w:tcPr>
            <w:tcW w:w="1860" w:type="dxa"/>
            <w:tcBorders>
              <w:top w:val="single" w:sz="6" w:space="0" w:color="000000"/>
              <w:left w:val="single" w:sz="6" w:space="0" w:color="000000"/>
              <w:bottom w:val="single" w:sz="12" w:space="0" w:color="000000"/>
              <w:right w:val="single" w:sz="6" w:space="0" w:color="000000"/>
            </w:tcBorders>
          </w:tcPr>
          <w:p>
            <w:pPr/>
          </w:p>
        </w:tc>
        <w:tc>
          <w:tcPr>
            <w:tcW w:w="1862" w:type="dxa"/>
            <w:tcBorders>
              <w:top w:val="single" w:sz="6" w:space="0" w:color="000000"/>
              <w:left w:val="single" w:sz="6" w:space="0" w:color="000000"/>
              <w:bottom w:val="single" w:sz="12" w:space="0" w:color="000000"/>
              <w:right w:val="single" w:sz="6" w:space="0" w:color="000000"/>
            </w:tcBorders>
          </w:tcPr>
          <w:p>
            <w:pPr/>
          </w:p>
        </w:tc>
        <w:tc>
          <w:tcPr>
            <w:tcW w:w="18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9,762,489.22</w:t>
            </w:r>
          </w:p>
        </w:tc>
      </w:tr>
    </w:tbl>
    <w:p>
      <w:pPr>
        <w:spacing w:line="240" w:lineRule="auto" w:before="1"/>
        <w:rPr>
          <w:rFonts w:ascii="宋体" w:hAnsi="宋体" w:cs="宋体" w:eastAsia="宋体" w:hint="default"/>
          <w:sz w:val="14"/>
          <w:szCs w:val="14"/>
        </w:rPr>
      </w:pPr>
    </w:p>
    <w:p>
      <w:pPr>
        <w:pStyle w:val="Heading4"/>
        <w:spacing w:line="240" w:lineRule="auto" w:before="35"/>
        <w:ind w:right="0"/>
        <w:jc w:val="left"/>
        <w:rPr>
          <w:b w:val="0"/>
          <w:bCs w:val="0"/>
        </w:rPr>
      </w:pPr>
      <w:bookmarkStart w:name="（2）采用公允价值计量模式的投资性房地产" w:id="238"/>
      <w:bookmarkEnd w:id="238"/>
      <w:r>
        <w:rPr>
          <w:b w:val="0"/>
          <w:bCs w:val="0"/>
        </w:rPr>
      </w:r>
      <w:r>
        <w:rPr/>
        <w:t>（</w:t>
      </w:r>
      <w:r>
        <w:rPr>
          <w:rFonts w:ascii="宋体" w:hAnsi="宋体" w:cs="宋体" w:eastAsia="宋体" w:hint="default"/>
        </w:rPr>
        <w:t>2</w:t>
      </w:r>
      <w:r>
        <w:rPr/>
        <w:t>）采用公允价值计量模式的投资性房地产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未办妥产权证书的投资性房地产情况" w:id="239"/>
      <w:bookmarkEnd w:id="239"/>
      <w:r>
        <w:rPr>
          <w:b w:val="0"/>
          <w:bCs w:val="0"/>
        </w:rPr>
      </w:r>
      <w:r>
        <w:rPr/>
        <w:t>（</w:t>
      </w:r>
      <w:r>
        <w:rPr>
          <w:rFonts w:ascii="宋体" w:hAnsi="宋体" w:cs="宋体" w:eastAsia="宋体" w:hint="default"/>
        </w:rPr>
        <w:t>3</w:t>
      </w:r>
      <w:r>
        <w:rPr/>
        <w:t>）未办妥产权证书的投资性房地产情况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4" w:right="7988"/>
        <w:jc w:val="left"/>
      </w:pPr>
      <w:r>
        <w:rPr/>
        <w:t>□ 适用 √</w:t>
      </w:r>
      <w:r>
        <w:rPr>
          <w:spacing w:val="-1"/>
        </w:rPr>
        <w:t> </w:t>
      </w:r>
      <w:r>
        <w:rPr/>
        <w:t>不适用</w:t>
      </w:r>
      <w:r>
        <w:rPr/>
        <w:t> 其他说明</w:t>
      </w:r>
    </w:p>
    <w:p>
      <w:pPr>
        <w:pStyle w:val="BodyText"/>
        <w:spacing w:line="408" w:lineRule="auto"/>
        <w:ind w:right="3263"/>
        <w:jc w:val="left"/>
        <w:rPr>
          <w:rFonts w:ascii="宋体" w:hAnsi="宋体" w:cs="宋体" w:eastAsia="宋体" w:hint="default"/>
        </w:rPr>
      </w:pPr>
      <w:r>
        <w:rPr/>
        <w:t>投资性房地产本期其他减少为处置子公司南京宇能仪表有限公司转出。 </w:t>
      </w:r>
      <w:bookmarkStart w:name="19、固定资产" w:id="240"/>
      <w:bookmarkEnd w:id="240"/>
      <w:r>
        <w:rPr/>
      </w:r>
      <w:r>
        <w:rPr>
          <w:rFonts w:ascii="宋体" w:hAnsi="宋体" w:cs="宋体" w:eastAsia="宋体" w:hint="default"/>
          <w:b/>
          <w:bCs/>
        </w:rPr>
        <w:t>19</w:t>
      </w:r>
      <w:r>
        <w:rPr>
          <w:rFonts w:ascii="宋体" w:hAnsi="宋体" w:cs="宋体" w:eastAsia="宋体" w:hint="default"/>
          <w:b/>
          <w:bCs/>
        </w:rPr>
        <w:t>、固定资产</w:t>
      </w:r>
      <w:r>
        <w:rPr>
          <w:rFonts w:ascii="宋体" w:hAnsi="宋体" w:cs="宋体" w:eastAsia="宋体" w:hint="default"/>
        </w:rPr>
      </w:r>
    </w:p>
    <w:p>
      <w:pPr>
        <w:pStyle w:val="Heading4"/>
        <w:spacing w:line="240" w:lineRule="auto" w:before="46"/>
        <w:ind w:left="153" w:right="0"/>
        <w:jc w:val="left"/>
        <w:rPr>
          <w:b w:val="0"/>
          <w:bCs w:val="0"/>
        </w:rPr>
      </w:pPr>
      <w:bookmarkStart w:name="（1）固定资产情况" w:id="241"/>
      <w:bookmarkEnd w:id="241"/>
      <w:r>
        <w:rPr>
          <w:b w:val="0"/>
          <w:bCs w:val="0"/>
        </w:rPr>
      </w:r>
      <w:r>
        <w:rPr/>
        <w:t>（</w:t>
      </w:r>
      <w:r>
        <w:rPr>
          <w:rFonts w:ascii="宋体" w:hAnsi="宋体" w:cs="宋体" w:eastAsia="宋体" w:hint="default"/>
        </w:rPr>
        <w:t>1</w:t>
      </w:r>
      <w:r>
        <w:rPr/>
        <w:t>）固定资产情况</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111"/>
        <w:gridCol w:w="1427"/>
        <w:gridCol w:w="1277"/>
        <w:gridCol w:w="1417"/>
        <w:gridCol w:w="1276"/>
        <w:gridCol w:w="688"/>
        <w:gridCol w:w="1366"/>
      </w:tblGrid>
      <w:tr>
        <w:trPr>
          <w:trHeight w:val="415" w:hRule="exact"/>
        </w:trPr>
        <w:tc>
          <w:tcPr>
            <w:tcW w:w="211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27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68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27" w:type="dxa"/>
            <w:tcBorders>
              <w:top w:val="single" w:sz="6" w:space="0" w:color="000000"/>
              <w:left w:val="single" w:sz="14" w:space="0" w:color="D2D2D2"/>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92,607,062.21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23,349,987.82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23,384,466.89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10,614,944.41</w:t>
            </w: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149,956,461.33</w:t>
            </w:r>
          </w:p>
        </w:tc>
      </w:tr>
      <w:tr>
        <w:trPr>
          <w:trHeight w:val="407" w:hRule="exact"/>
        </w:trPr>
        <w:tc>
          <w:tcPr>
            <w:tcW w:w="21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37,232,980.41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45,239,608.95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7,160,562.45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9,276,305.92</w:t>
            </w: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98,909,457.73</w:t>
            </w:r>
          </w:p>
        </w:tc>
      </w:tr>
      <w:tr>
        <w:trPr>
          <w:trHeight w:val="415" w:hRule="exact"/>
        </w:trPr>
        <w:tc>
          <w:tcPr>
            <w:tcW w:w="211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427" w:type="dxa"/>
            <w:tcBorders>
              <w:top w:val="single" w:sz="6" w:space="0" w:color="000000"/>
              <w:left w:val="single" w:sz="14" w:space="0" w:color="D2D2D2"/>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628,277.26</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2,538,625.29</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547,133.34</w:t>
            </w:r>
          </w:p>
        </w:tc>
        <w:tc>
          <w:tcPr>
            <w:tcW w:w="688"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3,714,035.89</w:t>
            </w:r>
          </w:p>
        </w:tc>
      </w:tr>
    </w:tbl>
    <w:p>
      <w:pPr>
        <w:spacing w:after="0" w:line="240" w:lineRule="auto"/>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2129"/>
        <w:gridCol w:w="1416"/>
        <w:gridCol w:w="1277"/>
        <w:gridCol w:w="1417"/>
        <w:gridCol w:w="1276"/>
        <w:gridCol w:w="688"/>
        <w:gridCol w:w="1366"/>
      </w:tblGrid>
      <w:tr>
        <w:trPr>
          <w:trHeight w:val="415" w:hRule="exact"/>
        </w:trPr>
        <w:tc>
          <w:tcPr>
            <w:tcW w:w="212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416"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561,365.38</w:t>
            </w:r>
          </w:p>
        </w:tc>
        <w:tc>
          <w:tcPr>
            <w:tcW w:w="1417" w:type="dxa"/>
            <w:tcBorders>
              <w:top w:val="single" w:sz="12" w:space="0" w:color="000000"/>
              <w:left w:val="single" w:sz="6" w:space="0" w:color="000000"/>
              <w:bottom w:val="single" w:sz="6" w:space="0" w:color="000000"/>
              <w:right w:val="single" w:sz="6" w:space="0" w:color="000000"/>
            </w:tcBorders>
          </w:tcPr>
          <w:p>
            <w:pPr/>
          </w:p>
        </w:tc>
        <w:tc>
          <w:tcPr>
            <w:tcW w:w="1276" w:type="dxa"/>
            <w:tcBorders>
              <w:top w:val="single" w:sz="12" w:space="0" w:color="000000"/>
              <w:left w:val="single" w:sz="6" w:space="0" w:color="000000"/>
              <w:bottom w:val="single" w:sz="6" w:space="0" w:color="000000"/>
              <w:right w:val="single" w:sz="6" w:space="0" w:color="000000"/>
            </w:tcBorders>
          </w:tcPr>
          <w:p>
            <w:pPr/>
          </w:p>
        </w:tc>
        <w:tc>
          <w:tcPr>
            <w:tcW w:w="688" w:type="dxa"/>
            <w:tcBorders>
              <w:top w:val="single" w:sz="12" w:space="0" w:color="000000"/>
              <w:left w:val="single" w:sz="6" w:space="0" w:color="000000"/>
              <w:bottom w:val="single" w:sz="6" w:space="0" w:color="000000"/>
              <w:right w:val="single" w:sz="6" w:space="0" w:color="000000"/>
            </w:tcBorders>
          </w:tcPr>
          <w:p>
            <w:pPr/>
          </w:p>
        </w:tc>
        <w:tc>
          <w:tcPr>
            <w:tcW w:w="136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561,365.38</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37,232,980.41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44,049,966.31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4,621,937.16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8,729,172.58</w:t>
            </w: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94,634,056.46</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24,275,982.02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14,387,651.06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11,230,312.51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768,818.46</w:t>
            </w: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50,662,764.05</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116,807.40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34,312.18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120,594.00</w:t>
            </w: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271,713.58</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24,275,982.02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14,270,843.66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11,196,000.33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648,224.46</w:t>
            </w: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50,391,050.47</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105,564,060.60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54,201,945.71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19,314,716.83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19,122,431.87</w:t>
            </w: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198,203,155.01</w:t>
            </w:r>
          </w:p>
        </w:tc>
      </w:tr>
      <w:tr>
        <w:trPr>
          <w:trHeight w:val="408"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10,387,424.07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10,167,586.82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10,705,119.75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4,485,761.97</w:t>
            </w: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35,745,892.61</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7,705,331.00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27,071,751.76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5,071,340.63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4,625,645.33</w:t>
            </w: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44,474,068.72</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3,966,624.04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2,330,360.81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3,499,064.77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843,687.70</w:t>
            </w: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10,639,737.32</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3,738,706.96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24,741,390.95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1,572,275.86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3,781,957.63</w:t>
            </w: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33,834,331.40</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5,555,929.89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7,728,235.82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6,480,631.85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566,068.94</w:t>
            </w: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20,330,866.50</w:t>
            </w:r>
          </w:p>
        </w:tc>
      </w:tr>
      <w:tr>
        <w:trPr>
          <w:trHeight w:val="408"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37,929.18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32,596.58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96,463.67</w:t>
            </w: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166,989.43</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5,555,929.89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7,690,306.64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6,448,035.27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469,605.27</w:t>
            </w: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20,163,877.07</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12,536,825.18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29,511,102.76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9,295,828.53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8,545,338.36</w:t>
            </w: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59,889,094.83</w:t>
            </w: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1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93,027,235.42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24,690,842.95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10,018,888.30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10,577,093.51</w:t>
            </w:r>
          </w:p>
        </w:tc>
        <w:tc>
          <w:tcPr>
            <w:tcW w:w="688"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138,314,060.18</w:t>
            </w:r>
          </w:p>
        </w:tc>
      </w:tr>
      <w:tr>
        <w:trPr>
          <w:trHeight w:val="416" w:hRule="exact"/>
        </w:trPr>
        <w:tc>
          <w:tcPr>
            <w:tcW w:w="212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82,219,638.14</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13,182,401.00</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12,679,347.14</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6,129,182.44</w:t>
            </w:r>
          </w:p>
        </w:tc>
        <w:tc>
          <w:tcPr>
            <w:tcW w:w="688"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114,210,568.72</w:t>
            </w:r>
          </w:p>
        </w:tc>
      </w:tr>
    </w:tbl>
    <w:p>
      <w:pPr>
        <w:pStyle w:val="Heading4"/>
        <w:spacing w:line="240" w:lineRule="auto" w:before="63"/>
        <w:ind w:right="0"/>
        <w:jc w:val="left"/>
        <w:rPr>
          <w:b w:val="0"/>
          <w:bCs w:val="0"/>
        </w:rPr>
      </w:pPr>
      <w:bookmarkStart w:name="（2）暂时闲置的固定资产情况" w:id="242"/>
      <w:bookmarkEnd w:id="242"/>
      <w:r>
        <w:rPr>
          <w:b w:val="0"/>
          <w:bCs w:val="0"/>
        </w:rPr>
      </w:r>
      <w:r>
        <w:rPr/>
        <w:t>（</w:t>
      </w:r>
      <w:r>
        <w:rPr>
          <w:rFonts w:ascii="宋体" w:hAnsi="宋体" w:cs="宋体" w:eastAsia="宋体" w:hint="default"/>
        </w:rPr>
        <w:t>2</w:t>
      </w:r>
      <w:r>
        <w:rPr/>
        <w:t>）暂时闲置的固定资产情况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通过融资租赁租入的固定资产情况" w:id="243"/>
      <w:bookmarkEnd w:id="243"/>
      <w:r>
        <w:rPr>
          <w:b w:val="0"/>
          <w:bCs w:val="0"/>
        </w:rPr>
      </w:r>
      <w:r>
        <w:rPr/>
        <w:t>（</w:t>
      </w:r>
      <w:r>
        <w:rPr>
          <w:rFonts w:ascii="宋体" w:hAnsi="宋体" w:cs="宋体" w:eastAsia="宋体" w:hint="default"/>
        </w:rPr>
        <w:t>3</w:t>
      </w:r>
      <w:r>
        <w:rPr/>
        <w:t>）通过融资租赁租入的固定资产情况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4）通过经营租赁租出的固定资产" w:id="244"/>
      <w:bookmarkEnd w:id="244"/>
      <w:r>
        <w:rPr>
          <w:b w:val="0"/>
          <w:bCs w:val="0"/>
        </w:rPr>
      </w:r>
      <w:r>
        <w:rPr/>
        <w:t>（</w:t>
      </w:r>
      <w:r>
        <w:rPr>
          <w:rFonts w:ascii="宋体" w:hAnsi="宋体" w:cs="宋体" w:eastAsia="宋体" w:hint="default"/>
        </w:rPr>
        <w:t>4</w:t>
      </w:r>
      <w:r>
        <w:rPr/>
        <w:t>）通过经营租赁租出的固定资产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5）未办妥产权证书的固定资产情况" w:id="245"/>
      <w:bookmarkEnd w:id="245"/>
      <w:r>
        <w:rPr>
          <w:b w:val="0"/>
          <w:bCs w:val="0"/>
        </w:rPr>
      </w:r>
      <w:r>
        <w:rPr/>
        <w:t>（</w:t>
      </w:r>
      <w:r>
        <w:rPr>
          <w:rFonts w:ascii="宋体" w:hAnsi="宋体" w:cs="宋体" w:eastAsia="宋体" w:hint="default"/>
        </w:rPr>
        <w:t>5</w:t>
      </w:r>
      <w:r>
        <w:rPr/>
        <w:t>）未办妥产权证书的固定资产情况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833" w:right="3473"/>
        <w:jc w:val="left"/>
        <w:rPr>
          <w:rFonts w:ascii="宋体" w:hAnsi="宋体" w:cs="宋体" w:eastAsia="宋体" w:hint="default"/>
        </w:rPr>
      </w:pPr>
      <w:r>
        <w:rPr/>
        <w:t>其他说明 固定资产、累计折旧本期其他减少为处置子公司南京宇能仪表有限公司转出。 </w:t>
      </w:r>
      <w:bookmarkStart w:name="20、在建工程" w:id="246"/>
      <w:bookmarkEnd w:id="246"/>
      <w:r>
        <w:rPr/>
      </w:r>
      <w:r>
        <w:rPr>
          <w:rFonts w:ascii="宋体" w:hAnsi="宋体" w:cs="宋体" w:eastAsia="宋体" w:hint="default"/>
          <w:b/>
          <w:bCs/>
        </w:rPr>
        <w:t>20</w:t>
      </w:r>
      <w:r>
        <w:rPr>
          <w:rFonts w:ascii="宋体" w:hAnsi="宋体" w:cs="宋体" w:eastAsia="宋体" w:hint="default"/>
          <w:b/>
          <w:bCs/>
        </w:rPr>
        <w:t>、在建工程</w:t>
      </w:r>
      <w:r>
        <w:rPr>
          <w:rFonts w:ascii="宋体" w:hAnsi="宋体" w:cs="宋体" w:eastAsia="宋体" w:hint="default"/>
        </w:rPr>
      </w:r>
    </w:p>
    <w:p>
      <w:pPr>
        <w:pStyle w:val="Heading4"/>
        <w:spacing w:line="240" w:lineRule="auto" w:before="46"/>
        <w:ind w:left="833" w:right="3473"/>
        <w:jc w:val="left"/>
        <w:rPr>
          <w:b w:val="0"/>
          <w:bCs w:val="0"/>
        </w:rPr>
      </w:pPr>
      <w:bookmarkStart w:name="（1）在建工程情况" w:id="247"/>
      <w:bookmarkEnd w:id="247"/>
      <w:r>
        <w:rPr>
          <w:b w:val="0"/>
          <w:bCs w:val="0"/>
        </w:rPr>
      </w:r>
      <w:r>
        <w:rPr/>
        <w:t>（</w:t>
      </w:r>
      <w:r>
        <w:rPr>
          <w:rFonts w:ascii="宋体" w:hAnsi="宋体" w:cs="宋体" w:eastAsia="宋体" w:hint="default"/>
        </w:rPr>
        <w:t>1</w:t>
      </w:r>
      <w:r>
        <w:rPr/>
        <w:t>）在建工程情况</w:t>
      </w:r>
      <w:r>
        <w:rPr>
          <w:b w:val="0"/>
          <w:bCs w:val="0"/>
        </w:rPr>
      </w:r>
    </w:p>
    <w:p>
      <w:pPr>
        <w:spacing w:line="240" w:lineRule="auto" w:before="6"/>
        <w:rPr>
          <w:rFonts w:ascii="宋体" w:hAnsi="宋体" w:cs="宋体" w:eastAsia="宋体" w:hint="default"/>
          <w:b/>
          <w:bCs/>
          <w:sz w:val="10"/>
          <w:szCs w:val="10"/>
        </w:rPr>
      </w:pPr>
    </w:p>
    <w:p>
      <w:pPr>
        <w:spacing w:before="44"/>
        <w:ind w:left="0" w:right="9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818" w:type="dxa"/>
        <w:tblLayout w:type="fixed"/>
        <w:tblCellMar>
          <w:top w:w="0" w:type="dxa"/>
          <w:left w:w="0" w:type="dxa"/>
          <w:bottom w:w="0" w:type="dxa"/>
          <w:right w:w="0" w:type="dxa"/>
        </w:tblCellMar>
        <w:tblLook w:val="01E0"/>
      </w:tblPr>
      <w:tblGrid>
        <w:gridCol w:w="1986"/>
        <w:gridCol w:w="1417"/>
        <w:gridCol w:w="851"/>
        <w:gridCol w:w="1559"/>
        <w:gridCol w:w="1419"/>
        <w:gridCol w:w="974"/>
        <w:gridCol w:w="1366"/>
      </w:tblGrid>
      <w:tr>
        <w:trPr>
          <w:trHeight w:val="419" w:hRule="exact"/>
        </w:trPr>
        <w:tc>
          <w:tcPr>
            <w:tcW w:w="1986"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3"/>
            <w:tcBorders>
              <w:top w:val="single" w:sz="12" w:space="0" w:color="000000"/>
              <w:left w:val="single" w:sz="6" w:space="0" w:color="000000"/>
              <w:bottom w:val="single" w:sz="6" w:space="0" w:color="FFFFFF"/>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9" w:type="dxa"/>
            <w:gridSpan w:val="3"/>
            <w:tcBorders>
              <w:top w:val="single" w:sz="12" w:space="0" w:color="000000"/>
              <w:left w:val="single" w:sz="6" w:space="0" w:color="000000"/>
              <w:bottom w:val="single" w:sz="6" w:space="0" w:color="FFFFFF"/>
              <w:right w:val="single" w:sz="12"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2" w:hRule="exact"/>
        </w:trPr>
        <w:tc>
          <w:tcPr>
            <w:tcW w:w="1986" w:type="dxa"/>
            <w:vMerge/>
            <w:tcBorders>
              <w:left w:val="single" w:sz="12" w:space="0" w:color="000000"/>
              <w:bottom w:val="single" w:sz="6" w:space="0" w:color="000000"/>
              <w:right w:val="single" w:sz="6" w:space="0" w:color="000000"/>
            </w:tcBorders>
            <w:shd w:val="clear" w:color="auto" w:fill="D2D2D2"/>
          </w:tcPr>
          <w:p>
            <w:pPr/>
          </w:p>
        </w:tc>
        <w:tc>
          <w:tcPr>
            <w:tcW w:w="1417"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1"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59"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4" w:type="dxa"/>
            <w:tcBorders>
              <w:top w:val="single" w:sz="6"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2"/>
              <w:ind w:left="1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6" w:space="0" w:color="FFFFFF"/>
              <w:left w:val="single" w:sz="6" w:space="0" w:color="000000"/>
              <w:bottom w:val="single" w:sz="6" w:space="0" w:color="000000"/>
              <w:right w:val="single" w:sz="12"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2"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测试台</w:t>
            </w:r>
          </w:p>
        </w:tc>
        <w:tc>
          <w:tcPr>
            <w:tcW w:w="1417"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187,800.50</w:t>
            </w:r>
          </w:p>
        </w:tc>
        <w:tc>
          <w:tcPr>
            <w:tcW w:w="97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187,800.50</w:t>
            </w:r>
          </w:p>
        </w:tc>
      </w:tr>
      <w:tr>
        <w:trPr>
          <w:trHeight w:val="412"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生产与中试基地工程</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142,284,836.58</w:t>
            </w:r>
          </w:p>
        </w:tc>
        <w:tc>
          <w:tcPr>
            <w:tcW w:w="85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142,284,836.58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49,690,339.05</w:t>
            </w:r>
          </w:p>
        </w:tc>
        <w:tc>
          <w:tcPr>
            <w:tcW w:w="97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49,690,339.05</w:t>
            </w:r>
          </w:p>
        </w:tc>
      </w:tr>
      <w:tr>
        <w:trPr>
          <w:trHeight w:val="413"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老化房改造</w:t>
            </w:r>
          </w:p>
        </w:tc>
        <w:tc>
          <w:tcPr>
            <w:tcW w:w="1417"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65,522.97</w:t>
            </w:r>
          </w:p>
        </w:tc>
        <w:tc>
          <w:tcPr>
            <w:tcW w:w="97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65,522.97</w:t>
            </w:r>
          </w:p>
        </w:tc>
      </w:tr>
      <w:tr>
        <w:trPr>
          <w:trHeight w:val="412"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分布式能源与微电网</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331,223.14</w:t>
            </w:r>
          </w:p>
        </w:tc>
        <w:tc>
          <w:tcPr>
            <w:tcW w:w="85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331,223.14</w:t>
            </w:r>
          </w:p>
        </w:tc>
        <w:tc>
          <w:tcPr>
            <w:tcW w:w="1419"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能源管理系统</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178,253.36</w:t>
            </w:r>
          </w:p>
        </w:tc>
        <w:tc>
          <w:tcPr>
            <w:tcW w:w="85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178,253.36</w:t>
            </w:r>
          </w:p>
        </w:tc>
        <w:tc>
          <w:tcPr>
            <w:tcW w:w="1419"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山源科技公司二期工程</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4,362,964.79</w:t>
            </w:r>
          </w:p>
        </w:tc>
        <w:tc>
          <w:tcPr>
            <w:tcW w:w="85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4,362,964.79</w:t>
            </w:r>
          </w:p>
        </w:tc>
        <w:tc>
          <w:tcPr>
            <w:tcW w:w="1419"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睿博公司一期工程</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12,982,923.47</w:t>
            </w:r>
          </w:p>
        </w:tc>
        <w:tc>
          <w:tcPr>
            <w:tcW w:w="85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12,982,923.47</w:t>
            </w:r>
          </w:p>
        </w:tc>
        <w:tc>
          <w:tcPr>
            <w:tcW w:w="1419"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9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118,235.79</w:t>
            </w:r>
          </w:p>
        </w:tc>
        <w:tc>
          <w:tcPr>
            <w:tcW w:w="85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118,235.79</w:t>
            </w:r>
          </w:p>
        </w:tc>
        <w:tc>
          <w:tcPr>
            <w:tcW w:w="1419"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
        </w:tc>
      </w:tr>
      <w:tr>
        <w:trPr>
          <w:trHeight w:val="421" w:hRule="exact"/>
        </w:trPr>
        <w:tc>
          <w:tcPr>
            <w:tcW w:w="198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160,258,437.13</w:t>
            </w:r>
          </w:p>
        </w:tc>
        <w:tc>
          <w:tcPr>
            <w:tcW w:w="851" w:type="dxa"/>
            <w:tcBorders>
              <w:top w:val="single" w:sz="6" w:space="0" w:color="000000"/>
              <w:left w:val="single" w:sz="6" w:space="0" w:color="000000"/>
              <w:bottom w:val="single" w:sz="12" w:space="0" w:color="000000"/>
              <w:right w:val="single" w:sz="6" w:space="0" w:color="000000"/>
            </w:tcBorders>
          </w:tcPr>
          <w:p>
            <w:pP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160,258,437.13</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49,943,662.52</w:t>
            </w:r>
          </w:p>
        </w:tc>
        <w:tc>
          <w:tcPr>
            <w:tcW w:w="974"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49,943,662.52</w:t>
            </w:r>
          </w:p>
        </w:tc>
      </w:tr>
    </w:tbl>
    <w:p>
      <w:pPr>
        <w:spacing w:line="240" w:lineRule="auto" w:before="1"/>
        <w:rPr>
          <w:rFonts w:ascii="宋体" w:hAnsi="宋体" w:cs="宋体" w:eastAsia="宋体" w:hint="default"/>
          <w:sz w:val="14"/>
          <w:szCs w:val="14"/>
        </w:rPr>
      </w:pPr>
    </w:p>
    <w:p>
      <w:pPr>
        <w:pStyle w:val="Heading4"/>
        <w:spacing w:line="240" w:lineRule="auto" w:before="35"/>
        <w:ind w:left="834" w:right="3473"/>
        <w:jc w:val="left"/>
        <w:rPr>
          <w:b w:val="0"/>
          <w:bCs w:val="0"/>
        </w:rPr>
      </w:pPr>
      <w:bookmarkStart w:name="（2）重要在建工程项目本期变动情况" w:id="248"/>
      <w:bookmarkEnd w:id="248"/>
      <w:r>
        <w:rPr>
          <w:b w:val="0"/>
          <w:bCs w:val="0"/>
        </w:rPr>
      </w:r>
      <w:r>
        <w:rPr/>
        <w:t>（</w:t>
      </w:r>
      <w:r>
        <w:rPr>
          <w:rFonts w:ascii="宋体" w:hAnsi="宋体" w:cs="宋体" w:eastAsia="宋体" w:hint="default"/>
        </w:rPr>
        <w:t>2</w:t>
      </w:r>
      <w:r>
        <w:rPr/>
        <w:t>）重要在建工程项目本期变动情况</w:t>
      </w:r>
      <w:r>
        <w:rPr>
          <w:b w:val="0"/>
          <w:bCs w:val="0"/>
        </w:rPr>
      </w:r>
    </w:p>
    <w:p>
      <w:pPr>
        <w:spacing w:line="240" w:lineRule="auto" w:before="6"/>
        <w:rPr>
          <w:rFonts w:ascii="宋体" w:hAnsi="宋体" w:cs="宋体" w:eastAsia="宋体" w:hint="default"/>
          <w:b/>
          <w:bCs/>
          <w:sz w:val="10"/>
          <w:szCs w:val="10"/>
        </w:rPr>
      </w:pPr>
    </w:p>
    <w:p>
      <w:pPr>
        <w:spacing w:before="44"/>
        <w:ind w:left="0" w:right="9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51"/>
        <w:gridCol w:w="1326"/>
        <w:gridCol w:w="1226"/>
        <w:gridCol w:w="1418"/>
        <w:gridCol w:w="425"/>
        <w:gridCol w:w="426"/>
        <w:gridCol w:w="1417"/>
        <w:gridCol w:w="710"/>
        <w:gridCol w:w="425"/>
        <w:gridCol w:w="992"/>
        <w:gridCol w:w="992"/>
        <w:gridCol w:w="568"/>
        <w:gridCol w:w="425"/>
      </w:tblGrid>
      <w:tr>
        <w:trPr>
          <w:trHeight w:val="1582" w:hRule="exact"/>
        </w:trPr>
        <w:tc>
          <w:tcPr>
            <w:tcW w:w="85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4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23" w:right="24"/>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42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5" w:right="24"/>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141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6" w:right="76"/>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42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28" w:right="37"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8" w:right="37"/>
              <w:jc w:val="center"/>
              <w:rPr>
                <w:rFonts w:ascii="宋体" w:hAnsi="宋体" w:cs="宋体" w:eastAsia="宋体" w:hint="default"/>
                <w:sz w:val="18"/>
                <w:szCs w:val="18"/>
              </w:rPr>
            </w:pPr>
            <w:r>
              <w:rPr>
                <w:rFonts w:ascii="宋体" w:hAnsi="宋体" w:cs="宋体" w:eastAsia="宋体" w:hint="default"/>
                <w:sz w:val="18"/>
                <w:szCs w:val="18"/>
              </w:rPr>
              <w:t>其中：本期 利息资本化 金额</w:t>
            </w:r>
          </w:p>
        </w:tc>
        <w:tc>
          <w:tcPr>
            <w:tcW w:w="5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42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4" w:right="16"/>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264" w:hRule="exact"/>
        </w:trPr>
        <w:tc>
          <w:tcPr>
            <w:tcW w:w="851"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3" w:right="95"/>
              <w:jc w:val="left"/>
              <w:rPr>
                <w:rFonts w:ascii="宋体" w:hAnsi="宋体" w:cs="宋体" w:eastAsia="宋体" w:hint="default"/>
                <w:sz w:val="18"/>
                <w:szCs w:val="18"/>
              </w:rPr>
            </w:pPr>
            <w:r>
              <w:rPr>
                <w:rFonts w:ascii="宋体" w:hAnsi="宋体" w:cs="宋体" w:eastAsia="宋体" w:hint="default"/>
                <w:sz w:val="18"/>
                <w:szCs w:val="18"/>
              </w:rPr>
              <w:t>生产与中 试基地</w:t>
            </w:r>
            <w:r>
              <w:rPr>
                <w:rFonts w:ascii="宋体" w:hAnsi="宋体" w:cs="宋体" w:eastAsia="宋体" w:hint="default"/>
                <w:sz w:val="18"/>
                <w:szCs w:val="18"/>
              </w:rPr>
              <w:t>/ </w:t>
            </w:r>
            <w:r>
              <w:rPr>
                <w:rFonts w:ascii="宋体" w:hAnsi="宋体" w:cs="宋体" w:eastAsia="宋体" w:hint="default"/>
                <w:sz w:val="18"/>
                <w:szCs w:val="18"/>
              </w:rPr>
              <w:t>生产厂房 一、二</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50,000,000.00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21,543,134.38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18,648,095.93</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40,191,230.31</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80.38%</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85%</w:t>
            </w:r>
          </w:p>
        </w:tc>
        <w:tc>
          <w:tcPr>
            <w:tcW w:w="992"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0" w:right="21"/>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1262" w:hRule="exact"/>
        </w:trPr>
        <w:tc>
          <w:tcPr>
            <w:tcW w:w="851"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95"/>
              <w:jc w:val="left"/>
              <w:rPr>
                <w:rFonts w:ascii="宋体" w:hAnsi="宋体" w:cs="宋体" w:eastAsia="宋体" w:hint="default"/>
                <w:sz w:val="18"/>
                <w:szCs w:val="18"/>
              </w:rPr>
            </w:pPr>
            <w:r>
              <w:rPr>
                <w:rFonts w:ascii="宋体" w:hAnsi="宋体" w:cs="宋体" w:eastAsia="宋体" w:hint="default"/>
                <w:sz w:val="18"/>
                <w:szCs w:val="18"/>
              </w:rPr>
              <w:t>生产与中 试基地</w:t>
            </w:r>
            <w:r>
              <w:rPr>
                <w:rFonts w:ascii="宋体" w:hAnsi="宋体" w:cs="宋体" w:eastAsia="宋体" w:hint="default"/>
                <w:sz w:val="18"/>
                <w:szCs w:val="18"/>
              </w:rPr>
              <w:t>/ </w:t>
            </w:r>
            <w:r>
              <w:rPr>
                <w:rFonts w:ascii="宋体" w:hAnsi="宋体" w:cs="宋体" w:eastAsia="宋体" w:hint="default"/>
                <w:sz w:val="18"/>
                <w:szCs w:val="18"/>
              </w:rPr>
              <w:t>检验检测 大楼</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28,000,000.00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22,459,203.17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4,286,411.45</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26,745,614.62</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95.52%</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95%</w:t>
            </w:r>
          </w:p>
        </w:tc>
        <w:tc>
          <w:tcPr>
            <w:tcW w:w="992"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0" w:right="21"/>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952" w:hRule="exact"/>
        </w:trPr>
        <w:tc>
          <w:tcPr>
            <w:tcW w:w="851"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11"/>
              <w:ind w:left="13" w:right="95"/>
              <w:jc w:val="left"/>
              <w:rPr>
                <w:rFonts w:ascii="宋体" w:hAnsi="宋体" w:cs="宋体" w:eastAsia="宋体" w:hint="default"/>
                <w:sz w:val="18"/>
                <w:szCs w:val="18"/>
              </w:rPr>
            </w:pPr>
            <w:r>
              <w:rPr>
                <w:rFonts w:ascii="宋体" w:hAnsi="宋体" w:cs="宋体" w:eastAsia="宋体" w:hint="default"/>
                <w:sz w:val="18"/>
                <w:szCs w:val="18"/>
              </w:rPr>
              <w:t>生产与中 试基地</w:t>
            </w:r>
            <w:r>
              <w:rPr>
                <w:rFonts w:ascii="宋体" w:hAnsi="宋体" w:cs="宋体" w:eastAsia="宋体" w:hint="default"/>
                <w:sz w:val="18"/>
                <w:szCs w:val="18"/>
              </w:rPr>
              <w:t>/ </w:t>
            </w:r>
            <w:r>
              <w:rPr>
                <w:rFonts w:ascii="宋体" w:hAnsi="宋体" w:cs="宋体" w:eastAsia="宋体" w:hint="default"/>
                <w:sz w:val="18"/>
                <w:szCs w:val="18"/>
              </w:rPr>
              <w:t>综合楼</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132,000,000.00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1" w:right="0"/>
              <w:jc w:val="center"/>
              <w:rPr>
                <w:rFonts w:ascii="宋体" w:hAnsi="宋体" w:cs="宋体" w:eastAsia="宋体" w:hint="default"/>
                <w:sz w:val="18"/>
                <w:szCs w:val="18"/>
              </w:rPr>
            </w:pPr>
            <w:r>
              <w:rPr>
                <w:rFonts w:ascii="宋体"/>
                <w:sz w:val="18"/>
              </w:rPr>
              <w:t>5,688,001.50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69,659,990.15</w:t>
            </w:r>
          </w:p>
        </w:tc>
        <w:tc>
          <w:tcPr>
            <w:tcW w:w="425"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宋体"/>
                <w:sz w:val="18"/>
              </w:rPr>
              <w:t>75,347,991.65</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57.08%</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宋体"/>
                <w:sz w:val="18"/>
              </w:rPr>
              <w:t>60%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 w:right="0"/>
              <w:jc w:val="left"/>
              <w:rPr>
                <w:rFonts w:ascii="宋体" w:hAnsi="宋体" w:cs="宋体" w:eastAsia="宋体" w:hint="default"/>
                <w:sz w:val="18"/>
                <w:szCs w:val="18"/>
              </w:rPr>
            </w:pPr>
            <w:r>
              <w:rPr>
                <w:rFonts w:ascii="宋体"/>
                <w:sz w:val="18"/>
              </w:rPr>
              <w:t>701,576.07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left"/>
              <w:rPr>
                <w:rFonts w:ascii="宋体" w:hAnsi="宋体" w:cs="宋体" w:eastAsia="宋体" w:hint="default"/>
                <w:sz w:val="18"/>
                <w:szCs w:val="18"/>
              </w:rPr>
            </w:pPr>
            <w:r>
              <w:rPr>
                <w:rFonts w:ascii="宋体"/>
                <w:sz w:val="18"/>
              </w:rPr>
              <w:t>701,576.07</w:t>
            </w: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958" w:hRule="exact"/>
        </w:trPr>
        <w:tc>
          <w:tcPr>
            <w:tcW w:w="851"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10"/>
              <w:ind w:left="13" w:right="95"/>
              <w:jc w:val="both"/>
              <w:rPr>
                <w:rFonts w:ascii="宋体" w:hAnsi="宋体" w:cs="宋体" w:eastAsia="宋体" w:hint="default"/>
                <w:sz w:val="18"/>
                <w:szCs w:val="18"/>
              </w:rPr>
            </w:pPr>
            <w:r>
              <w:rPr>
                <w:rFonts w:ascii="宋体" w:hAnsi="宋体" w:cs="宋体" w:eastAsia="宋体" w:hint="default"/>
                <w:sz w:val="18"/>
                <w:szCs w:val="18"/>
              </w:rPr>
              <w:t>山源科技 公司二期 工程</w:t>
            </w:r>
          </w:p>
        </w:tc>
        <w:tc>
          <w:tcPr>
            <w:tcW w:w="1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16,800,000.00</w:t>
            </w:r>
          </w:p>
        </w:tc>
        <w:tc>
          <w:tcPr>
            <w:tcW w:w="1226"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4,362,964.79</w:t>
            </w:r>
          </w:p>
        </w:tc>
        <w:tc>
          <w:tcPr>
            <w:tcW w:w="425"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宋体"/>
                <w:sz w:val="18"/>
              </w:rPr>
              <w:t>4,362,964.79</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25.97%</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宋体"/>
                <w:sz w:val="18"/>
              </w:rPr>
              <w:t>70%</w:t>
            </w:r>
          </w:p>
        </w:tc>
        <w:tc>
          <w:tcPr>
            <w:tcW w:w="992" w:type="dxa"/>
            <w:tcBorders>
              <w:top w:val="single" w:sz="6" w:space="0" w:color="000000"/>
              <w:left w:val="single" w:sz="6" w:space="0" w:color="000000"/>
              <w:bottom w:val="single" w:sz="12" w:space="0" w:color="000000"/>
              <w:right w:val="single" w:sz="6" w:space="0" w:color="000000"/>
            </w:tcBorders>
          </w:tcPr>
          <w:p>
            <w:pPr/>
          </w:p>
        </w:tc>
        <w:tc>
          <w:tcPr>
            <w:tcW w:w="992"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center"/>
        <w:rPr>
          <w:rFonts w:ascii="宋体" w:hAnsi="宋体" w:cs="宋体" w:eastAsia="宋体" w:hint="default"/>
          <w:sz w:val="18"/>
          <w:szCs w:val="18"/>
        </w:rPr>
        <w:sectPr>
          <w:pgSz w:w="11910" w:h="16840"/>
          <w:pgMar w:header="747" w:footer="1000" w:top="1040" w:bottom="1180" w:left="300" w:right="140"/>
        </w:sectPr>
      </w:pPr>
    </w:p>
    <w:p>
      <w:pPr>
        <w:spacing w:line="240" w:lineRule="auto" w:before="3"/>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851"/>
        <w:gridCol w:w="1326"/>
        <w:gridCol w:w="1226"/>
        <w:gridCol w:w="1418"/>
        <w:gridCol w:w="425"/>
        <w:gridCol w:w="426"/>
        <w:gridCol w:w="1417"/>
        <w:gridCol w:w="710"/>
        <w:gridCol w:w="425"/>
        <w:gridCol w:w="992"/>
        <w:gridCol w:w="992"/>
        <w:gridCol w:w="568"/>
        <w:gridCol w:w="425"/>
      </w:tblGrid>
      <w:tr>
        <w:trPr>
          <w:trHeight w:val="646" w:hRule="exact"/>
        </w:trPr>
        <w:tc>
          <w:tcPr>
            <w:tcW w:w="851"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10"/>
              <w:ind w:left="13" w:right="95"/>
              <w:jc w:val="left"/>
              <w:rPr>
                <w:rFonts w:ascii="宋体" w:hAnsi="宋体" w:cs="宋体" w:eastAsia="宋体" w:hint="default"/>
                <w:sz w:val="18"/>
                <w:szCs w:val="18"/>
              </w:rPr>
            </w:pPr>
            <w:r>
              <w:rPr>
                <w:rFonts w:ascii="宋体" w:hAnsi="宋体" w:cs="宋体" w:eastAsia="宋体" w:hint="default"/>
                <w:sz w:val="18"/>
                <w:szCs w:val="18"/>
              </w:rPr>
              <w:t>睿博公司 一期工程</w:t>
            </w:r>
          </w:p>
        </w:tc>
        <w:tc>
          <w:tcPr>
            <w:tcW w:w="13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19,860,000.00</w:t>
            </w:r>
          </w:p>
        </w:tc>
        <w:tc>
          <w:tcPr>
            <w:tcW w:w="1226"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9" w:right="0"/>
              <w:jc w:val="center"/>
              <w:rPr>
                <w:rFonts w:ascii="宋体" w:hAnsi="宋体" w:cs="宋体" w:eastAsia="宋体" w:hint="default"/>
                <w:sz w:val="18"/>
                <w:szCs w:val="18"/>
              </w:rPr>
            </w:pPr>
            <w:r>
              <w:rPr>
                <w:rFonts w:ascii="宋体"/>
                <w:sz w:val="18"/>
              </w:rPr>
              <w:t>12,982,923.47</w:t>
            </w:r>
          </w:p>
        </w:tc>
        <w:tc>
          <w:tcPr>
            <w:tcW w:w="425" w:type="dxa"/>
            <w:tcBorders>
              <w:top w:val="single" w:sz="12" w:space="0" w:color="000000"/>
              <w:left w:val="single" w:sz="6" w:space="0" w:color="000000"/>
              <w:bottom w:val="single" w:sz="6" w:space="0" w:color="000000"/>
              <w:right w:val="single" w:sz="6" w:space="0" w:color="000000"/>
            </w:tcBorders>
          </w:tcPr>
          <w:p>
            <w:pPr/>
          </w:p>
        </w:tc>
        <w:tc>
          <w:tcPr>
            <w:tcW w:w="426"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12,982,923.47</w:t>
            </w: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3" w:right="0"/>
              <w:jc w:val="left"/>
              <w:rPr>
                <w:rFonts w:ascii="宋体" w:hAnsi="宋体" w:cs="宋体" w:eastAsia="宋体" w:hint="default"/>
                <w:sz w:val="18"/>
                <w:szCs w:val="18"/>
              </w:rPr>
            </w:pPr>
            <w:r>
              <w:rPr>
                <w:rFonts w:ascii="宋体"/>
                <w:sz w:val="18"/>
              </w:rPr>
              <w:t>65.37%</w:t>
            </w:r>
          </w:p>
        </w:tc>
        <w:tc>
          <w:tcPr>
            <w:tcW w:w="4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8" w:right="0"/>
              <w:jc w:val="left"/>
              <w:rPr>
                <w:rFonts w:ascii="宋体" w:hAnsi="宋体" w:cs="宋体" w:eastAsia="宋体" w:hint="default"/>
                <w:sz w:val="18"/>
                <w:szCs w:val="18"/>
              </w:rPr>
            </w:pPr>
            <w:r>
              <w:rPr>
                <w:rFonts w:ascii="宋体"/>
                <w:sz w:val="18"/>
              </w:rPr>
              <w:t>30%</w:t>
            </w:r>
          </w:p>
        </w:tc>
        <w:tc>
          <w:tcPr>
            <w:tcW w:w="992" w:type="dxa"/>
            <w:tcBorders>
              <w:top w:val="single" w:sz="12" w:space="0" w:color="000000"/>
              <w:left w:val="single" w:sz="6" w:space="0" w:color="000000"/>
              <w:bottom w:val="single" w:sz="6" w:space="0" w:color="000000"/>
              <w:right w:val="single" w:sz="6" w:space="0" w:color="000000"/>
            </w:tcBorders>
          </w:tcPr>
          <w:p>
            <w:pPr/>
          </w:p>
        </w:tc>
        <w:tc>
          <w:tcPr>
            <w:tcW w:w="992" w:type="dxa"/>
            <w:tcBorders>
              <w:top w:val="single" w:sz="12" w:space="0" w:color="000000"/>
              <w:left w:val="single" w:sz="6" w:space="0" w:color="000000"/>
              <w:bottom w:val="single" w:sz="6" w:space="0" w:color="000000"/>
              <w:right w:val="single" w:sz="6" w:space="0" w:color="000000"/>
            </w:tcBorders>
          </w:tcPr>
          <w:p>
            <w:pPr/>
          </w:p>
        </w:tc>
        <w:tc>
          <w:tcPr>
            <w:tcW w:w="568"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334" w:hRule="exact"/>
        </w:trPr>
        <w:tc>
          <w:tcPr>
            <w:tcW w:w="85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0"/>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246,660,000.00</w:t>
            </w:r>
          </w:p>
        </w:tc>
        <w:tc>
          <w:tcPr>
            <w:tcW w:w="12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sz w:val="18"/>
              </w:rPr>
              <w:t>49,690,339.05</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99" w:right="0"/>
              <w:jc w:val="center"/>
              <w:rPr>
                <w:rFonts w:ascii="宋体" w:hAnsi="宋体" w:cs="宋体" w:eastAsia="宋体" w:hint="default"/>
                <w:sz w:val="18"/>
                <w:szCs w:val="18"/>
              </w:rPr>
            </w:pPr>
            <w:r>
              <w:rPr>
                <w:rFonts w:ascii="宋体"/>
                <w:sz w:val="18"/>
              </w:rPr>
              <w:t>109,940,385.79</w:t>
            </w:r>
          </w:p>
        </w:tc>
        <w:tc>
          <w:tcPr>
            <w:tcW w:w="425" w:type="dxa"/>
            <w:tcBorders>
              <w:top w:val="single" w:sz="6" w:space="0" w:color="000000"/>
              <w:left w:val="single" w:sz="6" w:space="0" w:color="000000"/>
              <w:bottom w:val="single" w:sz="12" w:space="0" w:color="000000"/>
              <w:right w:val="single" w:sz="6" w:space="0" w:color="000000"/>
            </w:tcBorders>
          </w:tcPr>
          <w:p>
            <w:pPr/>
          </w:p>
        </w:tc>
        <w:tc>
          <w:tcPr>
            <w:tcW w:w="426" w:type="dxa"/>
            <w:tcBorders>
              <w:top w:val="single" w:sz="6" w:space="0" w:color="000000"/>
              <w:left w:val="single" w:sz="6"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159,630,724.84</w:t>
            </w:r>
          </w:p>
        </w:tc>
        <w:tc>
          <w:tcPr>
            <w:tcW w:w="71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42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10"/>
              <w:ind w:left="113" w:right="0"/>
              <w:jc w:val="left"/>
              <w:rPr>
                <w:rFonts w:ascii="宋体" w:hAnsi="宋体" w:cs="宋体" w:eastAsia="宋体" w:hint="default"/>
                <w:sz w:val="18"/>
                <w:szCs w:val="18"/>
              </w:rPr>
            </w:pPr>
            <w:r>
              <w:rPr>
                <w:rFonts w:ascii="宋体"/>
                <w:sz w:val="18"/>
              </w:rPr>
              <w:t>--</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56" w:right="0"/>
              <w:jc w:val="left"/>
              <w:rPr>
                <w:rFonts w:ascii="宋体" w:hAnsi="宋体" w:cs="宋体" w:eastAsia="宋体" w:hint="default"/>
                <w:sz w:val="18"/>
                <w:szCs w:val="18"/>
              </w:rPr>
            </w:pPr>
            <w:r>
              <w:rPr>
                <w:rFonts w:ascii="宋体"/>
                <w:sz w:val="18"/>
              </w:rPr>
              <w:t>701,576.07</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57" w:right="0"/>
              <w:jc w:val="left"/>
              <w:rPr>
                <w:rFonts w:ascii="宋体" w:hAnsi="宋体" w:cs="宋体" w:eastAsia="宋体" w:hint="default"/>
                <w:sz w:val="18"/>
                <w:szCs w:val="18"/>
              </w:rPr>
            </w:pPr>
            <w:r>
              <w:rPr>
                <w:rFonts w:ascii="宋体"/>
                <w:sz w:val="18"/>
              </w:rPr>
              <w:t>701,576.07</w:t>
            </w:r>
          </w:p>
        </w:tc>
        <w:tc>
          <w:tcPr>
            <w:tcW w:w="568"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10"/>
              <w:ind w:left="5" w:right="0"/>
              <w:jc w:val="center"/>
              <w:rPr>
                <w:rFonts w:ascii="宋体" w:hAnsi="宋体" w:cs="宋体" w:eastAsia="宋体" w:hint="default"/>
                <w:sz w:val="18"/>
                <w:szCs w:val="18"/>
              </w:rPr>
            </w:pPr>
            <w:r>
              <w:rPr>
                <w:rFonts w:ascii="宋体"/>
                <w:sz w:val="18"/>
              </w:rPr>
              <w:t>--</w:t>
            </w:r>
          </w:p>
        </w:tc>
      </w:tr>
    </w:tbl>
    <w:p>
      <w:pPr>
        <w:pStyle w:val="Heading4"/>
        <w:spacing w:line="240" w:lineRule="auto" w:before="63"/>
        <w:ind w:left="834" w:right="3473"/>
        <w:jc w:val="left"/>
        <w:rPr>
          <w:b w:val="0"/>
          <w:bCs w:val="0"/>
        </w:rPr>
      </w:pPr>
      <w:bookmarkStart w:name="（3）本期计提在建工程减值准备情况" w:id="249"/>
      <w:bookmarkEnd w:id="249"/>
      <w:r>
        <w:rPr>
          <w:b w:val="0"/>
          <w:bCs w:val="0"/>
        </w:rPr>
      </w:r>
      <w:r>
        <w:rPr/>
        <w:t>（</w:t>
      </w:r>
      <w:r>
        <w:rPr>
          <w:rFonts w:ascii="宋体" w:hAnsi="宋体" w:cs="宋体" w:eastAsia="宋体" w:hint="default"/>
        </w:rPr>
        <w:t>3</w:t>
      </w:r>
      <w:r>
        <w:rPr/>
        <w:t>）本期计提在建工程减值准备情况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834" w:right="8828"/>
        <w:jc w:val="left"/>
      </w:pPr>
      <w:r>
        <w:rPr/>
        <w:t>□ 适用 √</w:t>
      </w:r>
      <w:r>
        <w:rPr>
          <w:spacing w:val="-1"/>
        </w:rPr>
        <w:t> </w:t>
      </w:r>
      <w:r>
        <w:rPr/>
        <w:t>不适用</w:t>
      </w:r>
      <w:r>
        <w:rPr/>
        <w:t> 其他说明</w:t>
      </w:r>
    </w:p>
    <w:p>
      <w:pPr>
        <w:pStyle w:val="BodyText"/>
        <w:spacing w:line="408" w:lineRule="auto"/>
        <w:ind w:left="833" w:right="980" w:firstLine="421"/>
        <w:jc w:val="left"/>
      </w:pPr>
      <w:r>
        <w:rPr/>
        <w:t>在建工程年末数比年初数增加</w:t>
      </w:r>
      <w:r>
        <w:rPr>
          <w:spacing w:val="-65"/>
        </w:rPr>
        <w:t> </w:t>
      </w:r>
      <w:r>
        <w:rPr>
          <w:rFonts w:ascii="宋体" w:hAnsi="宋体" w:cs="宋体" w:eastAsia="宋体" w:hint="default"/>
        </w:rPr>
        <w:t>110,314,774.61</w:t>
      </w:r>
      <w:r>
        <w:rPr>
          <w:rFonts w:ascii="宋体" w:hAnsi="宋体" w:cs="宋体" w:eastAsia="宋体" w:hint="default"/>
          <w:spacing w:val="-65"/>
        </w:rPr>
        <w:t> </w:t>
      </w:r>
      <w:r>
        <w:rPr>
          <w:spacing w:val="-6"/>
        </w:rPr>
        <w:t>元，增加比例为</w:t>
      </w:r>
      <w:r>
        <w:rPr>
          <w:spacing w:val="-66"/>
        </w:rPr>
        <w:t> </w:t>
      </w:r>
      <w:r>
        <w:rPr>
          <w:rFonts w:ascii="宋体" w:hAnsi="宋体" w:cs="宋体" w:eastAsia="宋体" w:hint="default"/>
        </w:rPr>
        <w:t>220.88%</w:t>
      </w:r>
      <w:r>
        <w:rPr/>
        <w:t>，增加的主要原因为募投项目 </w:t>
      </w:r>
      <w:r>
        <w:rPr>
          <w:rFonts w:ascii="宋体" w:hAnsi="宋体" w:cs="宋体" w:eastAsia="宋体" w:hint="default"/>
        </w:rPr>
        <w:t>(</w:t>
      </w:r>
      <w:r>
        <w:rPr/>
        <w:t>生产与中试基地工程</w:t>
      </w:r>
      <w:r>
        <w:rPr>
          <w:rFonts w:ascii="宋体" w:hAnsi="宋体" w:cs="宋体" w:eastAsia="宋体" w:hint="default"/>
        </w:rPr>
        <w:t>)</w:t>
      </w:r>
      <w:r>
        <w:rPr/>
        <w:t>投入建设和新增合并索瑞电气所致。</w:t>
      </w:r>
    </w:p>
    <w:p>
      <w:pPr>
        <w:pStyle w:val="Heading4"/>
        <w:spacing w:line="240" w:lineRule="auto" w:before="46"/>
        <w:ind w:left="833" w:right="3473"/>
        <w:jc w:val="left"/>
        <w:rPr>
          <w:b w:val="0"/>
          <w:bCs w:val="0"/>
        </w:rPr>
      </w:pPr>
      <w:bookmarkStart w:name="21、工程物资" w:id="250"/>
      <w:bookmarkEnd w:id="250"/>
      <w:r>
        <w:rPr>
          <w:b w:val="0"/>
          <w:bCs w:val="0"/>
        </w:rPr>
      </w:r>
      <w:r>
        <w:rPr>
          <w:rFonts w:ascii="宋体" w:hAnsi="宋体" w:cs="宋体" w:eastAsia="宋体" w:hint="default"/>
        </w:rPr>
        <w:t>21</w:t>
      </w:r>
      <w:r>
        <w:rPr/>
        <w:t>、工程物资</w:t>
      </w:r>
      <w:r>
        <w:rPr>
          <w:b w:val="0"/>
          <w:bCs w:val="0"/>
        </w:rPr>
      </w:r>
    </w:p>
    <w:p>
      <w:pPr>
        <w:spacing w:line="240" w:lineRule="auto" w:before="10"/>
        <w:rPr>
          <w:rFonts w:ascii="宋体" w:hAnsi="宋体" w:cs="宋体" w:eastAsia="宋体" w:hint="default"/>
          <w:b/>
          <w:bCs/>
          <w:sz w:val="14"/>
          <w:szCs w:val="14"/>
        </w:rPr>
      </w:pPr>
    </w:p>
    <w:p>
      <w:pPr>
        <w:spacing w:line="408" w:lineRule="auto" w:before="0"/>
        <w:ind w:left="834" w:right="882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2、固定资产清理" w:id="251"/>
      <w:bookmarkEnd w:id="251"/>
      <w:r>
        <w:rPr>
          <w:rFonts w:ascii="宋体" w:hAnsi="宋体" w:cs="宋体" w:eastAsia="宋体" w:hint="default"/>
          <w:sz w:val="21"/>
          <w:szCs w:val="21"/>
        </w:rPr>
      </w:r>
      <w:r>
        <w:rPr>
          <w:rFonts w:ascii="宋体" w:hAnsi="宋体" w:cs="宋体" w:eastAsia="宋体" w:hint="default"/>
          <w:b/>
          <w:bCs/>
          <w:sz w:val="21"/>
          <w:szCs w:val="21"/>
        </w:rPr>
        <w:t>22</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408" w:lineRule="auto" w:before="46"/>
        <w:ind w:left="834" w:right="871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3、生产性生物资产" w:id="252"/>
      <w:bookmarkEnd w:id="252"/>
      <w:r>
        <w:rPr>
          <w:rFonts w:ascii="宋体" w:hAnsi="宋体" w:cs="宋体" w:eastAsia="宋体" w:hint="default"/>
          <w:sz w:val="21"/>
          <w:szCs w:val="21"/>
        </w:rPr>
      </w:r>
      <w:r>
        <w:rPr>
          <w:rFonts w:ascii="宋体" w:hAnsi="宋体" w:cs="宋体" w:eastAsia="宋体"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pStyle w:val="Heading4"/>
        <w:spacing w:line="240" w:lineRule="auto" w:before="46"/>
        <w:ind w:left="833" w:right="3473"/>
        <w:jc w:val="left"/>
        <w:rPr>
          <w:b w:val="0"/>
          <w:bCs w:val="0"/>
        </w:rPr>
      </w:pPr>
      <w:bookmarkStart w:name="（1）采用成本计量模式的生产性生物资产" w:id="253"/>
      <w:bookmarkEnd w:id="253"/>
      <w:r>
        <w:rPr>
          <w:b w:val="0"/>
          <w:bCs w:val="0"/>
        </w:rPr>
      </w:r>
      <w:r>
        <w:rPr/>
        <w:t>（</w:t>
      </w:r>
      <w:r>
        <w:rPr>
          <w:rFonts w:ascii="宋体" w:hAnsi="宋体" w:cs="宋体" w:eastAsia="宋体" w:hint="default"/>
        </w:rPr>
        <w:t>1</w:t>
      </w:r>
      <w:r>
        <w:rPr/>
        <w:t>）采用成本计量模式的生产性生物资产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833" w:right="3473"/>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left="834" w:right="3473"/>
        <w:jc w:val="left"/>
        <w:rPr>
          <w:b w:val="0"/>
          <w:bCs w:val="0"/>
        </w:rPr>
      </w:pPr>
      <w:bookmarkStart w:name="（2）采用公允价值计量模式的生产性生物资产" w:id="254"/>
      <w:bookmarkEnd w:id="254"/>
      <w:r>
        <w:rPr>
          <w:b w:val="0"/>
          <w:bCs w:val="0"/>
        </w:rPr>
      </w:r>
      <w:r>
        <w:rPr/>
        <w:t>（</w:t>
      </w:r>
      <w:r>
        <w:rPr>
          <w:rFonts w:ascii="宋体" w:hAnsi="宋体" w:cs="宋体" w:eastAsia="宋体" w:hint="default"/>
        </w:rPr>
        <w:t>2</w:t>
      </w:r>
      <w:r>
        <w:rPr/>
        <w:t>）采用公允价值计量模式的生产性生物资产</w:t>
      </w:r>
      <w:r>
        <w:rPr>
          <w:b w:val="0"/>
          <w:bCs w:val="0"/>
        </w:rPr>
      </w:r>
    </w:p>
    <w:p>
      <w:pPr>
        <w:spacing w:line="240" w:lineRule="auto" w:before="10"/>
        <w:rPr>
          <w:rFonts w:ascii="宋体" w:hAnsi="宋体" w:cs="宋体" w:eastAsia="宋体" w:hint="default"/>
          <w:b/>
          <w:bCs/>
          <w:sz w:val="14"/>
          <w:szCs w:val="14"/>
        </w:rPr>
      </w:pPr>
    </w:p>
    <w:p>
      <w:pPr>
        <w:spacing w:line="408" w:lineRule="auto" w:before="0"/>
        <w:ind w:left="834" w:right="882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4、油气资产" w:id="255"/>
      <w:bookmarkEnd w:id="255"/>
      <w:r>
        <w:rPr>
          <w:rFonts w:ascii="宋体" w:hAnsi="宋体" w:cs="宋体" w:eastAsia="宋体" w:hint="default"/>
          <w:sz w:val="21"/>
          <w:szCs w:val="21"/>
        </w:rPr>
      </w:r>
      <w:r>
        <w:rPr>
          <w:rFonts w:ascii="宋体" w:hAnsi="宋体" w:cs="宋体" w:eastAsia="宋体" w:hint="default"/>
          <w:b/>
          <w:bCs/>
          <w:sz w:val="21"/>
          <w:szCs w:val="21"/>
        </w:rPr>
        <w:t>24</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408" w:lineRule="auto" w:before="46"/>
        <w:ind w:left="834" w:right="882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5、无形资产" w:id="256"/>
      <w:bookmarkEnd w:id="256"/>
      <w:r>
        <w:rPr>
          <w:rFonts w:ascii="宋体" w:hAnsi="宋体" w:cs="宋体" w:eastAsia="宋体" w:hint="default"/>
          <w:sz w:val="21"/>
          <w:szCs w:val="21"/>
        </w:rPr>
      </w:r>
      <w:r>
        <w:rPr>
          <w:rFonts w:ascii="宋体" w:hAnsi="宋体" w:cs="宋体" w:eastAsia="宋体" w:hint="default"/>
          <w:b/>
          <w:bCs/>
          <w:sz w:val="21"/>
          <w:szCs w:val="21"/>
        </w:rPr>
        <w:t>25</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4"/>
        <w:spacing w:line="240" w:lineRule="auto" w:before="46"/>
        <w:ind w:left="834" w:right="3473"/>
        <w:jc w:val="left"/>
        <w:rPr>
          <w:b w:val="0"/>
          <w:bCs w:val="0"/>
        </w:rPr>
      </w:pPr>
      <w:bookmarkStart w:name="（1）无形资产情况" w:id="257"/>
      <w:bookmarkEnd w:id="257"/>
      <w:r>
        <w:rPr>
          <w:b w:val="0"/>
          <w:bCs w:val="0"/>
        </w:rPr>
      </w:r>
      <w:r>
        <w:rPr/>
        <w:t>（</w:t>
      </w:r>
      <w:r>
        <w:rPr>
          <w:rFonts w:ascii="宋体" w:hAnsi="宋体" w:cs="宋体" w:eastAsia="宋体" w:hint="default"/>
        </w:rPr>
        <w:t>1</w:t>
      </w:r>
      <w:r>
        <w:rPr/>
        <w:t>）无形资产情况</w:t>
      </w:r>
      <w:r>
        <w:rPr>
          <w:b w:val="0"/>
          <w:bCs w:val="0"/>
        </w:rPr>
      </w:r>
    </w:p>
    <w:p>
      <w:pPr>
        <w:spacing w:line="240" w:lineRule="auto" w:before="11"/>
        <w:rPr>
          <w:rFonts w:ascii="宋体" w:hAnsi="宋体" w:cs="宋体" w:eastAsia="宋体" w:hint="default"/>
          <w:b/>
          <w:bCs/>
          <w:sz w:val="13"/>
          <w:szCs w:val="13"/>
        </w:rPr>
      </w:pPr>
    </w:p>
    <w:p>
      <w:pPr>
        <w:spacing w:before="0"/>
        <w:ind w:left="0" w:right="9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825" w:type="dxa"/>
        <w:tblLayout w:type="fixed"/>
        <w:tblCellMar>
          <w:top w:w="0" w:type="dxa"/>
          <w:left w:w="0" w:type="dxa"/>
          <w:bottom w:w="0" w:type="dxa"/>
          <w:right w:w="0" w:type="dxa"/>
        </w:tblCellMar>
        <w:tblLook w:val="01E0"/>
      </w:tblPr>
      <w:tblGrid>
        <w:gridCol w:w="2447"/>
        <w:gridCol w:w="1407"/>
        <w:gridCol w:w="1368"/>
        <w:gridCol w:w="1382"/>
        <w:gridCol w:w="1380"/>
        <w:gridCol w:w="1579"/>
      </w:tblGrid>
      <w:tr>
        <w:trPr>
          <w:trHeight w:val="415" w:hRule="exact"/>
        </w:trPr>
        <w:tc>
          <w:tcPr>
            <w:tcW w:w="244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0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0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244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7" w:type="dxa"/>
            <w:tcBorders>
              <w:top w:val="single" w:sz="6" w:space="0" w:color="000000"/>
              <w:left w:val="single" w:sz="9" w:space="0" w:color="D2D2D2"/>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44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0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37,262,882.60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4,569,600.00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45" w:right="0"/>
              <w:jc w:val="left"/>
              <w:rPr>
                <w:rFonts w:ascii="宋体" w:hAnsi="宋体" w:cs="宋体" w:eastAsia="宋体" w:hint="default"/>
                <w:sz w:val="18"/>
                <w:szCs w:val="18"/>
              </w:rPr>
            </w:pPr>
            <w:r>
              <w:rPr>
                <w:rFonts w:ascii="宋体"/>
                <w:sz w:val="18"/>
              </w:rPr>
              <w:t>849,127.34</w:t>
            </w:r>
          </w:p>
        </w:tc>
        <w:tc>
          <w:tcPr>
            <w:tcW w:w="1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42,681,609.94</w:t>
            </w:r>
          </w:p>
        </w:tc>
      </w:tr>
      <w:tr>
        <w:trPr>
          <w:trHeight w:val="407" w:hRule="exact"/>
        </w:trPr>
        <w:tc>
          <w:tcPr>
            <w:tcW w:w="244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0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36,906,996.16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66,422,322.81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103,329,318.97</w:t>
            </w:r>
          </w:p>
        </w:tc>
      </w:tr>
      <w:tr>
        <w:trPr>
          <w:trHeight w:val="407" w:hRule="exact"/>
        </w:trPr>
        <w:tc>
          <w:tcPr>
            <w:tcW w:w="244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407" w:type="dxa"/>
            <w:tcBorders>
              <w:top w:val="single" w:sz="6" w:space="0" w:color="000000"/>
              <w:left w:val="single" w:sz="9" w:space="0" w:color="D2D2D2"/>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44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1407" w:type="dxa"/>
            <w:tcBorders>
              <w:top w:val="single" w:sz="6" w:space="0" w:color="000000"/>
              <w:left w:val="single" w:sz="9" w:space="0" w:color="D2D2D2"/>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
        </w:tc>
      </w:tr>
      <w:tr>
        <w:trPr>
          <w:trHeight w:val="473" w:hRule="exact"/>
        </w:trPr>
        <w:tc>
          <w:tcPr>
            <w:tcW w:w="244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5"/>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40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36,906,996.16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66,422,322.81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103,329,318.97</w:t>
            </w:r>
          </w:p>
        </w:tc>
      </w:tr>
      <w:tr>
        <w:trPr>
          <w:trHeight w:val="407" w:hRule="exact"/>
        </w:trPr>
        <w:tc>
          <w:tcPr>
            <w:tcW w:w="2447"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07"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1,077,960.00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1,077,960.00</w:t>
            </w:r>
          </w:p>
        </w:tc>
      </w:tr>
      <w:tr>
        <w:trPr>
          <w:trHeight w:val="415" w:hRule="exact"/>
        </w:trPr>
        <w:tc>
          <w:tcPr>
            <w:tcW w:w="2447"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407" w:type="dxa"/>
            <w:tcBorders>
              <w:top w:val="single" w:sz="6" w:space="0" w:color="000000"/>
              <w:left w:val="single" w:sz="9" w:space="0" w:color="D2D2D2"/>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6" w:space="0" w:color="000000"/>
            </w:tcBorders>
          </w:tcPr>
          <w:p>
            <w:pPr/>
          </w:p>
        </w:tc>
        <w:tc>
          <w:tcPr>
            <w:tcW w:w="1382" w:type="dxa"/>
            <w:tcBorders>
              <w:top w:val="single" w:sz="6" w:space="0" w:color="000000"/>
              <w:left w:val="single" w:sz="6" w:space="0" w:color="000000"/>
              <w:bottom w:val="single" w:sz="12" w:space="0" w:color="000000"/>
              <w:right w:val="single" w:sz="6" w:space="0" w:color="000000"/>
            </w:tcBorders>
          </w:tcPr>
          <w:p>
            <w:pPr/>
          </w:p>
        </w:tc>
        <w:tc>
          <w:tcPr>
            <w:tcW w:w="1380" w:type="dxa"/>
            <w:tcBorders>
              <w:top w:val="single" w:sz="6" w:space="0" w:color="000000"/>
              <w:left w:val="single" w:sz="6" w:space="0" w:color="000000"/>
              <w:bottom w:val="single" w:sz="12" w:space="0" w:color="000000"/>
              <w:right w:val="single" w:sz="6" w:space="0" w:color="000000"/>
            </w:tcBorders>
          </w:tcPr>
          <w:p>
            <w:pPr/>
          </w:p>
        </w:tc>
        <w:tc>
          <w:tcPr>
            <w:tcW w:w="157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300" w:right="14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2465"/>
        <w:gridCol w:w="1396"/>
        <w:gridCol w:w="1368"/>
        <w:gridCol w:w="1382"/>
        <w:gridCol w:w="1380"/>
        <w:gridCol w:w="1579"/>
      </w:tblGrid>
      <w:tr>
        <w:trPr>
          <w:trHeight w:val="415" w:hRule="exact"/>
        </w:trPr>
        <w:tc>
          <w:tcPr>
            <w:tcW w:w="246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1,077,960.00</w:t>
            </w:r>
          </w:p>
        </w:tc>
        <w:tc>
          <w:tcPr>
            <w:tcW w:w="1368" w:type="dxa"/>
            <w:tcBorders>
              <w:top w:val="single" w:sz="12" w:space="0" w:color="000000"/>
              <w:left w:val="single" w:sz="6" w:space="0" w:color="000000"/>
              <w:bottom w:val="single" w:sz="6" w:space="0" w:color="000000"/>
              <w:right w:val="single" w:sz="6" w:space="0" w:color="000000"/>
            </w:tcBorders>
          </w:tcPr>
          <w:p>
            <w:pPr/>
          </w:p>
        </w:tc>
        <w:tc>
          <w:tcPr>
            <w:tcW w:w="1382" w:type="dxa"/>
            <w:tcBorders>
              <w:top w:val="single" w:sz="12" w:space="0" w:color="000000"/>
              <w:left w:val="single" w:sz="6" w:space="0" w:color="000000"/>
              <w:bottom w:val="single" w:sz="6" w:space="0" w:color="000000"/>
              <w:right w:val="single" w:sz="6" w:space="0" w:color="000000"/>
            </w:tcBorders>
          </w:tcPr>
          <w:p>
            <w:pPr/>
          </w:p>
        </w:tc>
        <w:tc>
          <w:tcPr>
            <w:tcW w:w="1380" w:type="dxa"/>
            <w:tcBorders>
              <w:top w:val="single" w:sz="12" w:space="0" w:color="000000"/>
              <w:left w:val="single" w:sz="6" w:space="0" w:color="000000"/>
              <w:bottom w:val="single" w:sz="6" w:space="0" w:color="000000"/>
              <w:right w:val="single" w:sz="6" w:space="0" w:color="000000"/>
            </w:tcBorders>
          </w:tcPr>
          <w:p>
            <w:pPr/>
          </w:p>
        </w:tc>
        <w:tc>
          <w:tcPr>
            <w:tcW w:w="157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1,077,960.00</w:t>
            </w:r>
          </w:p>
        </w:tc>
      </w:tr>
      <w:tr>
        <w:trPr>
          <w:trHeight w:val="407"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73,091,918.76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70,991,922.81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849,127.34</w:t>
            </w:r>
          </w:p>
        </w:tc>
        <w:tc>
          <w:tcPr>
            <w:tcW w:w="1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144,932,968.91</w:t>
            </w:r>
          </w:p>
        </w:tc>
      </w:tr>
      <w:tr>
        <w:trPr>
          <w:trHeight w:val="407"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1,487,460.10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4,569,600.00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333,635.51</w:t>
            </w:r>
          </w:p>
        </w:tc>
        <w:tc>
          <w:tcPr>
            <w:tcW w:w="1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6,390,695.61</w:t>
            </w:r>
          </w:p>
        </w:tc>
      </w:tr>
      <w:tr>
        <w:trPr>
          <w:trHeight w:val="407"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806"/>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1,838,237.63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25,641.03</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84,913.20</w:t>
            </w:r>
          </w:p>
        </w:tc>
        <w:tc>
          <w:tcPr>
            <w:tcW w:w="1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1,948,791.86</w:t>
            </w:r>
          </w:p>
        </w:tc>
      </w:tr>
      <w:tr>
        <w:trPr>
          <w:trHeight w:val="407"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743,576.76</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84,913.20</w:t>
            </w:r>
          </w:p>
        </w:tc>
        <w:tc>
          <w:tcPr>
            <w:tcW w:w="1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828,489.96</w:t>
            </w:r>
          </w:p>
        </w:tc>
      </w:tr>
      <w:tr>
        <w:trPr>
          <w:trHeight w:val="408" w:hRule="exact"/>
        </w:trPr>
        <w:tc>
          <w:tcPr>
            <w:tcW w:w="24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1,094,660.87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25,641.03</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1,120,301.90</w:t>
            </w:r>
          </w:p>
        </w:tc>
      </w:tr>
      <w:tr>
        <w:trPr>
          <w:trHeight w:val="407"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806"/>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181,456.60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181,456.60</w:t>
            </w:r>
          </w:p>
        </w:tc>
      </w:tr>
      <w:tr>
        <w:trPr>
          <w:trHeight w:val="407"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9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4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181,456.60</w:t>
            </w: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181,456.60</w:t>
            </w:r>
          </w:p>
        </w:tc>
      </w:tr>
      <w:tr>
        <w:trPr>
          <w:trHeight w:val="407"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3,144,241.13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4,595,241.03</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418,548.71</w:t>
            </w:r>
          </w:p>
        </w:tc>
        <w:tc>
          <w:tcPr>
            <w:tcW w:w="1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8,158,030.87</w:t>
            </w:r>
          </w:p>
        </w:tc>
      </w:tr>
      <w:tr>
        <w:trPr>
          <w:trHeight w:val="407"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9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806"/>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9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9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806"/>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9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9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46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80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69,947,677.63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66,396,681.78</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430,578.63</w:t>
            </w:r>
          </w:p>
        </w:tc>
        <w:tc>
          <w:tcPr>
            <w:tcW w:w="15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136,774,938.04</w:t>
            </w:r>
          </w:p>
        </w:tc>
      </w:tr>
      <w:tr>
        <w:trPr>
          <w:trHeight w:val="415" w:hRule="exact"/>
        </w:trPr>
        <w:tc>
          <w:tcPr>
            <w:tcW w:w="246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right="806"/>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35,775,422.50</w:t>
            </w:r>
          </w:p>
        </w:tc>
        <w:tc>
          <w:tcPr>
            <w:tcW w:w="1368" w:type="dxa"/>
            <w:tcBorders>
              <w:top w:val="single" w:sz="6" w:space="0" w:color="000000"/>
              <w:left w:val="single" w:sz="6" w:space="0" w:color="000000"/>
              <w:bottom w:val="single" w:sz="12" w:space="0" w:color="000000"/>
              <w:right w:val="single" w:sz="6" w:space="0" w:color="000000"/>
            </w:tcBorders>
          </w:tcPr>
          <w:p>
            <w:pPr/>
          </w:p>
        </w:tc>
        <w:tc>
          <w:tcPr>
            <w:tcW w:w="1382" w:type="dxa"/>
            <w:tcBorders>
              <w:top w:val="single" w:sz="6" w:space="0" w:color="000000"/>
              <w:left w:val="single" w:sz="6" w:space="0" w:color="000000"/>
              <w:bottom w:val="single" w:sz="12" w:space="0" w:color="000000"/>
              <w:right w:val="single" w:sz="6" w:space="0" w:color="000000"/>
            </w:tcBorders>
          </w:tcPr>
          <w:p>
            <w:pPr/>
          </w:p>
        </w:tc>
        <w:tc>
          <w:tcPr>
            <w:tcW w:w="13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515,491.83</w:t>
            </w:r>
          </w:p>
        </w:tc>
        <w:tc>
          <w:tcPr>
            <w:tcW w:w="15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36,290,914.33</w:t>
            </w:r>
          </w:p>
        </w:tc>
      </w:tr>
    </w:tbl>
    <w:p>
      <w:pPr>
        <w:pStyle w:val="Heading4"/>
        <w:spacing w:line="240" w:lineRule="auto" w:before="63"/>
        <w:ind w:right="0"/>
        <w:jc w:val="left"/>
        <w:rPr>
          <w:b w:val="0"/>
          <w:bCs w:val="0"/>
        </w:rPr>
      </w:pPr>
      <w:bookmarkStart w:name="（2）未办妥产权证书的土地使用权情况" w:id="258"/>
      <w:bookmarkEnd w:id="258"/>
      <w:r>
        <w:rPr>
          <w:b w:val="0"/>
          <w:bCs w:val="0"/>
        </w:rPr>
      </w:r>
      <w:r>
        <w:rPr/>
        <w:t>（</w:t>
      </w:r>
      <w:r>
        <w:rPr>
          <w:rFonts w:ascii="宋体" w:hAnsi="宋体" w:cs="宋体" w:eastAsia="宋体" w:hint="default"/>
        </w:rPr>
        <w:t>2</w:t>
      </w:r>
      <w:r>
        <w:rPr/>
        <w:t>）未办妥产权证书的土地使用权情况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6、开发支出" w:id="259"/>
      <w:bookmarkEnd w:id="259"/>
      <w:r>
        <w:rPr>
          <w:rFonts w:ascii="宋体" w:hAnsi="宋体" w:cs="宋体" w:eastAsia="宋体" w:hint="default"/>
          <w:sz w:val="21"/>
          <w:szCs w:val="21"/>
        </w:rPr>
      </w:r>
      <w:r>
        <w:rPr>
          <w:rFonts w:ascii="宋体" w:hAnsi="宋体" w:cs="宋体" w:eastAsia="宋体" w:hint="default"/>
          <w:b/>
          <w:bCs/>
          <w:sz w:val="21"/>
          <w:szCs w:val="21"/>
        </w:rPr>
        <w:t>26</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408" w:lineRule="auto" w:before="46"/>
        <w:ind w:left="15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7、商誉" w:id="260"/>
      <w:bookmarkEnd w:id="260"/>
      <w:r>
        <w:rPr>
          <w:rFonts w:ascii="宋体" w:hAnsi="宋体" w:cs="宋体" w:eastAsia="宋体" w:hint="default"/>
          <w:sz w:val="21"/>
          <w:szCs w:val="21"/>
        </w:rPr>
      </w:r>
      <w:r>
        <w:rPr>
          <w:rFonts w:ascii="宋体" w:hAnsi="宋体" w:cs="宋体" w:eastAsia="宋体" w:hint="default"/>
          <w:b/>
          <w:bCs/>
          <w:sz w:val="21"/>
          <w:szCs w:val="21"/>
        </w:rPr>
        <w:t>27</w:t>
      </w:r>
      <w:r>
        <w:rPr>
          <w:rFonts w:ascii="宋体" w:hAnsi="宋体" w:cs="宋体" w:eastAsia="宋体" w:hint="default"/>
          <w:b/>
          <w:bCs/>
          <w:sz w:val="21"/>
          <w:szCs w:val="21"/>
        </w:rPr>
        <w:t>、商誉</w:t>
      </w:r>
      <w:r>
        <w:rPr>
          <w:rFonts w:ascii="宋体" w:hAnsi="宋体" w:cs="宋体" w:eastAsia="宋体" w:hint="default"/>
          <w:sz w:val="21"/>
          <w:szCs w:val="21"/>
        </w:rPr>
      </w:r>
    </w:p>
    <w:p>
      <w:pPr>
        <w:pStyle w:val="Heading4"/>
        <w:spacing w:line="240" w:lineRule="auto" w:before="46"/>
        <w:ind w:right="0"/>
        <w:jc w:val="left"/>
        <w:rPr>
          <w:b w:val="0"/>
          <w:bCs w:val="0"/>
        </w:rPr>
      </w:pPr>
      <w:bookmarkStart w:name="（1）商誉账面原值" w:id="261"/>
      <w:bookmarkEnd w:id="261"/>
      <w:r>
        <w:rPr>
          <w:b w:val="0"/>
          <w:bCs w:val="0"/>
        </w:rPr>
      </w:r>
      <w:r>
        <w:rPr/>
        <w:t>（</w:t>
      </w:r>
      <w:r>
        <w:rPr>
          <w:rFonts w:ascii="宋体" w:hAnsi="宋体" w:cs="宋体" w:eastAsia="宋体" w:hint="default"/>
        </w:rPr>
        <w:t>1</w:t>
      </w:r>
      <w:r>
        <w:rPr/>
        <w:t>）商誉账面原值</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68"/>
        <w:gridCol w:w="1369"/>
        <w:gridCol w:w="1367"/>
        <w:gridCol w:w="1367"/>
        <w:gridCol w:w="1368"/>
        <w:gridCol w:w="1367"/>
        <w:gridCol w:w="1366"/>
      </w:tblGrid>
      <w:tr>
        <w:trPr>
          <w:trHeight w:val="414" w:hRule="exact"/>
        </w:trPr>
        <w:tc>
          <w:tcPr>
            <w:tcW w:w="1368" w:type="dxa"/>
            <w:vMerge w:val="restart"/>
            <w:tcBorders>
              <w:top w:val="single" w:sz="12" w:space="0" w:color="000000"/>
              <w:left w:val="single" w:sz="12" w:space="0" w:color="000000"/>
              <w:right w:val="single" w:sz="6" w:space="0" w:color="000000"/>
            </w:tcBorders>
            <w:shd w:val="clear" w:color="auto" w:fill="D2D2D2"/>
          </w:tcPr>
          <w:p>
            <w:pPr>
              <w:pStyle w:val="TableParagraph"/>
              <w:spacing w:line="319" w:lineRule="auto" w:before="51"/>
              <w:ind w:left="38" w:right="45"/>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12" w:space="0" w:color="000000"/>
              <w:bottom w:val="single" w:sz="6" w:space="0" w:color="000000"/>
              <w:right w:val="single" w:sz="6" w:space="0" w:color="000000"/>
            </w:tcBorders>
            <w:shd w:val="clear" w:color="auto" w:fill="D2D2D2"/>
          </w:tcPr>
          <w:p>
            <w:pPr/>
          </w:p>
        </w:tc>
        <w:tc>
          <w:tcPr>
            <w:tcW w:w="1369"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0"/>
              <w:ind w:left="4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6" w:space="0" w:color="000000"/>
              <w:bottom w:val="single" w:sz="6" w:space="0" w:color="000000"/>
              <w:right w:val="single" w:sz="12" w:space="0" w:color="000000"/>
            </w:tcBorders>
            <w:shd w:val="clear" w:color="auto" w:fill="D2D2D2"/>
          </w:tcPr>
          <w:p>
            <w:pPr/>
          </w:p>
        </w:tc>
      </w:tr>
      <w:tr>
        <w:trPr>
          <w:trHeight w:val="727" w:hRule="exact"/>
        </w:trPr>
        <w:tc>
          <w:tcPr>
            <w:tcW w:w="1368"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2"/>
              <w:ind w:left="13" w:right="70"/>
              <w:jc w:val="left"/>
              <w:rPr>
                <w:rFonts w:ascii="宋体" w:hAnsi="宋体" w:cs="宋体" w:eastAsia="宋体" w:hint="default"/>
                <w:sz w:val="18"/>
                <w:szCs w:val="18"/>
              </w:rPr>
            </w:pPr>
            <w:r>
              <w:rPr>
                <w:rFonts w:ascii="宋体" w:hAnsi="宋体" w:cs="宋体" w:eastAsia="宋体" w:hint="default"/>
                <w:sz w:val="18"/>
                <w:szCs w:val="18"/>
              </w:rPr>
              <w:t>南京宇能仪表有 限公司</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sz w:val="18"/>
              </w:rPr>
              <w:t>10,834,230.27</w:t>
            </w:r>
          </w:p>
        </w:tc>
        <w:tc>
          <w:tcPr>
            <w:tcW w:w="1367" w:type="dxa"/>
            <w:tcBorders>
              <w:top w:val="single" w:sz="6" w:space="0" w:color="000000"/>
              <w:left w:val="single" w:sz="6" w:space="0" w:color="000000"/>
              <w:bottom w:val="single" w:sz="12" w:space="0" w:color="000000"/>
              <w:right w:val="single" w:sz="6" w:space="0" w:color="000000"/>
            </w:tcBorders>
          </w:tcPr>
          <w:p>
            <w:pPr/>
          </w:p>
        </w:tc>
        <w:tc>
          <w:tcPr>
            <w:tcW w:w="1367"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2" w:right="0"/>
              <w:jc w:val="center"/>
              <w:rPr>
                <w:rFonts w:ascii="宋体" w:hAnsi="宋体" w:cs="宋体" w:eastAsia="宋体" w:hint="default"/>
                <w:sz w:val="18"/>
                <w:szCs w:val="18"/>
              </w:rPr>
            </w:pPr>
            <w:r>
              <w:rPr>
                <w:rFonts w:ascii="宋体"/>
                <w:sz w:val="18"/>
              </w:rPr>
              <w:t>10,834,230.27</w:t>
            </w:r>
          </w:p>
        </w:tc>
        <w:tc>
          <w:tcPr>
            <w:tcW w:w="1367"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368"/>
        <w:gridCol w:w="1369"/>
        <w:gridCol w:w="1367"/>
        <w:gridCol w:w="1367"/>
        <w:gridCol w:w="1368"/>
        <w:gridCol w:w="1367"/>
        <w:gridCol w:w="1366"/>
      </w:tblGrid>
      <w:tr>
        <w:trPr>
          <w:trHeight w:val="727" w:hRule="exact"/>
        </w:trPr>
        <w:tc>
          <w:tcPr>
            <w:tcW w:w="1368"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51"/>
              <w:ind w:left="13" w:right="70"/>
              <w:jc w:val="left"/>
              <w:rPr>
                <w:rFonts w:ascii="宋体" w:hAnsi="宋体" w:cs="宋体" w:eastAsia="宋体" w:hint="default"/>
                <w:sz w:val="18"/>
                <w:szCs w:val="18"/>
              </w:rPr>
            </w:pPr>
            <w:r>
              <w:rPr>
                <w:rFonts w:ascii="宋体" w:hAnsi="宋体" w:cs="宋体" w:eastAsia="宋体" w:hint="default"/>
                <w:sz w:val="18"/>
                <w:szCs w:val="18"/>
              </w:rPr>
              <w:t>南京云商天下信 息技术有限公司</w:t>
            </w:r>
          </w:p>
        </w:tc>
        <w:tc>
          <w:tcPr>
            <w:tcW w:w="1369" w:type="dxa"/>
            <w:tcBorders>
              <w:top w:val="single" w:sz="12" w:space="0" w:color="000000"/>
              <w:left w:val="single" w:sz="6" w:space="0" w:color="000000"/>
              <w:bottom w:val="single" w:sz="6" w:space="0" w:color="000000"/>
              <w:right w:val="single" w:sz="6" w:space="0" w:color="000000"/>
            </w:tcBorders>
          </w:tcPr>
          <w:p>
            <w:pP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3,828,073.75</w:t>
            </w:r>
          </w:p>
        </w:tc>
        <w:tc>
          <w:tcPr>
            <w:tcW w:w="1367" w:type="dxa"/>
            <w:tcBorders>
              <w:top w:val="single" w:sz="12" w:space="0" w:color="000000"/>
              <w:left w:val="single" w:sz="6" w:space="0" w:color="000000"/>
              <w:bottom w:val="single" w:sz="6" w:space="0" w:color="000000"/>
              <w:right w:val="single" w:sz="6" w:space="0" w:color="000000"/>
            </w:tcBorders>
          </w:tcPr>
          <w:p>
            <w:pPr/>
          </w:p>
        </w:tc>
        <w:tc>
          <w:tcPr>
            <w:tcW w:w="1368" w:type="dxa"/>
            <w:tcBorders>
              <w:top w:val="single" w:sz="12" w:space="0" w:color="000000"/>
              <w:left w:val="single" w:sz="6" w:space="0" w:color="000000"/>
              <w:bottom w:val="single" w:sz="6" w:space="0" w:color="000000"/>
              <w:right w:val="single" w:sz="6" w:space="0" w:color="000000"/>
            </w:tcBorders>
          </w:tcPr>
          <w:p>
            <w:pPr/>
          </w:p>
        </w:tc>
        <w:tc>
          <w:tcPr>
            <w:tcW w:w="1367" w:type="dxa"/>
            <w:tcBorders>
              <w:top w:val="single" w:sz="12" w:space="0" w:color="000000"/>
              <w:left w:val="single" w:sz="6" w:space="0" w:color="000000"/>
              <w:bottom w:val="single" w:sz="6" w:space="0" w:color="000000"/>
              <w:right w:val="single" w:sz="6" w:space="0" w:color="000000"/>
            </w:tcBorders>
          </w:tcPr>
          <w:p>
            <w:pPr/>
          </w:p>
        </w:tc>
        <w:tc>
          <w:tcPr>
            <w:tcW w:w="136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3,828,073.75</w:t>
            </w:r>
          </w:p>
        </w:tc>
      </w:tr>
      <w:tr>
        <w:trPr>
          <w:trHeight w:val="719" w:hRule="exact"/>
        </w:trPr>
        <w:tc>
          <w:tcPr>
            <w:tcW w:w="136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1"/>
              <w:ind w:left="13" w:right="70"/>
              <w:jc w:val="left"/>
              <w:rPr>
                <w:rFonts w:ascii="宋体" w:hAnsi="宋体" w:cs="宋体" w:eastAsia="宋体" w:hint="default"/>
                <w:sz w:val="18"/>
                <w:szCs w:val="18"/>
              </w:rPr>
            </w:pPr>
            <w:r>
              <w:rPr>
                <w:rFonts w:ascii="宋体" w:hAnsi="宋体" w:cs="宋体" w:eastAsia="宋体" w:hint="default"/>
                <w:sz w:val="18"/>
                <w:szCs w:val="18"/>
              </w:rPr>
              <w:t>湖北索瑞电气有 限公司</w:t>
            </w:r>
          </w:p>
        </w:tc>
        <w:tc>
          <w:tcPr>
            <w:tcW w:w="1369"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319,477,893.35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319,477,893.35</w:t>
            </w:r>
          </w:p>
        </w:tc>
      </w:tr>
      <w:tr>
        <w:trPr>
          <w:trHeight w:val="415" w:hRule="exact"/>
        </w:trPr>
        <w:tc>
          <w:tcPr>
            <w:tcW w:w="136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left="154" w:right="0"/>
              <w:jc w:val="left"/>
              <w:rPr>
                <w:rFonts w:ascii="宋体" w:hAnsi="宋体" w:cs="宋体" w:eastAsia="宋体" w:hint="default"/>
                <w:sz w:val="18"/>
                <w:szCs w:val="18"/>
              </w:rPr>
            </w:pPr>
            <w:r>
              <w:rPr>
                <w:rFonts w:ascii="宋体"/>
                <w:sz w:val="18"/>
              </w:rPr>
              <w:t>10,834,230.27</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323,305,967.10</w:t>
            </w:r>
          </w:p>
        </w:tc>
        <w:tc>
          <w:tcPr>
            <w:tcW w:w="1367" w:type="dxa"/>
            <w:tcBorders>
              <w:top w:val="single" w:sz="6" w:space="0" w:color="000000"/>
              <w:left w:val="single" w:sz="6" w:space="0" w:color="000000"/>
              <w:bottom w:val="single" w:sz="12" w:space="0" w:color="000000"/>
              <w:right w:val="single" w:sz="6" w:space="0" w:color="000000"/>
            </w:tcBorders>
          </w:tcPr>
          <w:p>
            <w:pP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宋体"/>
                <w:sz w:val="18"/>
              </w:rPr>
              <w:t>10,834,230.27</w:t>
            </w:r>
          </w:p>
        </w:tc>
        <w:tc>
          <w:tcPr>
            <w:tcW w:w="1367"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323,305,967.10</w:t>
            </w:r>
          </w:p>
        </w:tc>
      </w:tr>
    </w:tbl>
    <w:p>
      <w:pPr>
        <w:pStyle w:val="Heading4"/>
        <w:spacing w:line="240" w:lineRule="auto" w:before="63"/>
        <w:ind w:right="0"/>
        <w:jc w:val="both"/>
        <w:rPr>
          <w:b w:val="0"/>
          <w:bCs w:val="0"/>
        </w:rPr>
      </w:pPr>
      <w:bookmarkStart w:name="（2）商誉减值准备" w:id="262"/>
      <w:bookmarkEnd w:id="262"/>
      <w:r>
        <w:rPr>
          <w:b w:val="0"/>
          <w:bCs w:val="0"/>
        </w:rPr>
      </w:r>
      <w:r>
        <w:rPr/>
        <w:t>（</w:t>
      </w:r>
      <w:r>
        <w:rPr>
          <w:rFonts w:ascii="宋体" w:hAnsi="宋体" w:cs="宋体" w:eastAsia="宋体" w:hint="default"/>
        </w:rPr>
        <w:t>2</w:t>
      </w:r>
      <w:r>
        <w:rPr/>
        <w:t>）商誉减值准备</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4" w:right="4312"/>
        <w:jc w:val="left"/>
      </w:pPr>
      <w:r>
        <w:rPr/>
        <w:t>□ 适用 √</w:t>
      </w:r>
      <w:r>
        <w:rPr>
          <w:spacing w:val="-1"/>
        </w:rPr>
        <w:t> </w:t>
      </w:r>
      <w:r>
        <w:rPr/>
        <w:t>不适用</w:t>
      </w:r>
      <w:r>
        <w:rPr/>
        <w:t> 说明商誉减值测试过程、参数及商誉减值损失的确认方法：</w:t>
      </w:r>
    </w:p>
    <w:p>
      <w:pPr>
        <w:pStyle w:val="BodyText"/>
        <w:spacing w:line="408" w:lineRule="auto"/>
        <w:ind w:right="152"/>
        <w:jc w:val="both"/>
      </w:pPr>
      <w:r>
        <w:rPr/>
        <w:t>商誉年末数比年初数增加</w:t>
      </w:r>
      <w:r>
        <w:rPr>
          <w:spacing w:val="-54"/>
        </w:rPr>
        <w:t> </w:t>
      </w:r>
      <w:r>
        <w:rPr>
          <w:rFonts w:ascii="宋体" w:hAnsi="宋体" w:cs="宋体" w:eastAsia="宋体" w:hint="default"/>
        </w:rPr>
        <w:t>312,471,736.83</w:t>
      </w:r>
      <w:r>
        <w:rPr>
          <w:rFonts w:ascii="宋体" w:hAnsi="宋体" w:cs="宋体" w:eastAsia="宋体" w:hint="default"/>
          <w:spacing w:val="-54"/>
        </w:rPr>
        <w:t> </w:t>
      </w:r>
      <w:r>
        <w:rPr/>
        <w:t>元，增加比例为</w:t>
      </w:r>
      <w:r>
        <w:rPr>
          <w:spacing w:val="-55"/>
        </w:rPr>
        <w:t> </w:t>
      </w:r>
      <w:r>
        <w:rPr>
          <w:rFonts w:ascii="宋体" w:hAnsi="宋体" w:cs="宋体" w:eastAsia="宋体" w:hint="default"/>
        </w:rPr>
        <w:t>2884.12%</w:t>
      </w:r>
      <w:r>
        <w:rPr/>
        <w:t>，增加的主要原因为本公司本年收购 南京云商天下信息技术有限公司</w:t>
      </w:r>
      <w:r>
        <w:rPr>
          <w:spacing w:val="-64"/>
        </w:rPr>
        <w:t> </w:t>
      </w:r>
      <w:r>
        <w:rPr>
          <w:rFonts w:ascii="宋体" w:hAnsi="宋体" w:cs="宋体" w:eastAsia="宋体" w:hint="default"/>
        </w:rPr>
        <w:t>51%</w:t>
      </w:r>
      <w:r>
        <w:rPr/>
        <w:t>的股权、湖北索瑞电气有限公司</w:t>
      </w:r>
      <w:r>
        <w:rPr>
          <w:spacing w:val="-64"/>
        </w:rPr>
        <w:t> </w:t>
      </w:r>
      <w:r>
        <w:rPr>
          <w:rFonts w:ascii="宋体" w:hAnsi="宋体" w:cs="宋体" w:eastAsia="宋体" w:hint="default"/>
        </w:rPr>
        <w:t>84.82%</w:t>
      </w:r>
      <w:r>
        <w:rPr/>
        <w:t>的股权，投资成本超过所占对 方净资产份额的部分形成商誉；减少的部分为处置子公司南京宇能减少的商誉。</w:t>
      </w:r>
    </w:p>
    <w:p>
      <w:pPr>
        <w:pStyle w:val="Heading4"/>
        <w:spacing w:line="240" w:lineRule="auto" w:before="46"/>
        <w:ind w:left="153" w:right="0"/>
        <w:jc w:val="both"/>
        <w:rPr>
          <w:b w:val="0"/>
          <w:bCs w:val="0"/>
        </w:rPr>
      </w:pPr>
      <w:bookmarkStart w:name="28、长期待摊费用" w:id="263"/>
      <w:bookmarkEnd w:id="263"/>
      <w:r>
        <w:rPr>
          <w:b w:val="0"/>
          <w:bCs w:val="0"/>
        </w:rPr>
      </w:r>
      <w:r>
        <w:rPr>
          <w:rFonts w:ascii="宋体" w:hAnsi="宋体" w:cs="宋体" w:eastAsia="宋体" w:hint="default"/>
        </w:rPr>
        <w:t>28</w:t>
      </w:r>
      <w:r>
        <w:rPr/>
        <w:t>、长期待摊费用</w:t>
      </w:r>
      <w:r>
        <w:rPr>
          <w:b w:val="0"/>
          <w:bCs w:val="0"/>
        </w:rPr>
      </w:r>
    </w:p>
    <w:p>
      <w:pPr>
        <w:spacing w:line="240" w:lineRule="auto" w:before="11"/>
        <w:rPr>
          <w:rFonts w:ascii="宋体" w:hAnsi="宋体" w:cs="宋体" w:eastAsia="宋体" w:hint="default"/>
          <w:b/>
          <w:bCs/>
          <w:sz w:val="13"/>
          <w:szCs w:val="13"/>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595"/>
        <w:gridCol w:w="1596"/>
        <w:gridCol w:w="1595"/>
        <w:gridCol w:w="1594"/>
        <w:gridCol w:w="1594"/>
        <w:gridCol w:w="1594"/>
      </w:tblGrid>
      <w:tr>
        <w:trPr>
          <w:trHeight w:val="418" w:hRule="exact"/>
        </w:trPr>
        <w:tc>
          <w:tcPr>
            <w:tcW w:w="15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3" w:hRule="exact"/>
        </w:trPr>
        <w:tc>
          <w:tcPr>
            <w:tcW w:w="1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生产线改造</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149,128.36</w:t>
            </w:r>
          </w:p>
        </w:tc>
        <w:tc>
          <w:tcPr>
            <w:tcW w:w="1595"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111,846.24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37,282.12</w:t>
            </w:r>
          </w:p>
        </w:tc>
        <w:tc>
          <w:tcPr>
            <w:tcW w:w="1594"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15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北京办事处装修</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725,000.00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211,458.33</w:t>
            </w:r>
          </w:p>
        </w:tc>
        <w:tc>
          <w:tcPr>
            <w:tcW w:w="1594"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513,541.67</w:t>
            </w:r>
          </w:p>
        </w:tc>
      </w:tr>
      <w:tr>
        <w:trPr>
          <w:trHeight w:val="420" w:hRule="exact"/>
        </w:trPr>
        <w:tc>
          <w:tcPr>
            <w:tcW w:w="15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149,128.36</w:t>
            </w: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725,000.00</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323,304.57</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37,282.12</w:t>
            </w:r>
          </w:p>
        </w:tc>
        <w:tc>
          <w:tcPr>
            <w:tcW w:w="15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513,541.67</w:t>
            </w:r>
          </w:p>
        </w:tc>
      </w:tr>
    </w:tbl>
    <w:p>
      <w:pPr>
        <w:pStyle w:val="BodyText"/>
        <w:spacing w:line="240" w:lineRule="auto" w:before="63"/>
        <w:ind w:left="154" w:right="0"/>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138"/>
        <w:jc w:val="left"/>
      </w:pPr>
      <w:r>
        <w:rPr/>
        <w:t>长期待摊费用年末数比年初数增加</w:t>
      </w:r>
      <w:r>
        <w:rPr>
          <w:spacing w:val="-64"/>
        </w:rPr>
        <w:t> </w:t>
      </w:r>
      <w:r>
        <w:rPr>
          <w:rFonts w:ascii="宋体" w:hAnsi="宋体" w:cs="宋体" w:eastAsia="宋体" w:hint="default"/>
        </w:rPr>
        <w:t>364,413.31</w:t>
      </w:r>
      <w:r>
        <w:rPr>
          <w:rFonts w:ascii="宋体" w:hAnsi="宋体" w:cs="宋体" w:eastAsia="宋体" w:hint="default"/>
          <w:spacing w:val="-64"/>
        </w:rPr>
        <w:t> </w:t>
      </w:r>
      <w:r>
        <w:rPr>
          <w:spacing w:val="-6"/>
        </w:rPr>
        <w:t>元，增加比例为</w:t>
      </w:r>
      <w:r>
        <w:rPr>
          <w:spacing w:val="-65"/>
        </w:rPr>
        <w:t> </w:t>
      </w:r>
      <w:r>
        <w:rPr>
          <w:rFonts w:ascii="宋体" w:hAnsi="宋体" w:cs="宋体" w:eastAsia="宋体" w:hint="default"/>
        </w:rPr>
        <w:t>244.36%</w:t>
      </w:r>
      <w:r>
        <w:rPr/>
        <w:t>，增加的主要原因为本年新增北京 办事处装修费。</w:t>
      </w:r>
    </w:p>
    <w:p>
      <w:pPr>
        <w:pStyle w:val="Heading4"/>
        <w:spacing w:line="240" w:lineRule="auto" w:before="46"/>
        <w:ind w:right="0"/>
        <w:jc w:val="left"/>
        <w:rPr>
          <w:b w:val="0"/>
          <w:bCs w:val="0"/>
        </w:rPr>
      </w:pPr>
      <w:bookmarkStart w:name="29、递延所得税资产/递延所得税负债" w:id="264"/>
      <w:bookmarkEnd w:id="264"/>
      <w:r>
        <w:rPr>
          <w:b w:val="0"/>
          <w:bCs w:val="0"/>
        </w:rPr>
      </w:r>
      <w:r>
        <w:rPr>
          <w:rFonts w:ascii="宋体" w:hAnsi="宋体" w:cs="宋体" w:eastAsia="宋体" w:hint="default"/>
        </w:rPr>
        <w:t>29</w:t>
      </w:r>
      <w:r>
        <w:rPr/>
        <w:t>、递延所得税资产</w:t>
      </w:r>
      <w:r>
        <w:rPr>
          <w:rFonts w:ascii="宋体" w:hAnsi="宋体" w:cs="宋体" w:eastAsia="宋体" w:hint="default"/>
        </w:rPr>
        <w:t>/</w:t>
      </w:r>
      <w:r>
        <w:rPr/>
        <w:t>递延所得税负债</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53" w:right="0"/>
        <w:jc w:val="left"/>
        <w:rPr>
          <w:b w:val="0"/>
          <w:bCs w:val="0"/>
        </w:rPr>
      </w:pPr>
      <w:bookmarkStart w:name="（1）未经抵销的递延所得税资产" w:id="265"/>
      <w:bookmarkEnd w:id="265"/>
      <w:r>
        <w:rPr>
          <w:b w:val="0"/>
          <w:bCs w:val="0"/>
        </w:rPr>
      </w:r>
      <w:r>
        <w:rPr/>
        <w:t>（</w:t>
      </w:r>
      <w:r>
        <w:rPr>
          <w:rFonts w:ascii="宋体" w:hAnsi="宋体" w:cs="宋体" w:eastAsia="宋体" w:hint="default"/>
        </w:rPr>
        <w:t>1</w:t>
      </w:r>
      <w:r>
        <w:rPr/>
        <w:t>）未经抵销的递延所得税资产</w:t>
      </w:r>
      <w:r>
        <w:rPr>
          <w:b w:val="0"/>
          <w:bCs w:val="0"/>
        </w:rPr>
      </w:r>
    </w:p>
    <w:p>
      <w:pPr>
        <w:spacing w:line="240" w:lineRule="auto" w:before="11"/>
        <w:rPr>
          <w:rFonts w:ascii="宋体" w:hAnsi="宋体" w:cs="宋体" w:eastAsia="宋体" w:hint="default"/>
          <w:b/>
          <w:bCs/>
          <w:sz w:val="13"/>
          <w:szCs w:val="13"/>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913"/>
        <w:gridCol w:w="1917"/>
        <w:gridCol w:w="1914"/>
        <w:gridCol w:w="1914"/>
        <w:gridCol w:w="1913"/>
      </w:tblGrid>
      <w:tr>
        <w:trPr>
          <w:trHeight w:val="242" w:hRule="exact"/>
        </w:trPr>
        <w:tc>
          <w:tcPr>
            <w:tcW w:w="1913"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831"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32"/>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913"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6" w:space="0" w:color="000000"/>
              <w:bottom w:val="single" w:sz="6" w:space="0" w:color="000000"/>
              <w:right w:val="single" w:sz="6" w:space="0" w:color="000000"/>
            </w:tcBorders>
            <w:shd w:val="clear" w:color="auto" w:fill="D2D2D2"/>
          </w:tcPr>
          <w:p>
            <w:pPr/>
          </w:p>
        </w:tc>
        <w:tc>
          <w:tcPr>
            <w:tcW w:w="3828" w:type="dxa"/>
            <w:gridSpan w:val="2"/>
            <w:vMerge/>
            <w:tcBorders>
              <w:left w:val="single" w:sz="6" w:space="0" w:color="000000"/>
              <w:bottom w:val="single" w:sz="6" w:space="0" w:color="000000"/>
              <w:right w:val="single" w:sz="12" w:space="0" w:color="000000"/>
            </w:tcBorders>
            <w:shd w:val="clear" w:color="auto" w:fill="D2D2D2"/>
          </w:tcPr>
          <w:p>
            <w:pPr/>
          </w:p>
        </w:tc>
      </w:tr>
      <w:tr>
        <w:trPr>
          <w:trHeight w:val="155" w:hRule="exact"/>
        </w:trPr>
        <w:tc>
          <w:tcPr>
            <w:tcW w:w="1913" w:type="dxa"/>
            <w:vMerge/>
            <w:tcBorders>
              <w:left w:val="single" w:sz="12" w:space="0" w:color="000000"/>
              <w:bottom w:val="nil" w:sz="6" w:space="0" w:color="auto"/>
              <w:right w:val="single" w:sz="6" w:space="0" w:color="000000"/>
            </w:tcBorders>
            <w:shd w:val="clear" w:color="auto" w:fill="D2D2D2"/>
          </w:tcPr>
          <w:p>
            <w:pPr/>
          </w:p>
        </w:tc>
        <w:tc>
          <w:tcPr>
            <w:tcW w:w="191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left="229"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27" w:hRule="exact"/>
        </w:trPr>
        <w:tc>
          <w:tcPr>
            <w:tcW w:w="1913"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17"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12" w:space="0" w:color="000000"/>
            </w:tcBorders>
            <w:shd w:val="clear" w:color="auto" w:fill="D2D2D2"/>
          </w:tcPr>
          <w:p>
            <w:pPr/>
          </w:p>
        </w:tc>
      </w:tr>
      <w:tr>
        <w:trPr>
          <w:trHeight w:val="441"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33,355,341.67</w:t>
            </w:r>
          </w:p>
        </w:tc>
        <w:tc>
          <w:tcPr>
            <w:tcW w:w="1914" w:type="dxa"/>
            <w:tcBorders>
              <w:top w:val="single" w:sz="23" w:space="0" w:color="D2D2D2"/>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5,579,880.84</w:t>
            </w:r>
          </w:p>
        </w:tc>
        <w:tc>
          <w:tcPr>
            <w:tcW w:w="1914" w:type="dxa"/>
            <w:tcBorders>
              <w:top w:val="single" w:sz="23" w:space="0" w:color="D2D2D2"/>
              <w:left w:val="single" w:sz="6" w:space="0" w:color="000000"/>
              <w:bottom w:val="single" w:sz="6" w:space="0" w:color="000000"/>
              <w:right w:val="single" w:sz="6"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z w:val="18"/>
              </w:rPr>
              <w:t>16,583,680.33</w:t>
            </w:r>
          </w:p>
        </w:tc>
        <w:tc>
          <w:tcPr>
            <w:tcW w:w="1913"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2,576,084.38</w:t>
            </w:r>
          </w:p>
        </w:tc>
      </w:tr>
      <w:tr>
        <w:trPr>
          <w:trHeight w:val="419" w:hRule="exact"/>
        </w:trPr>
        <w:tc>
          <w:tcPr>
            <w:tcW w:w="19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33,355,341.67</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5,579,880.84</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16,583,680.33</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2,576,084.38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66"/>
      <w:bookmarkEnd w:id="266"/>
      <w:r>
        <w:rPr>
          <w:b w:val="0"/>
          <w:bCs w:val="0"/>
        </w:rPr>
      </w:r>
      <w:r>
        <w:rPr/>
        <w:t>（</w:t>
      </w:r>
      <w:r>
        <w:rPr>
          <w:rFonts w:ascii="宋体" w:hAnsi="宋体" w:cs="宋体" w:eastAsia="宋体" w:hint="default"/>
        </w:rPr>
        <w:t>2</w:t>
      </w:r>
      <w:r>
        <w:rPr/>
        <w:t>）未经抵销的递延所得税负债</w:t>
      </w:r>
      <w:r>
        <w:rPr>
          <w:b w:val="0"/>
          <w:bCs w:val="0"/>
        </w:rPr>
      </w:r>
    </w:p>
    <w:p>
      <w:pPr>
        <w:spacing w:line="240" w:lineRule="auto" w:before="6"/>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45" w:type="dxa"/>
        <w:tblLayout w:type="fixed"/>
        <w:tblCellMar>
          <w:top w:w="0" w:type="dxa"/>
          <w:left w:w="0" w:type="dxa"/>
          <w:bottom w:w="0" w:type="dxa"/>
          <w:right w:w="0" w:type="dxa"/>
        </w:tblCellMar>
        <w:tblLook w:val="01E0"/>
      </w:tblPr>
      <w:tblGrid>
        <w:gridCol w:w="1896"/>
        <w:gridCol w:w="1927"/>
        <w:gridCol w:w="1914"/>
        <w:gridCol w:w="1914"/>
        <w:gridCol w:w="1913"/>
      </w:tblGrid>
      <w:tr>
        <w:trPr>
          <w:trHeight w:val="219" w:hRule="exact"/>
        </w:trPr>
        <w:tc>
          <w:tcPr>
            <w:tcW w:w="189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841"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96"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841" w:type="dxa"/>
            <w:gridSpan w:val="2"/>
            <w:vMerge/>
            <w:tcBorders>
              <w:left w:val="single" w:sz="6" w:space="0" w:color="000000"/>
              <w:bottom w:val="single" w:sz="6" w:space="0" w:color="000000"/>
              <w:right w:val="single" w:sz="6" w:space="0" w:color="000000"/>
            </w:tcBorders>
            <w:shd w:val="clear" w:color="auto" w:fill="D2D2D2"/>
          </w:tcPr>
          <w:p>
            <w:pPr/>
          </w:p>
        </w:tc>
        <w:tc>
          <w:tcPr>
            <w:tcW w:w="3828" w:type="dxa"/>
            <w:gridSpan w:val="2"/>
            <w:vMerge/>
            <w:tcBorders>
              <w:left w:val="single" w:sz="6" w:space="0" w:color="000000"/>
              <w:bottom w:val="single" w:sz="6" w:space="0" w:color="000000"/>
              <w:right w:val="single" w:sz="12" w:space="0" w:color="000000"/>
            </w:tcBorders>
            <w:shd w:val="clear" w:color="auto" w:fill="D2D2D2"/>
          </w:tcPr>
          <w:p>
            <w:pPr/>
          </w:p>
        </w:tc>
      </w:tr>
      <w:tr>
        <w:trPr>
          <w:trHeight w:val="195" w:hRule="exact"/>
        </w:trPr>
        <w:tc>
          <w:tcPr>
            <w:tcW w:w="1896" w:type="dxa"/>
            <w:vMerge/>
            <w:tcBorders>
              <w:left w:val="single" w:sz="12" w:space="0" w:color="000000"/>
              <w:bottom w:val="nil" w:sz="6" w:space="0" w:color="auto"/>
              <w:right w:val="single" w:sz="6" w:space="0" w:color="000000"/>
            </w:tcBorders>
            <w:shd w:val="clear" w:color="auto" w:fill="D2D2D2"/>
          </w:tcPr>
          <w:p>
            <w:pPr/>
          </w:p>
        </w:tc>
        <w:tc>
          <w:tcPr>
            <w:tcW w:w="19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24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229"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11" w:hRule="exact"/>
        </w:trPr>
        <w:tc>
          <w:tcPr>
            <w:tcW w:w="1896"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27"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12" w:space="0" w:color="000000"/>
            </w:tcBorders>
            <w:shd w:val="clear" w:color="auto" w:fill="D2D2D2"/>
          </w:tcPr>
          <w:p>
            <w:pPr/>
          </w:p>
        </w:tc>
      </w:tr>
      <w:tr>
        <w:trPr>
          <w:trHeight w:val="719"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51"/>
              <w:ind w:left="6"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40,777,131.28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7,451,945.14</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40,777,131.28</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7,451,945.14</w:t>
            </w:r>
          </w:p>
        </w:tc>
        <w:tc>
          <w:tcPr>
            <w:tcW w:w="1914"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267"/>
      <w:bookmarkEnd w:id="267"/>
      <w:r>
        <w:rPr>
          <w:b w:val="0"/>
          <w:bCs w:val="0"/>
        </w:rPr>
      </w:r>
      <w:r>
        <w:rPr/>
        <w:t>（</w:t>
      </w:r>
      <w:r>
        <w:rPr>
          <w:rFonts w:ascii="宋体" w:hAnsi="宋体" w:cs="宋体" w:eastAsia="宋体" w:hint="default"/>
        </w:rPr>
        <w:t>3</w:t>
      </w:r>
      <w:r>
        <w:rPr/>
        <w:t>）以抵销后净额列示的递延所得税资产或负债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13"/>
        <w:gridCol w:w="1917"/>
        <w:gridCol w:w="1914"/>
        <w:gridCol w:w="1914"/>
        <w:gridCol w:w="1913"/>
      </w:tblGrid>
      <w:tr>
        <w:trPr>
          <w:trHeight w:val="171" w:hRule="exact"/>
        </w:trPr>
        <w:tc>
          <w:tcPr>
            <w:tcW w:w="1913"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917"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319" w:right="48"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12" w:space="0" w:color="000000"/>
              <w:left w:val="single" w:sz="6" w:space="0" w:color="000000"/>
              <w:right w:val="single" w:sz="6" w:space="0" w:color="000000"/>
            </w:tcBorders>
            <w:shd w:val="clear" w:color="auto" w:fill="D2D2D2"/>
          </w:tcPr>
          <w:p>
            <w:pPr>
              <w:pStyle w:val="TableParagraph"/>
              <w:spacing w:line="316" w:lineRule="auto" w:before="51"/>
              <w:ind w:left="409"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3" w:type="dxa"/>
            <w:vMerge w:val="restart"/>
            <w:tcBorders>
              <w:top w:val="single" w:sz="12" w:space="0" w:color="000000"/>
              <w:left w:val="single" w:sz="6" w:space="0" w:color="000000"/>
              <w:right w:val="single" w:sz="12" w:space="0" w:color="000000"/>
            </w:tcBorders>
            <w:shd w:val="clear" w:color="auto" w:fill="D2D2D2"/>
          </w:tcPr>
          <w:p>
            <w:pPr>
              <w:pStyle w:val="TableParagraph"/>
              <w:spacing w:line="316" w:lineRule="auto" w:before="51"/>
              <w:ind w:left="319" w:right="4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6" w:space="0" w:color="000000"/>
              <w:right w:val="single" w:sz="6" w:space="0" w:color="000000"/>
            </w:tcBorders>
            <w:shd w:val="clear" w:color="auto" w:fill="D2D2D2"/>
          </w:tcPr>
          <w:p>
            <w:pPr/>
          </w:p>
        </w:tc>
        <w:tc>
          <w:tcPr>
            <w:tcW w:w="1914" w:type="dxa"/>
            <w:vMerge/>
            <w:tcBorders>
              <w:left w:val="single" w:sz="6" w:space="0" w:color="000000"/>
              <w:right w:val="single" w:sz="6" w:space="0" w:color="000000"/>
            </w:tcBorders>
            <w:shd w:val="clear" w:color="auto" w:fill="D2D2D2"/>
          </w:tcPr>
          <w:p>
            <w:pPr/>
          </w:p>
        </w:tc>
        <w:tc>
          <w:tcPr>
            <w:tcW w:w="1914" w:type="dxa"/>
            <w:vMerge/>
            <w:tcBorders>
              <w:left w:val="single" w:sz="6" w:space="0" w:color="000000"/>
              <w:right w:val="single" w:sz="6" w:space="0" w:color="000000"/>
            </w:tcBorders>
            <w:shd w:val="clear" w:color="auto" w:fill="D2D2D2"/>
          </w:tcPr>
          <w:p>
            <w:pPr/>
          </w:p>
        </w:tc>
        <w:tc>
          <w:tcPr>
            <w:tcW w:w="1913" w:type="dxa"/>
            <w:vMerge/>
            <w:tcBorders>
              <w:left w:val="single" w:sz="6" w:space="0" w:color="000000"/>
              <w:right w:val="single" w:sz="12" w:space="0" w:color="000000"/>
            </w:tcBorders>
            <w:shd w:val="clear" w:color="auto" w:fill="D2D2D2"/>
          </w:tcPr>
          <w:p>
            <w:pPr/>
          </w:p>
        </w:tc>
      </w:tr>
      <w:tr>
        <w:trPr>
          <w:trHeight w:val="163" w:hRule="exact"/>
        </w:trPr>
        <w:tc>
          <w:tcPr>
            <w:tcW w:w="1913"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17"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6" w:space="0" w:color="000000"/>
              <w:left w:val="single" w:sz="14" w:space="0" w:color="D2D2D2"/>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5,579,880.84</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97" w:right="0"/>
              <w:jc w:val="left"/>
              <w:rPr>
                <w:rFonts w:ascii="宋体" w:hAnsi="宋体" w:cs="宋体" w:eastAsia="宋体" w:hint="default"/>
                <w:sz w:val="18"/>
                <w:szCs w:val="18"/>
              </w:rPr>
            </w:pPr>
            <w:r>
              <w:rPr>
                <w:rFonts w:ascii="宋体"/>
                <w:sz w:val="18"/>
              </w:rPr>
              <w:t>2,576,084.38</w:t>
            </w:r>
          </w:p>
        </w:tc>
      </w:tr>
      <w:tr>
        <w:trPr>
          <w:trHeight w:val="416" w:hRule="exact"/>
        </w:trPr>
        <w:tc>
          <w:tcPr>
            <w:tcW w:w="19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6" w:space="0" w:color="000000"/>
              <w:left w:val="single" w:sz="14" w:space="0" w:color="D2D2D2"/>
              <w:bottom w:val="single" w:sz="12" w:space="0" w:color="000000"/>
              <w:right w:val="single" w:sz="6" w:space="0" w:color="000000"/>
            </w:tcBorders>
          </w:tcPr>
          <w:p>
            <w:pP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7,451,945.14</w:t>
            </w:r>
          </w:p>
        </w:tc>
        <w:tc>
          <w:tcPr>
            <w:tcW w:w="1914"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
        <w:rPr>
          <w:rFonts w:ascii="宋体" w:hAnsi="宋体" w:cs="宋体" w:eastAsia="宋体" w:hint="default"/>
          <w:sz w:val="14"/>
          <w:szCs w:val="14"/>
        </w:rPr>
      </w:pPr>
    </w:p>
    <w:p>
      <w:pPr>
        <w:pStyle w:val="Heading4"/>
        <w:spacing w:line="240" w:lineRule="auto" w:before="35"/>
        <w:ind w:right="0"/>
        <w:jc w:val="both"/>
        <w:rPr>
          <w:b w:val="0"/>
          <w:bCs w:val="0"/>
        </w:rPr>
      </w:pPr>
      <w:bookmarkStart w:name="（4）未确认递延所得税资产明细" w:id="268"/>
      <w:bookmarkEnd w:id="268"/>
      <w:r>
        <w:rPr>
          <w:b w:val="0"/>
          <w:bCs w:val="0"/>
        </w:rPr>
      </w:r>
      <w:r>
        <w:rPr/>
        <w:t>（</w:t>
      </w:r>
      <w:r>
        <w:rPr>
          <w:rFonts w:ascii="宋体" w:hAnsi="宋体" w:cs="宋体" w:eastAsia="宋体" w:hint="default"/>
        </w:rPr>
        <w:t>4</w:t>
      </w:r>
      <w:r>
        <w:rPr/>
        <w:t>）未确认递延所得税资产明细</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both"/>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5）未确认递延所得税资产的可抵扣亏损将于以下年度到期" w:id="269"/>
      <w:bookmarkEnd w:id="269"/>
      <w:r>
        <w:rPr>
          <w:b w:val="0"/>
          <w:bCs w:val="0"/>
        </w:rPr>
      </w: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4" w:right="7988"/>
        <w:jc w:val="left"/>
      </w:pPr>
      <w:r>
        <w:rPr/>
        <w:t>□ 适用 √</w:t>
      </w:r>
      <w:r>
        <w:rPr>
          <w:spacing w:val="-1"/>
        </w:rPr>
        <w:t> </w:t>
      </w:r>
      <w:r>
        <w:rPr/>
        <w:t>不适用</w:t>
      </w:r>
      <w:r>
        <w:rPr/>
        <w:t> 其他说明：</w:t>
      </w:r>
    </w:p>
    <w:p>
      <w:pPr>
        <w:pStyle w:val="BodyText"/>
        <w:spacing w:line="408" w:lineRule="auto"/>
        <w:ind w:right="130"/>
        <w:jc w:val="both"/>
        <w:rPr>
          <w:rFonts w:ascii="宋体" w:hAnsi="宋体" w:cs="宋体" w:eastAsia="宋体" w:hint="default"/>
        </w:rPr>
      </w:pPr>
      <w:r>
        <w:rPr/>
        <w:t>递延所得税资产年末数比年初数增加</w:t>
      </w:r>
      <w:r>
        <w:rPr>
          <w:spacing w:val="-63"/>
        </w:rPr>
        <w:t> </w:t>
      </w:r>
      <w:r>
        <w:rPr>
          <w:rFonts w:ascii="宋体" w:hAnsi="宋体" w:cs="宋体" w:eastAsia="宋体" w:hint="default"/>
        </w:rPr>
        <w:t>3,003,796.46</w:t>
      </w:r>
      <w:r>
        <w:rPr>
          <w:rFonts w:ascii="宋体" w:hAnsi="宋体" w:cs="宋体" w:eastAsia="宋体" w:hint="default"/>
          <w:spacing w:val="-63"/>
        </w:rPr>
        <w:t> </w:t>
      </w:r>
      <w:r>
        <w:rPr>
          <w:spacing w:val="-6"/>
        </w:rPr>
        <w:t>元，增加比例为</w:t>
      </w:r>
      <w:r>
        <w:rPr>
          <w:spacing w:val="-64"/>
        </w:rPr>
        <w:t> </w:t>
      </w:r>
      <w:r>
        <w:rPr>
          <w:rFonts w:ascii="宋体" w:hAnsi="宋体" w:cs="宋体" w:eastAsia="宋体" w:hint="default"/>
        </w:rPr>
        <w:t>116.60%</w:t>
      </w:r>
      <w:r>
        <w:rPr/>
        <w:t>，主要原因为本期新增合并单 位索瑞电气所致。递延所得税负债为本年收购索瑞电气而产生的非同一控制企业合并资产评估增值所致。 </w:t>
      </w:r>
      <w:bookmarkStart w:name="30、其他非流动资产" w:id="270"/>
      <w:bookmarkEnd w:id="270"/>
      <w:r>
        <w:rPr/>
      </w:r>
      <w:r>
        <w:rPr>
          <w:rFonts w:ascii="宋体" w:hAnsi="宋体" w:cs="宋体" w:eastAsia="宋体" w:hint="default"/>
          <w:b/>
          <w:bCs/>
        </w:rPr>
        <w:t>30</w:t>
      </w:r>
      <w:r>
        <w:rPr>
          <w:rFonts w:ascii="宋体" w:hAnsi="宋体" w:cs="宋体" w:eastAsia="宋体" w:hint="default"/>
          <w:b/>
          <w:bCs/>
        </w:rPr>
        <w:t>、其他非流动资产</w:t>
      </w:r>
      <w:r>
        <w:rPr>
          <w:rFonts w:ascii="宋体" w:hAnsi="宋体" w:cs="宋体" w:eastAsia="宋体" w:hint="default"/>
        </w:rPr>
      </w:r>
    </w:p>
    <w:p>
      <w:pPr>
        <w:spacing w:before="7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3"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1,383,365.00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8,740,138.45</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10,123,503.45</w:t>
            </w:r>
          </w:p>
        </w:tc>
        <w:tc>
          <w:tcPr>
            <w:tcW w:w="3188"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408" w:lineRule="auto" w:before="63"/>
        <w:ind w:right="4943"/>
        <w:jc w:val="left"/>
        <w:rPr>
          <w:rFonts w:ascii="宋体" w:hAnsi="宋体" w:cs="宋体" w:eastAsia="宋体" w:hint="default"/>
        </w:rPr>
      </w:pPr>
      <w:r>
        <w:rPr/>
        <w:t>其他说明： 其他非流动资产增加原因为本年新增合并范围所致。 </w:t>
      </w:r>
      <w:bookmarkStart w:name="31、短期借款" w:id="271"/>
      <w:bookmarkEnd w:id="271"/>
      <w:r>
        <w:rPr/>
      </w:r>
      <w:r>
        <w:rPr>
          <w:rFonts w:ascii="宋体" w:hAnsi="宋体" w:cs="宋体" w:eastAsia="宋体" w:hint="default"/>
          <w:b/>
          <w:bCs/>
        </w:rPr>
        <w:t>31</w:t>
      </w:r>
      <w:r>
        <w:rPr>
          <w:rFonts w:ascii="宋体" w:hAnsi="宋体" w:cs="宋体" w:eastAsia="宋体" w:hint="default"/>
          <w:b/>
          <w:bCs/>
        </w:rPr>
        <w:t>、短期借款</w:t>
      </w:r>
      <w:r>
        <w:rPr>
          <w:rFonts w:ascii="宋体" w:hAnsi="宋体" w:cs="宋体" w:eastAsia="宋体" w:hint="default"/>
        </w:rPr>
      </w:r>
    </w:p>
    <w:p>
      <w:pPr>
        <w:pStyle w:val="Heading4"/>
        <w:spacing w:line="240" w:lineRule="auto" w:before="46"/>
        <w:ind w:right="0"/>
        <w:jc w:val="left"/>
        <w:rPr>
          <w:b w:val="0"/>
          <w:bCs w:val="0"/>
        </w:rPr>
      </w:pPr>
      <w:bookmarkStart w:name="（1）短期借款分类" w:id="272"/>
      <w:bookmarkEnd w:id="272"/>
      <w:r>
        <w:rPr>
          <w:b w:val="0"/>
          <w:bCs w:val="0"/>
        </w:rPr>
      </w:r>
      <w:r>
        <w:rPr/>
        <w:t>（</w:t>
      </w:r>
      <w:r>
        <w:rPr>
          <w:rFonts w:ascii="宋体" w:hAnsi="宋体" w:cs="宋体" w:eastAsia="宋体" w:hint="default"/>
        </w:rPr>
        <w:t>1</w:t>
      </w:r>
      <w:r>
        <w:rPr/>
        <w:t>）短期借款分类</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45" w:type="dxa"/>
        <w:tblLayout w:type="fixed"/>
        <w:tblCellMar>
          <w:top w:w="0" w:type="dxa"/>
          <w:left w:w="0" w:type="dxa"/>
          <w:bottom w:w="0" w:type="dxa"/>
          <w:right w:w="0" w:type="dxa"/>
        </w:tblCellMar>
        <w:tblLook w:val="01E0"/>
      </w:tblPr>
      <w:tblGrid>
        <w:gridCol w:w="3171"/>
        <w:gridCol w:w="3204"/>
        <w:gridCol w:w="3188"/>
      </w:tblGrid>
      <w:tr>
        <w:trPr>
          <w:trHeight w:val="415"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30,000,000.00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20,500,000.00</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58,000,000.00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13,000,000.00</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20,000,000.00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20,000,000.00</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保理融资</w:t>
            </w:r>
          </w:p>
        </w:tc>
        <w:tc>
          <w:tcPr>
            <w:tcW w:w="320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25,000,000.00</w:t>
            </w: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108,000,000.00</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78,500,000.00</w:t>
            </w:r>
          </w:p>
        </w:tc>
      </w:tr>
    </w:tbl>
    <w:p>
      <w:pPr>
        <w:pStyle w:val="BodyText"/>
        <w:spacing w:line="240" w:lineRule="auto" w:before="63"/>
        <w:ind w:left="154" w:right="102"/>
        <w:jc w:val="left"/>
      </w:pPr>
      <w:r>
        <w:rPr/>
        <w:t>短期借款分类的说明：</w:t>
      </w:r>
    </w:p>
    <w:p>
      <w:pPr>
        <w:spacing w:line="240" w:lineRule="auto" w:before="10"/>
        <w:rPr>
          <w:rFonts w:ascii="宋体" w:hAnsi="宋体" w:cs="宋体" w:eastAsia="宋体" w:hint="default"/>
          <w:sz w:val="14"/>
          <w:szCs w:val="14"/>
        </w:rPr>
      </w:pPr>
    </w:p>
    <w:p>
      <w:pPr>
        <w:pStyle w:val="BodyText"/>
        <w:spacing w:line="240" w:lineRule="auto" w:before="0"/>
        <w:ind w:left="577" w:right="102"/>
        <w:jc w:val="left"/>
      </w:pPr>
      <w:r>
        <w:rPr/>
        <w:t>①本公司与南京银行股份有限公司城南支行签订借款合同，借款人民币</w:t>
      </w:r>
      <w:r>
        <w:rPr>
          <w:spacing w:val="-54"/>
        </w:rPr>
        <w:t> </w:t>
      </w:r>
      <w:r>
        <w:rPr>
          <w:rFonts w:ascii="宋体" w:hAnsi="宋体" w:cs="宋体" w:eastAsia="宋体" w:hint="default"/>
        </w:rPr>
        <w:t>1100</w:t>
      </w:r>
      <w:r>
        <w:rPr>
          <w:rFonts w:ascii="宋体" w:hAnsi="宋体" w:cs="宋体" w:eastAsia="宋体" w:hint="default"/>
          <w:spacing w:val="-54"/>
        </w:rPr>
        <w:t> </w:t>
      </w:r>
      <w:r>
        <w:rPr>
          <w:spacing w:val="-4"/>
        </w:rPr>
        <w:t>万元，期限</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p>
    <w:p>
      <w:pPr>
        <w:spacing w:line="240" w:lineRule="auto" w:before="10"/>
        <w:rPr>
          <w:rFonts w:ascii="宋体" w:hAnsi="宋体" w:cs="宋体" w:eastAsia="宋体" w:hint="default"/>
          <w:sz w:val="14"/>
          <w:szCs w:val="14"/>
        </w:rPr>
      </w:pPr>
    </w:p>
    <w:p>
      <w:pPr>
        <w:pStyle w:val="BodyText"/>
        <w:spacing w:line="240" w:lineRule="auto" w:before="0"/>
        <w:ind w:right="102"/>
        <w:jc w:val="left"/>
      </w:pPr>
      <w:r>
        <w:rPr>
          <w:rFonts w:ascii="宋体" w:hAnsi="宋体" w:cs="宋体" w:eastAsia="宋体" w:hint="default"/>
        </w:rPr>
        <w:t>22</w:t>
      </w:r>
      <w:r>
        <w:rPr>
          <w:rFonts w:ascii="宋体" w:hAnsi="宋体" w:cs="宋体" w:eastAsia="宋体" w:hint="default"/>
          <w:spacing w:val="-53"/>
        </w:rPr>
        <w:t> </w:t>
      </w:r>
      <w:r>
        <w:rPr/>
        <w:t>日至</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日，上述借款由龙昌明提供担保。</w:t>
      </w:r>
    </w:p>
    <w:p>
      <w:pPr>
        <w:spacing w:line="240" w:lineRule="auto" w:before="10"/>
        <w:rPr>
          <w:rFonts w:ascii="宋体" w:hAnsi="宋体" w:cs="宋体" w:eastAsia="宋体" w:hint="default"/>
          <w:sz w:val="14"/>
          <w:szCs w:val="14"/>
        </w:rPr>
      </w:pPr>
    </w:p>
    <w:p>
      <w:pPr>
        <w:pStyle w:val="BodyText"/>
        <w:spacing w:line="240" w:lineRule="auto" w:before="0"/>
        <w:ind w:left="577" w:right="102"/>
        <w:jc w:val="left"/>
      </w:pPr>
      <w:r>
        <w:rPr/>
        <w:t>②本公司与南京银行股份有限公司城南支行签订借款合同，借款人民币</w:t>
      </w:r>
      <w:r>
        <w:rPr>
          <w:spacing w:val="-54"/>
        </w:rPr>
        <w:t> </w:t>
      </w:r>
      <w:r>
        <w:rPr>
          <w:rFonts w:ascii="宋体" w:hAnsi="宋体" w:cs="宋体" w:eastAsia="宋体" w:hint="default"/>
        </w:rPr>
        <w:t>1100</w:t>
      </w:r>
      <w:r>
        <w:rPr>
          <w:rFonts w:ascii="宋体" w:hAnsi="宋体" w:cs="宋体" w:eastAsia="宋体" w:hint="default"/>
          <w:spacing w:val="-54"/>
        </w:rPr>
        <w:t> </w:t>
      </w:r>
      <w:r>
        <w:rPr>
          <w:spacing w:val="-4"/>
        </w:rPr>
        <w:t>万元，期限</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2</w:t>
      </w:r>
      <w:r>
        <w:rPr>
          <w:rFonts w:ascii="宋体" w:hAnsi="宋体" w:cs="宋体" w:eastAsia="宋体" w:hint="default"/>
          <w:spacing w:val="-54"/>
        </w:rPr>
        <w:t> </w:t>
      </w:r>
      <w:r>
        <w:rPr/>
        <w:t>月</w:t>
      </w:r>
    </w:p>
    <w:p>
      <w:pPr>
        <w:spacing w:line="240" w:lineRule="auto" w:before="10"/>
        <w:rPr>
          <w:rFonts w:ascii="宋体" w:hAnsi="宋体" w:cs="宋体" w:eastAsia="宋体" w:hint="default"/>
          <w:sz w:val="14"/>
          <w:szCs w:val="14"/>
        </w:rPr>
      </w:pPr>
    </w:p>
    <w:p>
      <w:pPr>
        <w:pStyle w:val="BodyText"/>
        <w:spacing w:line="240" w:lineRule="auto" w:before="0"/>
        <w:ind w:right="102"/>
        <w:jc w:val="left"/>
      </w:pPr>
      <w:r>
        <w:rPr>
          <w:rFonts w:ascii="宋体" w:hAnsi="宋体" w:cs="宋体" w:eastAsia="宋体" w:hint="default"/>
        </w:rPr>
        <w:t>28</w:t>
      </w:r>
      <w:r>
        <w:rPr>
          <w:rFonts w:ascii="宋体" w:hAnsi="宋体" w:cs="宋体" w:eastAsia="宋体" w:hint="default"/>
          <w:spacing w:val="-53"/>
        </w:rPr>
        <w:t> </w:t>
      </w:r>
      <w:r>
        <w:rPr/>
        <w:t>日至</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日，上述借款由龙昌明提供担保。</w:t>
      </w:r>
    </w:p>
    <w:p>
      <w:pPr>
        <w:spacing w:line="240" w:lineRule="auto" w:before="10"/>
        <w:rPr>
          <w:rFonts w:ascii="宋体" w:hAnsi="宋体" w:cs="宋体" w:eastAsia="宋体" w:hint="default"/>
          <w:sz w:val="14"/>
          <w:szCs w:val="14"/>
        </w:rPr>
      </w:pPr>
    </w:p>
    <w:p>
      <w:pPr>
        <w:pStyle w:val="BodyText"/>
        <w:spacing w:line="240" w:lineRule="auto" w:before="0"/>
        <w:ind w:left="577" w:right="102"/>
        <w:jc w:val="left"/>
        <w:rPr>
          <w:rFonts w:ascii="宋体" w:hAnsi="宋体" w:cs="宋体" w:eastAsia="宋体" w:hint="default"/>
        </w:rPr>
      </w:pPr>
      <w:r>
        <w:rPr/>
        <w:t>③本公司与招商银行月牙湖支行签订借款合同</w:t>
      </w:r>
      <w:r>
        <w:rPr>
          <w:spacing w:val="-92"/>
        </w:rPr>
        <w:t>，</w:t>
      </w:r>
      <w:r>
        <w:rPr/>
        <w:t>借款人民币</w:t>
      </w:r>
      <w:r>
        <w:rPr>
          <w:spacing w:val="-52"/>
        </w:rPr>
        <w:t> </w:t>
      </w:r>
      <w:r>
        <w:rPr>
          <w:rFonts w:ascii="宋体" w:hAnsi="宋体" w:cs="宋体" w:eastAsia="宋体" w:hint="default"/>
        </w:rPr>
        <w:t>1000</w:t>
      </w:r>
      <w:r>
        <w:rPr>
          <w:rFonts w:ascii="宋体" w:hAnsi="宋体" w:cs="宋体" w:eastAsia="宋体" w:hint="default"/>
          <w:spacing w:val="-53"/>
        </w:rPr>
        <w:t> </w:t>
      </w:r>
      <w:r>
        <w:rPr/>
        <w:t>万元</w:t>
      </w:r>
      <w:r>
        <w:rPr>
          <w:spacing w:val="-92"/>
        </w:rPr>
        <w:t>，</w:t>
      </w:r>
      <w:r>
        <w:rPr>
          <w:spacing w:val="-2"/>
        </w:rPr>
        <w:t>期</w:t>
      </w:r>
      <w:r>
        <w:rPr/>
        <w:t>限</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spacing w:val="-1"/>
        </w:rPr>
        <w:t>2</w:t>
      </w:r>
      <w:r>
        <w:rPr>
          <w:rFonts w:ascii="宋体" w:hAnsi="宋体" w:cs="宋体" w:eastAsia="宋体" w:hint="default"/>
        </w:rPr>
        <w:t>3</w:t>
      </w:r>
      <w:r>
        <w:rPr>
          <w:rFonts w:ascii="宋体" w:hAnsi="宋体" w:cs="宋体" w:eastAsia="宋体" w:hint="default"/>
          <w:spacing w:val="-52"/>
        </w:rPr>
        <w:t> </w:t>
      </w:r>
      <w:r>
        <w:rPr/>
        <w:t>日至</w:t>
      </w:r>
      <w:r>
        <w:rPr>
          <w:spacing w:val="-53"/>
        </w:rPr>
        <w:t> </w:t>
      </w:r>
      <w:r>
        <w:rPr>
          <w:rFonts w:ascii="宋体" w:hAnsi="宋体" w:cs="宋体" w:eastAsia="宋体" w:hint="default"/>
        </w:rPr>
        <w:t>2</w:t>
      </w:r>
      <w:r>
        <w:rPr>
          <w:rFonts w:ascii="宋体" w:hAnsi="宋体" w:cs="宋体" w:eastAsia="宋体" w:hint="default"/>
          <w:spacing w:val="-2"/>
        </w:rPr>
        <w:t>0</w:t>
      </w:r>
      <w:r>
        <w:rPr>
          <w:rFonts w:ascii="宋体" w:hAnsi="宋体" w:cs="宋体" w:eastAsia="宋体" w:hint="default"/>
        </w:rPr>
        <w:t>15</w:t>
      </w:r>
    </w:p>
    <w:p>
      <w:pPr>
        <w:spacing w:line="240" w:lineRule="auto" w:before="10"/>
        <w:rPr>
          <w:rFonts w:ascii="宋体" w:hAnsi="宋体" w:cs="宋体" w:eastAsia="宋体" w:hint="default"/>
          <w:sz w:val="14"/>
          <w:szCs w:val="14"/>
        </w:rPr>
      </w:pPr>
    </w:p>
    <w:p>
      <w:pPr>
        <w:pStyle w:val="BodyText"/>
        <w:spacing w:line="240" w:lineRule="auto" w:before="0"/>
        <w:ind w:right="102"/>
        <w:jc w:val="left"/>
      </w:pPr>
      <w:r>
        <w:rPr/>
        <w:t>年</w:t>
      </w:r>
      <w:r>
        <w:rPr>
          <w:spacing w:val="-55"/>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22</w:t>
      </w:r>
      <w:r>
        <w:rPr>
          <w:rFonts w:ascii="宋体" w:hAnsi="宋体" w:cs="宋体" w:eastAsia="宋体" w:hint="default"/>
          <w:spacing w:val="-54"/>
        </w:rPr>
        <w:t> </w:t>
      </w:r>
      <w:r>
        <w:rPr/>
        <w:t>日。</w:t>
      </w:r>
    </w:p>
    <w:p>
      <w:pPr>
        <w:spacing w:line="240" w:lineRule="auto" w:before="10"/>
        <w:rPr>
          <w:rFonts w:ascii="宋体" w:hAnsi="宋体" w:cs="宋体" w:eastAsia="宋体" w:hint="default"/>
          <w:sz w:val="14"/>
          <w:szCs w:val="14"/>
        </w:rPr>
      </w:pPr>
    </w:p>
    <w:p>
      <w:pPr>
        <w:pStyle w:val="BodyText"/>
        <w:spacing w:line="240" w:lineRule="auto" w:before="0"/>
        <w:ind w:left="577" w:right="102"/>
        <w:jc w:val="left"/>
      </w:pPr>
      <w:r>
        <w:rPr/>
        <w:t>④本公司与中国银行梅花山庄支行签订借款合同，借款人民币</w:t>
      </w:r>
      <w:r>
        <w:rPr>
          <w:spacing w:val="-53"/>
        </w:rPr>
        <w:t> </w:t>
      </w:r>
      <w:r>
        <w:rPr>
          <w:rFonts w:ascii="宋体" w:hAnsi="宋体" w:cs="宋体" w:eastAsia="宋体" w:hint="default"/>
        </w:rPr>
        <w:t>1000</w:t>
      </w:r>
      <w:r>
        <w:rPr>
          <w:rFonts w:ascii="宋体" w:hAnsi="宋体" w:cs="宋体" w:eastAsia="宋体" w:hint="default"/>
          <w:spacing w:val="-54"/>
        </w:rPr>
        <w:t> </w:t>
      </w:r>
      <w:r>
        <w:rPr/>
        <w:t>万元，期限</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4"/>
        </w:rPr>
        <w:t> </w:t>
      </w:r>
      <w:r>
        <w:rPr/>
        <w:t>日至</w:t>
      </w:r>
    </w:p>
    <w:p>
      <w:pPr>
        <w:spacing w:line="240" w:lineRule="auto" w:before="10"/>
        <w:rPr>
          <w:rFonts w:ascii="宋体" w:hAnsi="宋体" w:cs="宋体" w:eastAsia="宋体" w:hint="default"/>
          <w:sz w:val="14"/>
          <w:szCs w:val="14"/>
        </w:rPr>
      </w:pPr>
    </w:p>
    <w:p>
      <w:pPr>
        <w:pStyle w:val="BodyText"/>
        <w:spacing w:line="240" w:lineRule="auto" w:before="0"/>
        <w:ind w:right="102"/>
        <w:jc w:val="left"/>
      </w:pPr>
      <w:r>
        <w:rPr>
          <w:rFonts w:ascii="宋体" w:hAnsi="宋体" w:cs="宋体" w:eastAsia="宋体" w:hint="default"/>
        </w:rPr>
        <w:t>2015</w:t>
      </w:r>
      <w:r>
        <w:rPr>
          <w:rFonts w:ascii="宋体" w:hAnsi="宋体" w:cs="宋体" w:eastAsia="宋体" w:hint="default"/>
          <w:spacing w:val="-54"/>
        </w:rPr>
        <w:t> </w:t>
      </w:r>
      <w:r>
        <w:rPr/>
        <w:t>年</w:t>
      </w:r>
      <w:r>
        <w:rPr>
          <w:spacing w:val="-53"/>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日，上述借款由江苏光一投资管理有限责任公司提供担保。</w:t>
      </w:r>
    </w:p>
    <w:p>
      <w:pPr>
        <w:spacing w:line="240" w:lineRule="auto" w:before="10"/>
        <w:rPr>
          <w:rFonts w:ascii="宋体" w:hAnsi="宋体" w:cs="宋体" w:eastAsia="宋体" w:hint="default"/>
          <w:sz w:val="14"/>
          <w:szCs w:val="14"/>
        </w:rPr>
      </w:pPr>
    </w:p>
    <w:p>
      <w:pPr>
        <w:pStyle w:val="BodyText"/>
        <w:spacing w:line="240" w:lineRule="auto" w:before="0"/>
        <w:ind w:left="577" w:right="102"/>
        <w:jc w:val="left"/>
        <w:rPr>
          <w:rFonts w:ascii="宋体" w:hAnsi="宋体" w:cs="宋体" w:eastAsia="宋体" w:hint="default"/>
        </w:rPr>
      </w:pPr>
      <w:r>
        <w:rPr/>
        <w:t>⑤本公司与招商银行月牙湖支行签订借款合同</w:t>
      </w:r>
      <w:r>
        <w:rPr>
          <w:spacing w:val="-106"/>
        </w:rPr>
        <w:t>，</w:t>
      </w:r>
      <w:r>
        <w:rPr/>
        <w:t>借款人民币</w:t>
      </w:r>
      <w:r>
        <w:rPr>
          <w:spacing w:val="-61"/>
        </w:rPr>
        <w:t> </w:t>
      </w:r>
      <w:r>
        <w:rPr>
          <w:rFonts w:ascii="宋体" w:hAnsi="宋体" w:cs="宋体" w:eastAsia="宋体" w:hint="default"/>
        </w:rPr>
        <w:t>1000</w:t>
      </w:r>
      <w:r>
        <w:rPr>
          <w:rFonts w:ascii="宋体" w:hAnsi="宋体" w:cs="宋体" w:eastAsia="宋体" w:hint="default"/>
          <w:spacing w:val="-62"/>
        </w:rPr>
        <w:t> </w:t>
      </w:r>
      <w:r>
        <w:rPr/>
        <w:t>万</w:t>
      </w:r>
      <w:r>
        <w:rPr>
          <w:spacing w:val="-2"/>
        </w:rPr>
        <w:t>元</w:t>
      </w:r>
      <w:r>
        <w:rPr>
          <w:spacing w:val="-105"/>
        </w:rPr>
        <w:t>，</w:t>
      </w:r>
      <w:r>
        <w:rPr>
          <w:spacing w:val="-2"/>
        </w:rPr>
        <w:t>期</w:t>
      </w:r>
      <w:r>
        <w:rPr/>
        <w:t>限</w:t>
      </w:r>
      <w:r>
        <w:rPr>
          <w:spacing w:val="-62"/>
        </w:rPr>
        <w:t> </w:t>
      </w:r>
      <w:r>
        <w:rPr>
          <w:rFonts w:ascii="宋体" w:hAnsi="宋体" w:cs="宋体" w:eastAsia="宋体" w:hint="default"/>
        </w:rPr>
        <w:t>2014</w:t>
      </w:r>
      <w:r>
        <w:rPr>
          <w:rFonts w:ascii="宋体" w:hAnsi="宋体" w:cs="宋体" w:eastAsia="宋体" w:hint="default"/>
          <w:spacing w:val="-62"/>
        </w:rPr>
        <w:t> </w:t>
      </w:r>
      <w:r>
        <w:rPr/>
        <w:t>年</w:t>
      </w:r>
      <w:r>
        <w:rPr>
          <w:spacing w:val="-62"/>
        </w:rPr>
        <w:t> </w:t>
      </w:r>
      <w:r>
        <w:rPr>
          <w:rFonts w:ascii="宋体" w:hAnsi="宋体" w:cs="宋体" w:eastAsia="宋体" w:hint="default"/>
        </w:rPr>
        <w:t>11</w:t>
      </w:r>
      <w:r>
        <w:rPr>
          <w:rFonts w:ascii="宋体" w:hAnsi="宋体" w:cs="宋体" w:eastAsia="宋体" w:hint="default"/>
          <w:spacing w:val="-63"/>
        </w:rPr>
        <w:t> </w:t>
      </w:r>
      <w:r>
        <w:rPr/>
        <w:t>月</w:t>
      </w:r>
      <w:r>
        <w:rPr>
          <w:spacing w:val="-62"/>
        </w:rPr>
        <w:t> </w:t>
      </w:r>
      <w:r>
        <w:rPr>
          <w:rFonts w:ascii="宋体" w:hAnsi="宋体" w:cs="宋体" w:eastAsia="宋体" w:hint="default"/>
        </w:rPr>
        <w:t>25</w:t>
      </w:r>
      <w:r>
        <w:rPr>
          <w:rFonts w:ascii="宋体" w:hAnsi="宋体" w:cs="宋体" w:eastAsia="宋体" w:hint="default"/>
          <w:spacing w:val="-62"/>
        </w:rPr>
        <w:t> </w:t>
      </w:r>
      <w:r>
        <w:rPr/>
        <w:t>日至</w:t>
      </w:r>
      <w:r>
        <w:rPr>
          <w:spacing w:val="-62"/>
        </w:rPr>
        <w:t> </w:t>
      </w:r>
      <w:r>
        <w:rPr>
          <w:rFonts w:ascii="宋体" w:hAnsi="宋体" w:cs="宋体" w:eastAsia="宋体" w:hint="default"/>
        </w:rPr>
        <w:t>20</w:t>
      </w:r>
      <w:r>
        <w:rPr>
          <w:rFonts w:ascii="宋体" w:hAnsi="宋体" w:cs="宋体" w:eastAsia="宋体" w:hint="default"/>
          <w:spacing w:val="1"/>
        </w:rPr>
        <w:t>1</w:t>
      </w:r>
      <w:r>
        <w:rPr>
          <w:rFonts w:ascii="宋体" w:hAnsi="宋体" w:cs="宋体" w:eastAsia="宋体" w:hint="default"/>
        </w:rPr>
        <w:t>5</w:t>
      </w:r>
    </w:p>
    <w:p>
      <w:pPr>
        <w:spacing w:line="240" w:lineRule="auto" w:before="10"/>
        <w:rPr>
          <w:rFonts w:ascii="宋体" w:hAnsi="宋体" w:cs="宋体" w:eastAsia="宋体" w:hint="default"/>
          <w:sz w:val="14"/>
          <w:szCs w:val="14"/>
        </w:rPr>
      </w:pPr>
    </w:p>
    <w:p>
      <w:pPr>
        <w:pStyle w:val="BodyText"/>
        <w:spacing w:line="240" w:lineRule="auto" w:before="0"/>
        <w:ind w:left="154" w:right="102"/>
        <w:jc w:val="left"/>
      </w:pP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w:t>
      </w:r>
    </w:p>
    <w:p>
      <w:pPr>
        <w:spacing w:line="240" w:lineRule="auto" w:before="10"/>
        <w:rPr>
          <w:rFonts w:ascii="宋体" w:hAnsi="宋体" w:cs="宋体" w:eastAsia="宋体" w:hint="default"/>
          <w:sz w:val="14"/>
          <w:szCs w:val="14"/>
        </w:rPr>
      </w:pPr>
    </w:p>
    <w:p>
      <w:pPr>
        <w:pStyle w:val="BodyText"/>
        <w:spacing w:line="240" w:lineRule="auto" w:before="0"/>
        <w:ind w:left="577" w:right="102"/>
        <w:jc w:val="left"/>
      </w:pPr>
      <w:r>
        <w:rPr/>
        <w:t>⑥本公司与中国银行梅花山庄支行签订借款合同，借款人民币</w:t>
      </w:r>
      <w:r>
        <w:rPr>
          <w:spacing w:val="-54"/>
        </w:rPr>
        <w:t> </w:t>
      </w:r>
      <w:r>
        <w:rPr>
          <w:rFonts w:ascii="宋体" w:hAnsi="宋体" w:cs="宋体" w:eastAsia="宋体" w:hint="default"/>
        </w:rPr>
        <w:t>1000</w:t>
      </w:r>
      <w:r>
        <w:rPr>
          <w:rFonts w:ascii="宋体" w:hAnsi="宋体" w:cs="宋体" w:eastAsia="宋体" w:hint="default"/>
          <w:spacing w:val="-55"/>
        </w:rPr>
        <w:t> </w:t>
      </w:r>
      <w:r>
        <w:rPr>
          <w:spacing w:val="-4"/>
        </w:rPr>
        <w:t>万元，期限</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6"/>
        </w:rPr>
        <w:t> </w:t>
      </w:r>
      <w:r>
        <w:rPr>
          <w:rFonts w:ascii="宋体" w:hAnsi="宋体" w:cs="宋体" w:eastAsia="宋体" w:hint="default"/>
        </w:rPr>
        <w:t>11</w:t>
      </w:r>
      <w:r>
        <w:rPr>
          <w:rFonts w:ascii="宋体" w:hAnsi="宋体" w:cs="宋体" w:eastAsia="宋体" w:hint="default"/>
          <w:spacing w:val="-55"/>
        </w:rPr>
        <w:t> </w:t>
      </w:r>
      <w:r>
        <w:rPr/>
        <w:t>月</w:t>
      </w:r>
      <w:r>
        <w:rPr>
          <w:spacing w:val="-55"/>
        </w:rPr>
        <w:t> </w:t>
      </w:r>
      <w:r>
        <w:rPr>
          <w:rFonts w:ascii="宋体" w:hAnsi="宋体" w:cs="宋体" w:eastAsia="宋体" w:hint="default"/>
        </w:rPr>
        <w:t>28</w:t>
      </w:r>
      <w:r>
        <w:rPr>
          <w:rFonts w:ascii="宋体" w:hAnsi="宋体" w:cs="宋体" w:eastAsia="宋体" w:hint="default"/>
          <w:spacing w:val="-55"/>
        </w:rPr>
        <w:t> </w:t>
      </w:r>
      <w:r>
        <w:rPr/>
        <w:t>日至</w:t>
      </w:r>
    </w:p>
    <w:p>
      <w:pPr>
        <w:spacing w:line="240" w:lineRule="auto" w:before="10"/>
        <w:rPr>
          <w:rFonts w:ascii="宋体" w:hAnsi="宋体" w:cs="宋体" w:eastAsia="宋体" w:hint="default"/>
          <w:sz w:val="14"/>
          <w:szCs w:val="14"/>
        </w:rPr>
      </w:pPr>
    </w:p>
    <w:p>
      <w:pPr>
        <w:pStyle w:val="BodyText"/>
        <w:spacing w:line="240" w:lineRule="auto" w:before="0"/>
        <w:ind w:right="102"/>
        <w:jc w:val="left"/>
      </w:pPr>
      <w:r>
        <w:rPr>
          <w:rFonts w:ascii="宋体" w:hAnsi="宋体" w:cs="宋体" w:eastAsia="宋体" w:hint="default"/>
        </w:rPr>
        <w:t>2015</w:t>
      </w:r>
      <w:r>
        <w:rPr>
          <w:rFonts w:ascii="宋体" w:hAnsi="宋体" w:cs="宋体" w:eastAsia="宋体" w:hint="default"/>
          <w:spacing w:val="-54"/>
        </w:rPr>
        <w:t> </w:t>
      </w:r>
      <w:r>
        <w:rPr/>
        <w:t>年</w:t>
      </w:r>
      <w:r>
        <w:rPr>
          <w:spacing w:val="-53"/>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日，上述借款由江苏光一投资管理有限责任公司提供担保。</w:t>
      </w:r>
    </w:p>
    <w:p>
      <w:pPr>
        <w:spacing w:line="240" w:lineRule="auto" w:before="10"/>
        <w:rPr>
          <w:rFonts w:ascii="宋体" w:hAnsi="宋体" w:cs="宋体" w:eastAsia="宋体" w:hint="default"/>
          <w:sz w:val="14"/>
          <w:szCs w:val="14"/>
        </w:rPr>
      </w:pPr>
    </w:p>
    <w:p>
      <w:pPr>
        <w:pStyle w:val="BodyText"/>
        <w:spacing w:line="240" w:lineRule="auto" w:before="0"/>
        <w:ind w:left="577" w:right="102"/>
        <w:jc w:val="left"/>
      </w:pPr>
      <w:r>
        <w:rPr/>
        <w:t>⑦本公司与中国工行银行江宁支行签订借款合同，借款人民币</w:t>
      </w:r>
      <w:r>
        <w:rPr>
          <w:spacing w:val="-53"/>
        </w:rPr>
        <w:t> </w:t>
      </w:r>
      <w:r>
        <w:rPr>
          <w:rFonts w:ascii="宋体" w:hAnsi="宋体" w:cs="宋体" w:eastAsia="宋体" w:hint="default"/>
        </w:rPr>
        <w:t>100</w:t>
      </w:r>
      <w:r>
        <w:rPr>
          <w:rFonts w:ascii="宋体" w:hAnsi="宋体" w:cs="宋体" w:eastAsia="宋体" w:hint="default"/>
          <w:spacing w:val="-53"/>
        </w:rPr>
        <w:t> </w:t>
      </w:r>
      <w:r>
        <w:rPr/>
        <w:t>万元，期限</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4"/>
        </w:rPr>
        <w:t> </w:t>
      </w:r>
      <w:r>
        <w:rPr/>
        <w:t>日至</w:t>
      </w:r>
    </w:p>
    <w:p>
      <w:pPr>
        <w:spacing w:line="240" w:lineRule="auto" w:before="10"/>
        <w:rPr>
          <w:rFonts w:ascii="宋体" w:hAnsi="宋体" w:cs="宋体" w:eastAsia="宋体" w:hint="default"/>
          <w:sz w:val="14"/>
          <w:szCs w:val="14"/>
        </w:rPr>
      </w:pPr>
    </w:p>
    <w:p>
      <w:pPr>
        <w:pStyle w:val="BodyText"/>
        <w:spacing w:line="240" w:lineRule="auto" w:before="0"/>
        <w:ind w:right="102"/>
        <w:jc w:val="left"/>
      </w:pPr>
      <w:r>
        <w:rPr>
          <w:rFonts w:ascii="宋体" w:hAnsi="宋体" w:cs="宋体" w:eastAsia="宋体" w:hint="default"/>
        </w:rPr>
        <w:t>2015</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17</w:t>
      </w:r>
      <w:r>
        <w:rPr>
          <w:rFonts w:ascii="宋体" w:hAnsi="宋体" w:cs="宋体" w:eastAsia="宋体" w:hint="default"/>
          <w:spacing w:val="-53"/>
        </w:rPr>
        <w:t> </w:t>
      </w:r>
      <w:r>
        <w:rPr/>
        <w:t>日，上述借款由江苏光一投资管理有限责任公司提供担保。</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⑧子公司湖北索瑞电气有限公司与招商银行武汉分行雄楚支行签订借款合同，借款人民币</w:t>
      </w:r>
      <w:r>
        <w:rPr>
          <w:spacing w:val="-65"/>
        </w:rPr>
        <w:t> </w:t>
      </w:r>
      <w:r>
        <w:rPr>
          <w:rFonts w:ascii="宋体" w:hAnsi="宋体" w:cs="宋体" w:eastAsia="宋体" w:hint="default"/>
        </w:rPr>
        <w:t>3000</w:t>
      </w:r>
      <w:r>
        <w:rPr>
          <w:rFonts w:ascii="宋体" w:hAnsi="宋体" w:cs="宋体" w:eastAsia="宋体" w:hint="default"/>
          <w:spacing w:val="-67"/>
        </w:rPr>
        <w:t> </w:t>
      </w:r>
      <w:r>
        <w:rPr/>
        <w:t>万元，</w:t>
      </w:r>
    </w:p>
    <w:p>
      <w:pPr>
        <w:spacing w:line="240" w:lineRule="auto" w:before="10"/>
        <w:rPr>
          <w:rFonts w:ascii="宋体" w:hAnsi="宋体" w:cs="宋体" w:eastAsia="宋体" w:hint="default"/>
          <w:sz w:val="14"/>
          <w:szCs w:val="14"/>
        </w:rPr>
      </w:pPr>
    </w:p>
    <w:p>
      <w:pPr>
        <w:pStyle w:val="BodyText"/>
        <w:spacing w:line="408" w:lineRule="auto" w:before="0"/>
        <w:ind w:right="102"/>
        <w:jc w:val="left"/>
      </w:pPr>
      <w:r>
        <w:rPr/>
        <w:t>期限</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4</w:t>
      </w:r>
      <w:r>
        <w:rPr>
          <w:rFonts w:ascii="宋体" w:hAnsi="宋体" w:cs="宋体" w:eastAsia="宋体" w:hint="default"/>
          <w:spacing w:val="-53"/>
        </w:rPr>
        <w:t> </w:t>
      </w:r>
      <w:r>
        <w:rPr/>
        <w:t>日至</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5"/>
        </w:rPr>
        <w:t> </w:t>
      </w:r>
      <w:r>
        <w:rPr>
          <w:rFonts w:ascii="宋体" w:hAnsi="宋体" w:cs="宋体" w:eastAsia="宋体" w:hint="default"/>
        </w:rPr>
        <w:t>2</w:t>
      </w:r>
      <w:r>
        <w:rPr>
          <w:rFonts w:ascii="宋体" w:hAnsi="宋体" w:cs="宋体" w:eastAsia="宋体" w:hint="default"/>
          <w:spacing w:val="-53"/>
        </w:rPr>
        <w:t> </w:t>
      </w:r>
      <w:r>
        <w:rPr/>
        <w:t>日，上述借款由子公司湖北索瑞电气有限公司提供房产和土地使 用权作为抵押。</w:t>
      </w:r>
    </w:p>
    <w:p>
      <w:pPr>
        <w:pStyle w:val="BodyText"/>
        <w:spacing w:line="240" w:lineRule="auto"/>
        <w:ind w:left="577" w:right="102"/>
        <w:jc w:val="left"/>
      </w:pPr>
      <w:r>
        <w:rPr/>
        <w:t>⑨子公司湖北索瑞电气有限公司与公安县财政局签订借款合同，借款人民币</w:t>
      </w:r>
      <w:r>
        <w:rPr>
          <w:spacing w:val="-55"/>
        </w:rPr>
        <w:t> </w:t>
      </w:r>
      <w:r>
        <w:rPr>
          <w:rFonts w:ascii="宋体" w:hAnsi="宋体" w:cs="宋体" w:eastAsia="宋体" w:hint="default"/>
        </w:rPr>
        <w:t>1500</w:t>
      </w:r>
      <w:r>
        <w:rPr>
          <w:rFonts w:ascii="宋体" w:hAnsi="宋体" w:cs="宋体" w:eastAsia="宋体" w:hint="default"/>
          <w:spacing w:val="-58"/>
        </w:rPr>
        <w:t> </w:t>
      </w:r>
      <w:r>
        <w:rPr>
          <w:spacing w:val="-3"/>
        </w:rPr>
        <w:t>万元，期限</w:t>
      </w:r>
      <w:r>
        <w:rPr>
          <w:spacing w:val="-57"/>
        </w:rPr>
        <w:t> </w:t>
      </w:r>
      <w:r>
        <w:rPr>
          <w:rFonts w:ascii="宋体" w:hAnsi="宋体" w:cs="宋体" w:eastAsia="宋体" w:hint="default"/>
        </w:rPr>
        <w:t>2014</w:t>
      </w:r>
      <w:r>
        <w:rPr>
          <w:rFonts w:ascii="宋体" w:hAnsi="宋体" w:cs="宋体" w:eastAsia="宋体" w:hint="default"/>
          <w:spacing w:val="-55"/>
        </w:rPr>
        <w:t> </w:t>
      </w:r>
      <w:r>
        <w:rPr/>
        <w:t>年</w:t>
      </w:r>
    </w:p>
    <w:p>
      <w:pPr>
        <w:spacing w:line="240" w:lineRule="auto" w:before="10"/>
        <w:rPr>
          <w:rFonts w:ascii="宋体" w:hAnsi="宋体" w:cs="宋体" w:eastAsia="宋体" w:hint="default"/>
          <w:sz w:val="14"/>
          <w:szCs w:val="14"/>
        </w:rPr>
      </w:pPr>
    </w:p>
    <w:p>
      <w:pPr>
        <w:pStyle w:val="BodyText"/>
        <w:spacing w:line="240" w:lineRule="auto" w:before="0"/>
        <w:ind w:left="154" w:right="102"/>
        <w:jc w:val="left"/>
      </w:pP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日至</w:t>
      </w:r>
      <w:r>
        <w:rPr>
          <w:spacing w:val="-55"/>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日，上述借款由工商银行公安支行提供担保责任。</w:t>
      </w:r>
    </w:p>
    <w:p>
      <w:pPr>
        <w:spacing w:line="240" w:lineRule="auto" w:before="10"/>
        <w:rPr>
          <w:rFonts w:ascii="宋体" w:hAnsi="宋体" w:cs="宋体" w:eastAsia="宋体" w:hint="default"/>
          <w:sz w:val="14"/>
          <w:szCs w:val="14"/>
        </w:rPr>
      </w:pPr>
    </w:p>
    <w:p>
      <w:pPr>
        <w:pStyle w:val="Heading4"/>
        <w:spacing w:line="240" w:lineRule="auto"/>
        <w:ind w:right="102"/>
        <w:jc w:val="left"/>
        <w:rPr>
          <w:b w:val="0"/>
          <w:bCs w:val="0"/>
        </w:rPr>
      </w:pPr>
      <w:bookmarkStart w:name="（2）已逾期未偿还的短期借款情况" w:id="273"/>
      <w:bookmarkEnd w:id="273"/>
      <w:r>
        <w:rPr>
          <w:b w:val="0"/>
          <w:bCs w:val="0"/>
        </w:rPr>
      </w:r>
      <w:r>
        <w:rPr/>
        <w:t>（</w:t>
      </w:r>
      <w:r>
        <w:rPr>
          <w:rFonts w:ascii="宋体" w:hAnsi="宋体" w:cs="宋体" w:eastAsia="宋体" w:hint="default"/>
        </w:rPr>
        <w:t>2</w:t>
      </w:r>
      <w:r>
        <w:rPr/>
        <w:t>）已逾期未偿还的短期借款情况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4" w:right="8048"/>
        <w:jc w:val="left"/>
      </w:pPr>
      <w:r>
        <w:rPr/>
        <w:t>□ 适用 √</w:t>
      </w:r>
      <w:r>
        <w:rPr>
          <w:spacing w:val="-1"/>
        </w:rPr>
        <w:t> </w:t>
      </w:r>
      <w:r>
        <w:rPr/>
        <w:t>不适用</w:t>
      </w:r>
      <w:r>
        <w:rPr/>
        <w:t> 其他说明：</w:t>
      </w:r>
    </w:p>
    <w:p>
      <w:pPr>
        <w:pStyle w:val="BodyText"/>
        <w:spacing w:line="240" w:lineRule="auto"/>
        <w:ind w:right="102"/>
        <w:jc w:val="left"/>
      </w:pPr>
      <w:r>
        <w:rPr/>
        <w:t>短期借款年末数比年初数增加</w:t>
      </w:r>
      <w:r>
        <w:rPr>
          <w:rFonts w:ascii="宋体" w:hAnsi="宋体" w:cs="宋体" w:eastAsia="宋体" w:hint="default"/>
        </w:rPr>
        <w:t>29,500,000.00</w:t>
      </w:r>
      <w:r>
        <w:rPr/>
        <w:t>元，增加比例为</w:t>
      </w:r>
      <w:r>
        <w:rPr>
          <w:rFonts w:ascii="宋体" w:hAnsi="宋体" w:cs="宋体" w:eastAsia="宋体" w:hint="default"/>
        </w:rPr>
        <w:t>37.58%</w:t>
      </w:r>
      <w:r>
        <w:rPr/>
        <w:t>，增加的主要原因为本年新增合并范</w:t>
      </w:r>
    </w:p>
    <w:p>
      <w:pPr>
        <w:spacing w:after="0" w:line="240" w:lineRule="auto"/>
        <w:jc w:val="left"/>
        <w:sectPr>
          <w:pgSz w:w="11910" w:h="16840"/>
          <w:pgMar w:header="747" w:footer="1000" w:top="1040" w:bottom="118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408" w:lineRule="auto"/>
        <w:ind w:left="153" w:right="4712"/>
        <w:jc w:val="left"/>
        <w:rPr>
          <w:b w:val="0"/>
          <w:bCs w:val="0"/>
        </w:rPr>
      </w:pPr>
      <w:r>
        <w:rPr>
          <w:rFonts w:ascii="宋体" w:hAnsi="宋体" w:cs="宋体" w:eastAsia="宋体" w:hint="default"/>
          <w:b w:val="0"/>
          <w:bCs w:val="0"/>
        </w:rPr>
        <w:t>围所致。 </w:t>
      </w:r>
      <w:bookmarkStart w:name="32、以公允价值计量且其变动计入当期损益的金融负债" w:id="274"/>
      <w:bookmarkEnd w:id="274"/>
      <w:r>
        <w:rPr>
          <w:rFonts w:ascii="宋体" w:hAnsi="宋体" w:cs="宋体" w:eastAsia="宋体" w:hint="default"/>
          <w:b w:val="0"/>
          <w:bCs w:val="0"/>
        </w:rPr>
      </w:r>
      <w:r>
        <w:rPr>
          <w:rFonts w:ascii="宋体" w:hAnsi="宋体" w:cs="宋体" w:eastAsia="宋体" w:hint="default"/>
        </w:rPr>
        <w:t>32</w:t>
      </w:r>
      <w:r>
        <w:rPr/>
        <w:t>、以公允价值计量且其变动计入当期损益的金融负债</w:t>
      </w:r>
      <w:r>
        <w:rPr>
          <w:b w:val="0"/>
          <w:bCs w:val="0"/>
        </w:rPr>
      </w:r>
    </w:p>
    <w:p>
      <w:pPr>
        <w:spacing w:line="408" w:lineRule="auto" w:before="46"/>
        <w:ind w:left="15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3、衍生金融负债" w:id="275"/>
      <w:bookmarkEnd w:id="275"/>
      <w:r>
        <w:rPr>
          <w:rFonts w:ascii="宋体" w:hAnsi="宋体" w:cs="宋体" w:eastAsia="宋体" w:hint="default"/>
          <w:sz w:val="21"/>
          <w:szCs w:val="21"/>
        </w:rPr>
      </w:r>
      <w:r>
        <w:rPr>
          <w:rFonts w:ascii="宋体" w:hAnsi="宋体" w:cs="宋体" w:eastAsia="宋体" w:hint="default"/>
          <w:b/>
          <w:bCs/>
          <w:sz w:val="21"/>
          <w:szCs w:val="21"/>
        </w:rPr>
        <w:t>33</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408" w:lineRule="auto" w:before="46"/>
        <w:ind w:left="15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4、应付票据" w:id="276"/>
      <w:bookmarkEnd w:id="276"/>
      <w:r>
        <w:rPr>
          <w:rFonts w:ascii="宋体" w:hAnsi="宋体" w:cs="宋体" w:eastAsia="宋体" w:hint="default"/>
          <w:sz w:val="21"/>
          <w:szCs w:val="21"/>
        </w:rPr>
      </w:r>
      <w:r>
        <w:rPr>
          <w:rFonts w:ascii="宋体" w:hAnsi="宋体" w:cs="宋体" w:eastAsia="宋体" w:hint="default"/>
          <w:b/>
          <w:bCs/>
          <w:sz w:val="21"/>
          <w:szCs w:val="21"/>
        </w:rPr>
        <w:t>34</w:t>
      </w:r>
      <w:r>
        <w:rPr>
          <w:rFonts w:ascii="宋体" w:hAnsi="宋体" w:cs="宋体" w:eastAsia="宋体" w:hint="default"/>
          <w:b/>
          <w:bCs/>
          <w:sz w:val="21"/>
          <w:szCs w:val="21"/>
        </w:rPr>
        <w:t>、应付票据</w:t>
      </w:r>
      <w:r>
        <w:rPr>
          <w:rFonts w:ascii="宋体" w:hAnsi="宋体" w:cs="宋体" w:eastAsia="宋体" w:hint="default"/>
          <w:sz w:val="21"/>
          <w:szCs w:val="21"/>
        </w:rPr>
      </w:r>
    </w:p>
    <w:p>
      <w:pPr>
        <w:spacing w:before="3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71"/>
        <w:gridCol w:w="3204"/>
        <w:gridCol w:w="3188"/>
      </w:tblGrid>
      <w:tr>
        <w:trPr>
          <w:trHeight w:val="413"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种类</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4" w:type="dxa"/>
            <w:tcBorders>
              <w:top w:val="single" w:sz="6" w:space="0" w:color="000000"/>
              <w:left w:val="single" w:sz="9" w:space="0" w:color="D2D2D2"/>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1,500,000.00</w:t>
            </w:r>
          </w:p>
        </w:tc>
      </w:tr>
      <w:tr>
        <w:trPr>
          <w:trHeight w:val="40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34,749,821.02</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26,113,002.65</w:t>
            </w: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34,749,821.02</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27,613,002.65</w:t>
            </w:r>
          </w:p>
        </w:tc>
      </w:tr>
    </w:tbl>
    <w:p>
      <w:pPr>
        <w:spacing w:line="374" w:lineRule="auto" w:before="26"/>
        <w:ind w:left="154" w:right="5260" w:firstLine="0"/>
        <w:jc w:val="left"/>
        <w:rPr>
          <w:rFonts w:ascii="宋体" w:hAnsi="宋体" w:cs="宋体" w:eastAsia="宋体" w:hint="default"/>
          <w:sz w:val="21"/>
          <w:szCs w:val="21"/>
        </w:rPr>
      </w:pPr>
      <w:r>
        <w:rPr>
          <w:rFonts w:ascii="宋体" w:hAnsi="宋体" w:cs="宋体" w:eastAsia="宋体" w:hint="default"/>
          <w:sz w:val="21"/>
          <w:szCs w:val="21"/>
        </w:rPr>
        <w:t>本期末已到期未支付的应付票据总额为</w:t>
      </w:r>
      <w:r>
        <w:rPr>
          <w:rFonts w:ascii="宋体" w:hAnsi="宋体" w:cs="宋体" w:eastAsia="宋体" w:hint="default"/>
          <w:spacing w:val="-54"/>
          <w:sz w:val="21"/>
          <w:szCs w:val="21"/>
        </w:rPr>
        <w:t> </w:t>
      </w:r>
      <w:r>
        <w:rPr>
          <w:rFonts w:ascii="宋体" w:hAnsi="宋体" w:cs="宋体" w:eastAsia="宋体" w:hint="default"/>
          <w:sz w:val="21"/>
          <w:szCs w:val="21"/>
        </w:rPr>
        <w:t>0.00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pacing w:val="-2"/>
          <w:sz w:val="21"/>
          <w:szCs w:val="21"/>
        </w:rPr>
        <w:t> </w:t>
      </w:r>
      <w:bookmarkStart w:name="35、应付账款" w:id="277"/>
      <w:bookmarkEnd w:id="277"/>
      <w:r>
        <w:rPr>
          <w:rFonts w:ascii="宋体" w:hAnsi="宋体" w:cs="宋体" w:eastAsia="宋体" w:hint="default"/>
          <w:spacing w:val="-2"/>
          <w:sz w:val="21"/>
          <w:szCs w:val="21"/>
        </w:rPr>
      </w:r>
      <w:r>
        <w:rPr>
          <w:rFonts w:ascii="宋体" w:hAnsi="宋体" w:cs="宋体" w:eastAsia="宋体" w:hint="default"/>
          <w:b/>
          <w:bCs/>
          <w:sz w:val="21"/>
          <w:szCs w:val="21"/>
        </w:rPr>
        <w:t>35</w:t>
      </w:r>
      <w:r>
        <w:rPr>
          <w:rFonts w:ascii="宋体" w:hAnsi="宋体" w:cs="宋体" w:eastAsia="宋体" w:hint="default"/>
          <w:b/>
          <w:bCs/>
          <w:sz w:val="21"/>
          <w:szCs w:val="21"/>
        </w:rPr>
        <w:t>、应付账款</w:t>
      </w:r>
      <w:r>
        <w:rPr>
          <w:rFonts w:ascii="宋体" w:hAnsi="宋体" w:cs="宋体" w:eastAsia="宋体" w:hint="default"/>
          <w:sz w:val="21"/>
          <w:szCs w:val="21"/>
        </w:rPr>
      </w:r>
    </w:p>
    <w:p>
      <w:pPr>
        <w:pStyle w:val="Heading4"/>
        <w:spacing w:line="240" w:lineRule="auto" w:before="75"/>
        <w:ind w:right="0"/>
        <w:jc w:val="left"/>
        <w:rPr>
          <w:b w:val="0"/>
          <w:bCs w:val="0"/>
        </w:rPr>
      </w:pPr>
      <w:bookmarkStart w:name="（1）应付账款列示" w:id="278"/>
      <w:bookmarkEnd w:id="278"/>
      <w:r>
        <w:rPr>
          <w:b w:val="0"/>
          <w:bCs w:val="0"/>
        </w:rPr>
      </w:r>
      <w:r>
        <w:rPr/>
        <w:t>（</w:t>
      </w:r>
      <w:r>
        <w:rPr>
          <w:rFonts w:ascii="宋体" w:hAnsi="宋体" w:cs="宋体" w:eastAsia="宋体" w:hint="default"/>
        </w:rPr>
        <w:t>1</w:t>
      </w:r>
      <w:r>
        <w:rPr/>
        <w:t>）应付账款列示</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212,074,119.99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87,329,560.67</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9,671,791.43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17,500,288.16</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909,445.70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1,749,863.95</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1,940,822.11</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2,617,132.36</w:t>
            </w:r>
          </w:p>
        </w:tc>
      </w:tr>
      <w:tr>
        <w:trPr>
          <w:trHeight w:val="416"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224,596,179.23</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109,196,845.14</w:t>
            </w:r>
          </w:p>
        </w:tc>
      </w:tr>
    </w:tbl>
    <w:p>
      <w:pPr>
        <w:pStyle w:val="Heading4"/>
        <w:spacing w:line="240" w:lineRule="auto" w:before="63"/>
        <w:ind w:right="0"/>
        <w:jc w:val="left"/>
        <w:rPr>
          <w:b w:val="0"/>
          <w:bCs w:val="0"/>
        </w:rPr>
      </w:pPr>
      <w:bookmarkStart w:name="（2）账龄超过1年的重要应付账款" w:id="279"/>
      <w:bookmarkEnd w:id="279"/>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年的重要应付账款</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76"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新沂宏发建筑安装工程有限公司</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1,672,300.08</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工程款尚未结算完毕</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1,672,300.08</w:t>
            </w:r>
          </w:p>
        </w:tc>
        <w:tc>
          <w:tcPr>
            <w:tcW w:w="3188"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14"/>
          <w:szCs w:val="14"/>
        </w:rPr>
      </w:pPr>
    </w:p>
    <w:p>
      <w:pPr>
        <w:pStyle w:val="BodyText"/>
        <w:spacing w:line="408" w:lineRule="auto" w:before="35"/>
        <w:ind w:right="218"/>
        <w:jc w:val="left"/>
      </w:pPr>
      <w:r>
        <w:rPr/>
        <w:t>其他说明： 应付账款年末数比年初数增加</w:t>
      </w:r>
      <w:r>
        <w:rPr>
          <w:rFonts w:ascii="宋体" w:hAnsi="宋体" w:cs="宋体" w:eastAsia="宋体" w:hint="default"/>
        </w:rPr>
        <w:t>115,399,334.09</w:t>
      </w:r>
      <w:r>
        <w:rPr/>
        <w:t>元，增加比例为</w:t>
      </w:r>
      <w:r>
        <w:rPr>
          <w:rFonts w:ascii="宋体" w:hAnsi="宋体" w:cs="宋体" w:eastAsia="宋体" w:hint="default"/>
        </w:rPr>
        <w:t>105.68%</w:t>
      </w:r>
      <w:r>
        <w:rPr/>
        <w:t>，增加的主要原因为本年新增合并 范围所致。</w:t>
      </w:r>
    </w:p>
    <w:p>
      <w:pPr>
        <w:spacing w:after="0" w:line="408"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53" w:right="0"/>
        <w:jc w:val="left"/>
        <w:rPr>
          <w:b w:val="0"/>
          <w:bCs w:val="0"/>
        </w:rPr>
      </w:pPr>
      <w:bookmarkStart w:name="36、预收款项" w:id="280"/>
      <w:bookmarkEnd w:id="280"/>
      <w:r>
        <w:rPr>
          <w:b w:val="0"/>
          <w:bCs w:val="0"/>
        </w:rPr>
      </w:r>
      <w:r>
        <w:rPr>
          <w:rFonts w:ascii="宋体" w:hAnsi="宋体" w:cs="宋体" w:eastAsia="宋体" w:hint="default"/>
        </w:rPr>
        <w:t>36</w:t>
      </w:r>
      <w:r>
        <w:rPr/>
        <w:t>、预收款项</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53" w:right="0"/>
        <w:jc w:val="left"/>
        <w:rPr>
          <w:b w:val="0"/>
          <w:bCs w:val="0"/>
        </w:rPr>
      </w:pPr>
      <w:bookmarkStart w:name="（1）预收款项列示" w:id="281"/>
      <w:bookmarkEnd w:id="281"/>
      <w:r>
        <w:rPr>
          <w:b w:val="0"/>
          <w:bCs w:val="0"/>
        </w:rPr>
      </w:r>
      <w:r>
        <w:rPr/>
        <w:t>（</w:t>
      </w:r>
      <w:r>
        <w:rPr>
          <w:rFonts w:ascii="宋体" w:hAnsi="宋体" w:cs="宋体" w:eastAsia="宋体" w:hint="default"/>
        </w:rPr>
        <w:t>1</w:t>
      </w:r>
      <w:r>
        <w:rPr/>
        <w:t>）预收款项列示</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4"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5,728,822.13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3,315,272.38</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29,451.11</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57,750.00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3,571.45</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5,761,844.69</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3,373,022.38</w:t>
            </w:r>
          </w:p>
        </w:tc>
      </w:tr>
    </w:tbl>
    <w:p>
      <w:pPr>
        <w:pStyle w:val="Heading4"/>
        <w:spacing w:line="240" w:lineRule="auto" w:before="63"/>
        <w:ind w:right="0"/>
        <w:jc w:val="left"/>
        <w:rPr>
          <w:b w:val="0"/>
          <w:bCs w:val="0"/>
        </w:rPr>
      </w:pPr>
      <w:bookmarkStart w:name="（2）账龄超过1年的重要预收款项" w:id="282"/>
      <w:bookmarkEnd w:id="282"/>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年的重要预收款项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期末建造合同形成的已结算未完工项目情况" w:id="283"/>
      <w:bookmarkEnd w:id="283"/>
      <w:r>
        <w:rPr>
          <w:b w:val="0"/>
          <w:bCs w:val="0"/>
        </w:rPr>
      </w:r>
      <w:r>
        <w:rPr/>
        <w:t>（</w:t>
      </w:r>
      <w:r>
        <w:rPr>
          <w:rFonts w:ascii="宋体" w:hAnsi="宋体" w:cs="宋体" w:eastAsia="宋体"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4" w:right="7988"/>
        <w:jc w:val="left"/>
      </w:pPr>
      <w:r>
        <w:rPr/>
        <w:t>□ 适用 √</w:t>
      </w:r>
      <w:r>
        <w:rPr>
          <w:spacing w:val="-1"/>
        </w:rPr>
        <w:t> </w:t>
      </w:r>
      <w:r>
        <w:rPr/>
        <w:t>不适用</w:t>
      </w:r>
      <w:r>
        <w:rPr/>
        <w:t> 其他说明：</w:t>
      </w:r>
    </w:p>
    <w:p>
      <w:pPr>
        <w:pStyle w:val="BodyText"/>
        <w:spacing w:line="408" w:lineRule="auto"/>
        <w:ind w:right="0"/>
        <w:jc w:val="left"/>
      </w:pPr>
      <w:r>
        <w:rPr>
          <w:spacing w:val="-1"/>
        </w:rPr>
        <w:t>预收账款年末数比年初数增加</w:t>
      </w:r>
      <w:r>
        <w:rPr>
          <w:rFonts w:ascii="宋体" w:hAnsi="宋体" w:cs="宋体" w:eastAsia="宋体" w:hint="default"/>
          <w:spacing w:val="-1"/>
        </w:rPr>
        <w:t>2,388,822.31</w:t>
      </w:r>
      <w:r>
        <w:rPr>
          <w:spacing w:val="-1"/>
        </w:rPr>
        <w:t>元，增加比例为</w:t>
      </w:r>
      <w:r>
        <w:rPr>
          <w:rFonts w:ascii="宋体" w:hAnsi="宋体" w:cs="宋体" w:eastAsia="宋体" w:hint="default"/>
          <w:spacing w:val="-1"/>
        </w:rPr>
        <w:t>70.82%</w:t>
      </w:r>
      <w:r>
        <w:rPr>
          <w:spacing w:val="-1"/>
        </w:rPr>
        <w:t>，增加的主要原因为本年新增合并范围</w:t>
      </w:r>
      <w:r>
        <w:rPr>
          <w:spacing w:val="-75"/>
        </w:rPr>
        <w:t> </w:t>
      </w:r>
      <w:r>
        <w:rPr>
          <w:spacing w:val="-75"/>
        </w:rPr>
      </w:r>
      <w:r>
        <w:rPr/>
        <w:t>所致。</w:t>
      </w:r>
    </w:p>
    <w:p>
      <w:pPr>
        <w:pStyle w:val="Heading4"/>
        <w:spacing w:line="240" w:lineRule="auto" w:before="46"/>
        <w:ind w:left="153" w:right="0"/>
        <w:jc w:val="left"/>
        <w:rPr>
          <w:b w:val="0"/>
          <w:bCs w:val="0"/>
        </w:rPr>
      </w:pPr>
      <w:bookmarkStart w:name="37、应付职工薪酬" w:id="284"/>
      <w:bookmarkEnd w:id="284"/>
      <w:r>
        <w:rPr>
          <w:b w:val="0"/>
          <w:bCs w:val="0"/>
        </w:rPr>
      </w:r>
      <w:r>
        <w:rPr>
          <w:rFonts w:ascii="宋体" w:hAnsi="宋体" w:cs="宋体" w:eastAsia="宋体" w:hint="default"/>
        </w:rPr>
        <w:t>37</w:t>
      </w:r>
      <w:r>
        <w:rPr/>
        <w:t>、应付职工薪酬</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53" w:right="0"/>
        <w:jc w:val="left"/>
        <w:rPr>
          <w:b w:val="0"/>
          <w:bCs w:val="0"/>
        </w:rPr>
      </w:pPr>
      <w:bookmarkStart w:name="（1）应付职工薪酬列示" w:id="285"/>
      <w:bookmarkEnd w:id="285"/>
      <w:r>
        <w:rPr>
          <w:b w:val="0"/>
          <w:bCs w:val="0"/>
        </w:rPr>
      </w:r>
      <w:r>
        <w:rPr/>
        <w:t>（</w:t>
      </w:r>
      <w:r>
        <w:rPr>
          <w:rFonts w:ascii="宋体" w:hAnsi="宋体" w:cs="宋体" w:eastAsia="宋体" w:hint="default"/>
        </w:rPr>
        <w:t>1</w:t>
      </w:r>
      <w:r>
        <w:rPr/>
        <w:t>）应付职工薪酬列示</w:t>
      </w:r>
      <w:r>
        <w:rPr>
          <w:b w:val="0"/>
          <w:bCs w:val="0"/>
        </w:rPr>
      </w:r>
    </w:p>
    <w:p>
      <w:pPr>
        <w:spacing w:line="240" w:lineRule="auto" w:before="11"/>
        <w:rPr>
          <w:rFonts w:ascii="宋体" w:hAnsi="宋体" w:cs="宋体" w:eastAsia="宋体" w:hint="default"/>
          <w:b/>
          <w:bCs/>
          <w:sz w:val="13"/>
          <w:szCs w:val="13"/>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94"/>
        <w:gridCol w:w="1801"/>
        <w:gridCol w:w="1790"/>
        <w:gridCol w:w="1790"/>
        <w:gridCol w:w="1790"/>
      </w:tblGrid>
      <w:tr>
        <w:trPr>
          <w:trHeight w:val="413" w:hRule="exact"/>
        </w:trPr>
        <w:tc>
          <w:tcPr>
            <w:tcW w:w="239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2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23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0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8,525,275.61</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45,791,785.28</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44,206,909.43</w:t>
            </w:r>
          </w:p>
        </w:tc>
        <w:tc>
          <w:tcPr>
            <w:tcW w:w="1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10,110,151.46</w:t>
            </w:r>
          </w:p>
        </w:tc>
      </w:tr>
      <w:tr>
        <w:trPr>
          <w:trHeight w:val="407" w:hRule="exact"/>
        </w:trPr>
        <w:tc>
          <w:tcPr>
            <w:tcW w:w="23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6"/>
                <w:sz w:val="18"/>
                <w:szCs w:val="18"/>
              </w:rPr>
              <w:t>、</w:t>
            </w:r>
            <w:r>
              <w:rPr>
                <w:rFonts w:ascii="宋体" w:hAnsi="宋体" w:cs="宋体" w:eastAsia="宋体" w:hint="default"/>
                <w:sz w:val="18"/>
                <w:szCs w:val="18"/>
              </w:rPr>
              <w:t>离职后福利</w:t>
            </w:r>
            <w:r>
              <w:rPr>
                <w:rFonts w:ascii="宋体" w:hAnsi="宋体" w:cs="宋体" w:eastAsia="宋体" w:hint="default"/>
                <w:sz w:val="18"/>
                <w:szCs w:val="18"/>
              </w:rPr>
              <w:t>-</w:t>
            </w:r>
            <w:r>
              <w:rPr>
                <w:rFonts w:ascii="宋体" w:hAnsi="宋体" w:cs="宋体" w:eastAsia="宋体" w:hint="default"/>
                <w:sz w:val="18"/>
                <w:szCs w:val="18"/>
              </w:rPr>
              <w:t>设定提存计划</w:t>
            </w:r>
          </w:p>
        </w:tc>
        <w:tc>
          <w:tcPr>
            <w:tcW w:w="1801" w:type="dxa"/>
            <w:tcBorders>
              <w:top w:val="single" w:sz="6" w:space="0" w:color="000000"/>
              <w:left w:val="single" w:sz="14" w:space="0" w:color="D2D2D2"/>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3,725,326.16</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3,570,770.44</w:t>
            </w:r>
          </w:p>
        </w:tc>
        <w:tc>
          <w:tcPr>
            <w:tcW w:w="1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154,555.72</w:t>
            </w:r>
          </w:p>
        </w:tc>
      </w:tr>
      <w:tr>
        <w:trPr>
          <w:trHeight w:val="407" w:hRule="exact"/>
        </w:trPr>
        <w:tc>
          <w:tcPr>
            <w:tcW w:w="23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801" w:type="dxa"/>
            <w:tcBorders>
              <w:top w:val="single" w:sz="6" w:space="0" w:color="000000"/>
              <w:left w:val="single" w:sz="14" w:space="0" w:color="D2D2D2"/>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3,750.00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3,750.00</w:t>
            </w:r>
          </w:p>
        </w:tc>
        <w:tc>
          <w:tcPr>
            <w:tcW w:w="1790"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239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8,525,275.61</w:t>
            </w:r>
          </w:p>
        </w:tc>
        <w:tc>
          <w:tcPr>
            <w:tcW w:w="1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49,520,861.44</w:t>
            </w:r>
          </w:p>
        </w:tc>
        <w:tc>
          <w:tcPr>
            <w:tcW w:w="1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47,781,429.87</w:t>
            </w:r>
          </w:p>
        </w:tc>
        <w:tc>
          <w:tcPr>
            <w:tcW w:w="17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10,264,707.18</w:t>
            </w:r>
          </w:p>
        </w:tc>
      </w:tr>
    </w:tbl>
    <w:p>
      <w:pPr>
        <w:spacing w:line="240" w:lineRule="auto" w:before="1"/>
        <w:rPr>
          <w:rFonts w:ascii="宋体" w:hAnsi="宋体" w:cs="宋体" w:eastAsia="宋体" w:hint="default"/>
          <w:sz w:val="14"/>
          <w:szCs w:val="14"/>
        </w:rPr>
      </w:pPr>
    </w:p>
    <w:p>
      <w:pPr>
        <w:pStyle w:val="Heading4"/>
        <w:spacing w:line="240" w:lineRule="auto" w:before="35"/>
        <w:ind w:right="0"/>
        <w:jc w:val="left"/>
        <w:rPr>
          <w:b w:val="0"/>
          <w:bCs w:val="0"/>
        </w:rPr>
      </w:pPr>
      <w:bookmarkStart w:name="（2）短期薪酬列示" w:id="286"/>
      <w:bookmarkEnd w:id="286"/>
      <w:r>
        <w:rPr>
          <w:b w:val="0"/>
          <w:bCs w:val="0"/>
        </w:rPr>
      </w:r>
      <w:r>
        <w:rPr/>
        <w:t>（</w:t>
      </w:r>
      <w:r>
        <w:rPr>
          <w:rFonts w:ascii="宋体" w:hAnsi="宋体" w:cs="宋体" w:eastAsia="宋体" w:hint="default"/>
        </w:rPr>
        <w:t>2</w:t>
      </w:r>
      <w:r>
        <w:rPr/>
        <w:t>）短期薪酬列示</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94"/>
        <w:gridCol w:w="1801"/>
        <w:gridCol w:w="1790"/>
        <w:gridCol w:w="1790"/>
        <w:gridCol w:w="1790"/>
      </w:tblGrid>
      <w:tr>
        <w:trPr>
          <w:trHeight w:val="413" w:hRule="exact"/>
        </w:trPr>
        <w:tc>
          <w:tcPr>
            <w:tcW w:w="239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2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23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、工资、奖金、津贴和补贴</w:t>
            </w:r>
          </w:p>
        </w:tc>
        <w:tc>
          <w:tcPr>
            <w:tcW w:w="180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left="675" w:right="0"/>
              <w:jc w:val="left"/>
              <w:rPr>
                <w:rFonts w:ascii="宋体" w:hAnsi="宋体" w:cs="宋体" w:eastAsia="宋体" w:hint="default"/>
                <w:sz w:val="18"/>
                <w:szCs w:val="18"/>
              </w:rPr>
            </w:pPr>
            <w:r>
              <w:rPr>
                <w:rFonts w:ascii="宋体"/>
                <w:sz w:val="18"/>
              </w:rPr>
              <w:t>8,213,050.20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40,166,805.85</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38,453,783.13</w:t>
            </w:r>
          </w:p>
        </w:tc>
        <w:tc>
          <w:tcPr>
            <w:tcW w:w="1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9,926,072.92</w:t>
            </w:r>
          </w:p>
        </w:tc>
      </w:tr>
      <w:tr>
        <w:trPr>
          <w:trHeight w:val="407" w:hRule="exact"/>
        </w:trPr>
        <w:tc>
          <w:tcPr>
            <w:tcW w:w="23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801" w:type="dxa"/>
            <w:tcBorders>
              <w:top w:val="single" w:sz="6" w:space="0" w:color="000000"/>
              <w:left w:val="single" w:sz="14" w:space="0" w:color="D2D2D2"/>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2,689,805.88</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2,689,805.88</w:t>
            </w:r>
          </w:p>
        </w:tc>
        <w:tc>
          <w:tcPr>
            <w:tcW w:w="179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801" w:type="dxa"/>
            <w:tcBorders>
              <w:top w:val="single" w:sz="6" w:space="0" w:color="000000"/>
              <w:left w:val="single" w:sz="14" w:space="0" w:color="D2D2D2"/>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1,754,380.77</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1,655,982.23</w:t>
            </w:r>
          </w:p>
        </w:tc>
        <w:tc>
          <w:tcPr>
            <w:tcW w:w="1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98,398.54</w:t>
            </w:r>
          </w:p>
        </w:tc>
      </w:tr>
      <w:tr>
        <w:trPr>
          <w:trHeight w:val="415" w:hRule="exact"/>
        </w:trPr>
        <w:tc>
          <w:tcPr>
            <w:tcW w:w="239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01" w:type="dxa"/>
            <w:tcBorders>
              <w:top w:val="single" w:sz="6" w:space="0" w:color="000000"/>
              <w:left w:val="single" w:sz="14" w:space="0" w:color="D2D2D2"/>
              <w:bottom w:val="single" w:sz="12" w:space="0" w:color="000000"/>
              <w:right w:val="single" w:sz="6" w:space="0" w:color="000000"/>
            </w:tcBorders>
          </w:tcPr>
          <w:p>
            <w:pPr/>
          </w:p>
        </w:tc>
        <w:tc>
          <w:tcPr>
            <w:tcW w:w="1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1,498,483.97</w:t>
            </w:r>
          </w:p>
        </w:tc>
        <w:tc>
          <w:tcPr>
            <w:tcW w:w="1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1,412,028.37</w:t>
            </w:r>
          </w:p>
        </w:tc>
        <w:tc>
          <w:tcPr>
            <w:tcW w:w="17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86,455.60</w:t>
            </w:r>
          </w:p>
        </w:tc>
      </w:tr>
    </w:tbl>
    <w:p>
      <w:pPr>
        <w:spacing w:after="0" w:line="240" w:lineRule="auto"/>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2411"/>
        <w:gridCol w:w="1791"/>
        <w:gridCol w:w="1790"/>
        <w:gridCol w:w="1790"/>
        <w:gridCol w:w="1790"/>
      </w:tblGrid>
      <w:tr>
        <w:trPr>
          <w:trHeight w:val="415" w:hRule="exact"/>
        </w:trPr>
        <w:tc>
          <w:tcPr>
            <w:tcW w:w="241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91" w:type="dxa"/>
            <w:tcBorders>
              <w:top w:val="single" w:sz="12" w:space="0" w:color="000000"/>
              <w:left w:val="single" w:sz="6" w:space="0" w:color="000000"/>
              <w:bottom w:val="single" w:sz="6" w:space="0" w:color="000000"/>
              <w:right w:val="single" w:sz="6" w:space="0" w:color="000000"/>
            </w:tcBorders>
          </w:tcPr>
          <w:p>
            <w:pPr/>
          </w:p>
        </w:tc>
        <w:tc>
          <w:tcPr>
            <w:tcW w:w="17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122,035.71</w:t>
            </w:r>
          </w:p>
        </w:tc>
        <w:tc>
          <w:tcPr>
            <w:tcW w:w="17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113,605.40</w:t>
            </w:r>
          </w:p>
        </w:tc>
        <w:tc>
          <w:tcPr>
            <w:tcW w:w="179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8,430.31</w:t>
            </w:r>
          </w:p>
        </w:tc>
      </w:tr>
      <w:tr>
        <w:trPr>
          <w:trHeight w:val="407" w:hRule="exact"/>
        </w:trPr>
        <w:tc>
          <w:tcPr>
            <w:tcW w:w="24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91"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133,861.09</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130,348.46</w:t>
            </w:r>
          </w:p>
        </w:tc>
        <w:tc>
          <w:tcPr>
            <w:tcW w:w="1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3,512.63</w:t>
            </w:r>
          </w:p>
        </w:tc>
      </w:tr>
      <w:tr>
        <w:trPr>
          <w:trHeight w:val="407" w:hRule="exact"/>
        </w:trPr>
        <w:tc>
          <w:tcPr>
            <w:tcW w:w="24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791"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759,996.00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759,996.00</w:t>
            </w:r>
          </w:p>
        </w:tc>
        <w:tc>
          <w:tcPr>
            <w:tcW w:w="179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4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、工会经费和职工教育经费</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312,225.41</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420,796.78</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647,342.19</w:t>
            </w:r>
          </w:p>
        </w:tc>
        <w:tc>
          <w:tcPr>
            <w:tcW w:w="1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85,680.00</w:t>
            </w:r>
          </w:p>
        </w:tc>
      </w:tr>
      <w:tr>
        <w:trPr>
          <w:trHeight w:val="415" w:hRule="exact"/>
        </w:trPr>
        <w:tc>
          <w:tcPr>
            <w:tcW w:w="241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8,525,275.61</w:t>
            </w:r>
          </w:p>
        </w:tc>
        <w:tc>
          <w:tcPr>
            <w:tcW w:w="1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45,791,785.28</w:t>
            </w:r>
          </w:p>
        </w:tc>
        <w:tc>
          <w:tcPr>
            <w:tcW w:w="1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44,206,909.43</w:t>
            </w:r>
          </w:p>
        </w:tc>
        <w:tc>
          <w:tcPr>
            <w:tcW w:w="17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10,110,151.46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287"/>
      <w:bookmarkEnd w:id="287"/>
      <w:r>
        <w:rPr>
          <w:b w:val="0"/>
          <w:bCs w:val="0"/>
        </w:rPr>
      </w:r>
      <w:r>
        <w:rPr/>
        <w:t>（</w:t>
      </w:r>
      <w:r>
        <w:rPr>
          <w:rFonts w:ascii="宋体" w:hAnsi="宋体" w:cs="宋体" w:eastAsia="宋体" w:hint="default"/>
        </w:rPr>
        <w:t>3</w:t>
      </w:r>
      <w:r>
        <w:rPr/>
        <w:t>）设定提存计划列示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94"/>
        <w:gridCol w:w="1801"/>
        <w:gridCol w:w="1790"/>
        <w:gridCol w:w="1790"/>
        <w:gridCol w:w="1790"/>
      </w:tblGrid>
      <w:tr>
        <w:trPr>
          <w:trHeight w:val="413" w:hRule="exact"/>
        </w:trPr>
        <w:tc>
          <w:tcPr>
            <w:tcW w:w="239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2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23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801" w:type="dxa"/>
            <w:tcBorders>
              <w:top w:val="single" w:sz="6" w:space="0" w:color="000000"/>
              <w:left w:val="single" w:sz="14" w:space="0" w:color="D2D2D2"/>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3,466,934.05</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3,326,428.85</w:t>
            </w:r>
          </w:p>
        </w:tc>
        <w:tc>
          <w:tcPr>
            <w:tcW w:w="1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140,505.20</w:t>
            </w:r>
          </w:p>
        </w:tc>
      </w:tr>
      <w:tr>
        <w:trPr>
          <w:trHeight w:val="407" w:hRule="exact"/>
        </w:trPr>
        <w:tc>
          <w:tcPr>
            <w:tcW w:w="239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801" w:type="dxa"/>
            <w:tcBorders>
              <w:top w:val="single" w:sz="6" w:space="0" w:color="000000"/>
              <w:left w:val="single" w:sz="14" w:space="0" w:color="D2D2D2"/>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258,392.11</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244,341.59</w:t>
            </w:r>
          </w:p>
        </w:tc>
        <w:tc>
          <w:tcPr>
            <w:tcW w:w="17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14,050.52</w:t>
            </w:r>
          </w:p>
        </w:tc>
      </w:tr>
      <w:tr>
        <w:trPr>
          <w:trHeight w:val="415" w:hRule="exact"/>
        </w:trPr>
        <w:tc>
          <w:tcPr>
            <w:tcW w:w="239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1" w:type="dxa"/>
            <w:tcBorders>
              <w:top w:val="single" w:sz="6" w:space="0" w:color="000000"/>
              <w:left w:val="single" w:sz="14" w:space="0" w:color="D2D2D2"/>
              <w:bottom w:val="single" w:sz="12" w:space="0" w:color="000000"/>
              <w:right w:val="single" w:sz="6" w:space="0" w:color="000000"/>
            </w:tcBorders>
          </w:tcPr>
          <w:p>
            <w:pPr/>
          </w:p>
        </w:tc>
        <w:tc>
          <w:tcPr>
            <w:tcW w:w="1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3,725,326.16</w:t>
            </w:r>
          </w:p>
        </w:tc>
        <w:tc>
          <w:tcPr>
            <w:tcW w:w="1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3,570,770.44</w:t>
            </w:r>
          </w:p>
        </w:tc>
        <w:tc>
          <w:tcPr>
            <w:tcW w:w="17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154,555.72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8、应交税费" w:id="288"/>
      <w:bookmarkEnd w:id="288"/>
      <w:r>
        <w:rPr>
          <w:b w:val="0"/>
          <w:bCs w:val="0"/>
        </w:rPr>
      </w:r>
      <w:r>
        <w:rPr>
          <w:rFonts w:ascii="宋体" w:hAnsi="宋体" w:cs="宋体" w:eastAsia="宋体" w:hint="default"/>
        </w:rPr>
        <w:t>38</w:t>
      </w:r>
      <w:r>
        <w:rPr/>
        <w:t>、应交税费</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171"/>
        <w:gridCol w:w="3204"/>
        <w:gridCol w:w="3188"/>
      </w:tblGrid>
      <w:tr>
        <w:trPr>
          <w:trHeight w:val="415"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7,465,766.71</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4,873,779.69</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169,331.23</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5,517,337.26</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1,337,265.27</w:t>
            </w:r>
          </w:p>
        </w:tc>
      </w:tr>
      <w:tr>
        <w:trPr>
          <w:trHeight w:val="40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1,661,707.65</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81,214.84</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775,001.73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578,929.09</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1,143,075.01</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379,489.30</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678,239.19</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17,410,458.78</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7,250,678.19</w:t>
            </w:r>
          </w:p>
        </w:tc>
      </w:tr>
    </w:tbl>
    <w:p>
      <w:pPr>
        <w:pStyle w:val="BodyText"/>
        <w:spacing w:line="408" w:lineRule="auto" w:before="63"/>
        <w:ind w:right="0"/>
        <w:jc w:val="left"/>
      </w:pPr>
      <w:r>
        <w:rPr/>
        <w:t>其他说明： </w:t>
      </w:r>
      <w:r>
        <w:rPr>
          <w:spacing w:val="-1"/>
        </w:rPr>
        <w:t>应交税费年末数比年初数增加</w:t>
      </w:r>
      <w:r>
        <w:rPr>
          <w:rFonts w:ascii="宋体" w:hAnsi="宋体" w:cs="宋体" w:eastAsia="宋体" w:hint="default"/>
          <w:spacing w:val="-1"/>
        </w:rPr>
        <w:t>10,159,780.59</w:t>
      </w:r>
      <w:r>
        <w:rPr>
          <w:spacing w:val="-1"/>
        </w:rPr>
        <w:t>元，增加比例为</w:t>
      </w:r>
      <w:r>
        <w:rPr>
          <w:rFonts w:ascii="宋体" w:hAnsi="宋体" w:cs="宋体" w:eastAsia="宋体" w:hint="default"/>
          <w:spacing w:val="-1"/>
        </w:rPr>
        <w:t>140.12%</w:t>
      </w:r>
      <w:r>
        <w:rPr>
          <w:spacing w:val="-1"/>
        </w:rPr>
        <w:t>，增加的主要原因为本年新增合并范</w:t>
      </w:r>
      <w:r>
        <w:rPr>
          <w:spacing w:val="-73"/>
        </w:rPr>
        <w:t> </w:t>
      </w:r>
      <w:r>
        <w:rPr>
          <w:spacing w:val="-73"/>
        </w:rPr>
      </w:r>
      <w:r>
        <w:rPr/>
        <w:t>围及本期应交所得税、增值税增加所致。</w:t>
      </w:r>
    </w:p>
    <w:p>
      <w:pPr>
        <w:spacing w:line="240" w:lineRule="auto" w:before="8"/>
        <w:rPr>
          <w:rFonts w:ascii="宋体" w:hAnsi="宋体" w:cs="宋体" w:eastAsia="宋体" w:hint="default"/>
          <w:sz w:val="20"/>
          <w:szCs w:val="20"/>
        </w:rPr>
      </w:pPr>
    </w:p>
    <w:p>
      <w:pPr>
        <w:pStyle w:val="Heading4"/>
        <w:spacing w:line="240" w:lineRule="auto"/>
        <w:ind w:left="153" w:right="0"/>
        <w:jc w:val="left"/>
        <w:rPr>
          <w:b w:val="0"/>
          <w:bCs w:val="0"/>
        </w:rPr>
      </w:pPr>
      <w:bookmarkStart w:name="39、应付利息" w:id="289"/>
      <w:bookmarkEnd w:id="289"/>
      <w:r>
        <w:rPr>
          <w:b w:val="0"/>
          <w:bCs w:val="0"/>
        </w:rPr>
      </w:r>
      <w:r>
        <w:rPr>
          <w:rFonts w:ascii="宋体" w:hAnsi="宋体" w:cs="宋体" w:eastAsia="宋体" w:hint="default"/>
        </w:rPr>
        <w:t>39</w:t>
      </w:r>
      <w:r>
        <w:rPr/>
        <w:t>、应付利息</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4"/>
        <w:ind w:right="0"/>
        <w:jc w:val="left"/>
      </w:pPr>
      <w:r>
        <w:rPr/>
        <w:t>□ 适用 √</w:t>
      </w:r>
      <w:r>
        <w:rPr>
          <w:spacing w:val="-1"/>
        </w:rPr>
        <w:t> </w:t>
      </w:r>
      <w:r>
        <w:rPr/>
        <w:t>不适用</w:t>
      </w:r>
    </w:p>
    <w:p>
      <w:pPr>
        <w:spacing w:after="0" w:line="240" w:lineRule="auto"/>
        <w:jc w:val="left"/>
        <w:sectPr>
          <w:pgSz w:w="11910" w:h="16840"/>
          <w:pgMar w:header="747" w:footer="1000" w:top="1040" w:bottom="1180" w:left="980" w:right="980"/>
        </w:sectPr>
      </w:pPr>
    </w:p>
    <w:p>
      <w:pPr>
        <w:spacing w:line="240" w:lineRule="auto" w:before="7"/>
        <w:rPr>
          <w:rFonts w:ascii="宋体" w:hAnsi="宋体" w:cs="宋体" w:eastAsia="宋体" w:hint="default"/>
          <w:sz w:val="25"/>
          <w:szCs w:val="25"/>
        </w:rPr>
      </w:pPr>
    </w:p>
    <w:p>
      <w:pPr>
        <w:pStyle w:val="Heading4"/>
        <w:spacing w:line="240" w:lineRule="auto" w:before="35"/>
        <w:ind w:left="153" w:right="0"/>
        <w:jc w:val="left"/>
        <w:rPr>
          <w:b w:val="0"/>
          <w:bCs w:val="0"/>
        </w:rPr>
      </w:pPr>
      <w:bookmarkStart w:name="40、应付股利" w:id="290"/>
      <w:bookmarkEnd w:id="290"/>
      <w:r>
        <w:rPr>
          <w:b w:val="0"/>
          <w:bCs w:val="0"/>
        </w:rPr>
      </w:r>
      <w:r>
        <w:rPr>
          <w:rFonts w:ascii="宋体" w:hAnsi="宋体" w:cs="宋体" w:eastAsia="宋体" w:hint="default"/>
        </w:rPr>
        <w:t>40</w:t>
      </w:r>
      <w:r>
        <w:rPr/>
        <w:t>、应付股利</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171"/>
        <w:gridCol w:w="3204"/>
        <w:gridCol w:w="3188"/>
      </w:tblGrid>
      <w:tr>
        <w:trPr>
          <w:trHeight w:val="415"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15,525,288.00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15,525,288.00</w:t>
            </w:r>
          </w:p>
        </w:tc>
        <w:tc>
          <w:tcPr>
            <w:tcW w:w="3188"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0" w:lineRule="auto" w:before="63"/>
        <w:ind w:left="154" w:right="0"/>
        <w:jc w:val="left"/>
      </w:pPr>
      <w:r>
        <w:rPr/>
        <w:t>其他说明，包括重要的超过</w:t>
      </w:r>
      <w:r>
        <w:rPr>
          <w:spacing w:val="-53"/>
        </w:rPr>
        <w:t> </w:t>
      </w:r>
      <w:r>
        <w:rPr>
          <w:rFonts w:ascii="宋体" w:hAnsi="宋体" w:cs="宋体" w:eastAsia="宋体" w:hint="default"/>
        </w:rPr>
        <w:t>1</w:t>
      </w:r>
      <w:r>
        <w:rPr>
          <w:rFonts w:ascii="宋体" w:hAnsi="宋体" w:cs="宋体" w:eastAsia="宋体" w:hint="default"/>
          <w:spacing w:val="-53"/>
        </w:rPr>
        <w:t> </w:t>
      </w:r>
      <w:r>
        <w:rPr/>
        <w:t>年未支付的应付股利，应披露未支付原因：</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子公司湖北索瑞电气有限公司股东会审议通过以</w:t>
      </w:r>
      <w:r>
        <w:rPr>
          <w:spacing w:val="-53"/>
        </w:rPr>
        <w:t> </w:t>
      </w:r>
      <w:r>
        <w:rPr>
          <w:rFonts w:ascii="宋体" w:hAnsi="宋体" w:cs="宋体" w:eastAsia="宋体" w:hint="default"/>
        </w:rPr>
        <w:t>2014</w:t>
      </w:r>
      <w:r>
        <w:rPr>
          <w:rFonts w:ascii="宋体" w:hAnsi="宋体" w:cs="宋体" w:eastAsia="宋体" w:hint="default"/>
          <w:spacing w:val="-1"/>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1"/>
        </w:rPr>
        <w:t> </w:t>
      </w:r>
      <w:r>
        <w:rPr/>
        <w:t>日登记在册的股东为基数，向全体股东</w:t>
      </w:r>
    </w:p>
    <w:p>
      <w:pPr>
        <w:spacing w:line="240" w:lineRule="auto" w:before="10"/>
        <w:rPr>
          <w:rFonts w:ascii="宋体" w:hAnsi="宋体" w:cs="宋体" w:eastAsia="宋体" w:hint="default"/>
          <w:sz w:val="14"/>
          <w:szCs w:val="14"/>
        </w:rPr>
      </w:pPr>
    </w:p>
    <w:p>
      <w:pPr>
        <w:spacing w:line="408" w:lineRule="auto" w:before="0"/>
        <w:ind w:left="153" w:right="6626" w:firstLine="0"/>
        <w:jc w:val="left"/>
        <w:rPr>
          <w:rFonts w:ascii="宋体" w:hAnsi="宋体" w:cs="宋体" w:eastAsia="宋体" w:hint="default"/>
          <w:sz w:val="21"/>
          <w:szCs w:val="21"/>
        </w:rPr>
      </w:pPr>
      <w:r>
        <w:rPr>
          <w:rFonts w:ascii="宋体" w:hAnsi="宋体" w:cs="宋体" w:eastAsia="宋体" w:hint="default"/>
          <w:sz w:val="21"/>
          <w:szCs w:val="21"/>
        </w:rPr>
        <w:t>派发</w:t>
      </w:r>
      <w:r>
        <w:rPr>
          <w:rFonts w:ascii="宋体" w:hAnsi="宋体" w:cs="宋体" w:eastAsia="宋体" w:hint="default"/>
          <w:spacing w:val="-55"/>
          <w:sz w:val="21"/>
          <w:szCs w:val="21"/>
        </w:rPr>
        <w:t> </w:t>
      </w:r>
      <w:r>
        <w:rPr>
          <w:rFonts w:ascii="宋体" w:hAnsi="宋体" w:cs="宋体" w:eastAsia="宋体" w:hint="default"/>
          <w:sz w:val="21"/>
          <w:szCs w:val="21"/>
        </w:rPr>
        <w:t>55,000,000.00</w:t>
      </w:r>
      <w:r>
        <w:rPr>
          <w:rFonts w:ascii="宋体" w:hAnsi="宋体" w:cs="宋体" w:eastAsia="宋体" w:hint="default"/>
          <w:spacing w:val="-53"/>
          <w:sz w:val="21"/>
          <w:szCs w:val="21"/>
        </w:rPr>
        <w:t> </w:t>
      </w:r>
      <w:r>
        <w:rPr>
          <w:rFonts w:ascii="宋体" w:hAnsi="宋体" w:cs="宋体" w:eastAsia="宋体" w:hint="default"/>
          <w:sz w:val="21"/>
          <w:szCs w:val="21"/>
        </w:rPr>
        <w:t>元现金股利。 </w:t>
      </w:r>
      <w:bookmarkStart w:name="41、其他应付款" w:id="291"/>
      <w:bookmarkEnd w:id="291"/>
      <w:r>
        <w:rPr>
          <w:rFonts w:ascii="宋体" w:hAnsi="宋体" w:cs="宋体" w:eastAsia="宋体" w:hint="default"/>
          <w:sz w:val="21"/>
          <w:szCs w:val="21"/>
        </w:rPr>
      </w:r>
      <w:r>
        <w:rPr>
          <w:rFonts w:ascii="宋体" w:hAnsi="宋体" w:cs="宋体" w:eastAsia="宋体" w:hint="default"/>
          <w:b/>
          <w:bCs/>
          <w:sz w:val="21"/>
          <w:szCs w:val="21"/>
        </w:rPr>
        <w:t>41</w:t>
      </w:r>
      <w:r>
        <w:rPr>
          <w:rFonts w:ascii="宋体" w:hAnsi="宋体" w:cs="宋体" w:eastAsia="宋体" w:hint="default"/>
          <w:b/>
          <w:bCs/>
          <w:sz w:val="21"/>
          <w:szCs w:val="21"/>
        </w:rPr>
        <w:t>、其他应付款</w:t>
      </w:r>
      <w:r>
        <w:rPr>
          <w:rFonts w:ascii="宋体" w:hAnsi="宋体" w:cs="宋体" w:eastAsia="宋体" w:hint="default"/>
          <w:sz w:val="21"/>
          <w:szCs w:val="21"/>
        </w:rPr>
      </w:r>
    </w:p>
    <w:p>
      <w:pPr>
        <w:pStyle w:val="Heading4"/>
        <w:spacing w:line="240" w:lineRule="auto" w:before="46"/>
        <w:ind w:left="153" w:right="0"/>
        <w:jc w:val="left"/>
        <w:rPr>
          <w:b w:val="0"/>
          <w:bCs w:val="0"/>
        </w:rPr>
      </w:pPr>
      <w:bookmarkStart w:name="（1）按款项性质列示其他应付款" w:id="292"/>
      <w:bookmarkEnd w:id="292"/>
      <w:r>
        <w:rPr>
          <w:b w:val="0"/>
          <w:bCs w:val="0"/>
        </w:rPr>
      </w:r>
      <w:r>
        <w:rPr/>
        <w:t>（</w:t>
      </w:r>
      <w:r>
        <w:rPr>
          <w:rFonts w:ascii="宋体" w:hAnsi="宋体" w:cs="宋体" w:eastAsia="宋体" w:hint="default"/>
        </w:rPr>
        <w:t>1</w:t>
      </w:r>
      <w:r>
        <w:rPr/>
        <w:t>）按款项性质列示其他应付款</w:t>
      </w:r>
      <w:r>
        <w:rPr>
          <w:b w:val="0"/>
          <w:bCs w:val="0"/>
        </w:rPr>
      </w:r>
    </w:p>
    <w:p>
      <w:pPr>
        <w:spacing w:line="240" w:lineRule="auto" w:before="11"/>
        <w:rPr>
          <w:rFonts w:ascii="宋体" w:hAnsi="宋体" w:cs="宋体" w:eastAsia="宋体" w:hint="default"/>
          <w:b/>
          <w:bCs/>
          <w:sz w:val="13"/>
          <w:szCs w:val="13"/>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105,604,800.00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上市及发行费用</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4,460,000.00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240,000.00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272,330.00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172,791.50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费用报销</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1,198,652.73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484,000.27</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南京宇能股东与其往来</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508,737.67</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1,546,504.86</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871,186.87</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113,082,287.59</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2,276,716.31</w:t>
            </w:r>
          </w:p>
        </w:tc>
      </w:tr>
    </w:tbl>
    <w:p>
      <w:pPr>
        <w:pStyle w:val="Heading4"/>
        <w:spacing w:line="240" w:lineRule="auto" w:before="63"/>
        <w:ind w:right="0"/>
        <w:jc w:val="left"/>
        <w:rPr>
          <w:b w:val="0"/>
          <w:bCs w:val="0"/>
        </w:rPr>
      </w:pPr>
      <w:bookmarkStart w:name="（2）账龄超过1年的重要其他应付款" w:id="293"/>
      <w:bookmarkEnd w:id="293"/>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年的重要其他应付款</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154" w:right="7988"/>
        <w:jc w:val="left"/>
      </w:pPr>
      <w:r>
        <w:rPr/>
        <w:t>□ 适用 √</w:t>
      </w:r>
      <w:r>
        <w:rPr>
          <w:spacing w:val="-1"/>
        </w:rPr>
        <w:t> </w:t>
      </w:r>
      <w:r>
        <w:rPr/>
        <w:t>不适用</w:t>
      </w:r>
      <w:r>
        <w:rPr/>
        <w:t> 其他说明</w:t>
      </w:r>
    </w:p>
    <w:p>
      <w:pPr>
        <w:pStyle w:val="BodyText"/>
        <w:spacing w:line="408" w:lineRule="auto"/>
        <w:ind w:right="169"/>
        <w:jc w:val="left"/>
        <w:rPr>
          <w:rFonts w:ascii="宋体" w:hAnsi="宋体" w:cs="宋体" w:eastAsia="宋体" w:hint="default"/>
        </w:rPr>
      </w:pPr>
      <w:r>
        <w:rPr/>
        <w:t>其他说明：其他应付款年末数比年初数增加</w:t>
      </w:r>
      <w:r>
        <w:rPr>
          <w:spacing w:val="-53"/>
        </w:rPr>
        <w:t> </w:t>
      </w:r>
      <w:r>
        <w:rPr>
          <w:rFonts w:ascii="宋体" w:hAnsi="宋体" w:cs="宋体" w:eastAsia="宋体" w:hint="default"/>
        </w:rPr>
        <w:t>110,805,571.28</w:t>
      </w:r>
      <w:r>
        <w:rPr>
          <w:rFonts w:ascii="宋体" w:hAnsi="宋体" w:cs="宋体" w:eastAsia="宋体" w:hint="default"/>
          <w:spacing w:val="-55"/>
        </w:rPr>
        <w:t> </w:t>
      </w:r>
      <w:r>
        <w:rPr/>
        <w:t>元，增加比例为</w:t>
      </w:r>
      <w:r>
        <w:rPr>
          <w:spacing w:val="-53"/>
        </w:rPr>
        <w:t> </w:t>
      </w:r>
      <w:r>
        <w:rPr>
          <w:rFonts w:ascii="宋体" w:hAnsi="宋体" w:cs="宋体" w:eastAsia="宋体" w:hint="default"/>
        </w:rPr>
        <w:t>4866.90%</w:t>
      </w:r>
      <w:r>
        <w:rPr/>
        <w:t>，增加的主要原因 一方面为本年新增合并单位的其他应付款，另一方面为收购索瑞应付的股权款 </w:t>
      </w:r>
      <w:bookmarkStart w:name="42、划分为持有待售的负债" w:id="294"/>
      <w:bookmarkEnd w:id="294"/>
      <w:r>
        <w:rPr/>
      </w:r>
      <w:r>
        <w:rPr>
          <w:rFonts w:ascii="宋体" w:hAnsi="宋体" w:cs="宋体" w:eastAsia="宋体" w:hint="default"/>
          <w:b/>
          <w:bCs/>
        </w:rPr>
        <w:t>42</w:t>
      </w:r>
      <w:r>
        <w:rPr>
          <w:rFonts w:ascii="宋体" w:hAnsi="宋体" w:cs="宋体" w:eastAsia="宋体" w:hint="default"/>
          <w:b/>
          <w:bCs/>
        </w:rPr>
        <w:t>、划分为持有待售的负债</w:t>
      </w:r>
      <w:r>
        <w:rPr>
          <w:rFonts w:ascii="宋体" w:hAnsi="宋体" w:cs="宋体" w:eastAsia="宋体" w:hint="default"/>
        </w:rPr>
      </w:r>
    </w:p>
    <w:p>
      <w:pPr>
        <w:spacing w:line="408" w:lineRule="auto" w:before="46"/>
        <w:ind w:left="154" w:right="703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3、一年内到期的非流动负债" w:id="295"/>
      <w:bookmarkEnd w:id="295"/>
      <w:r>
        <w:rPr>
          <w:rFonts w:ascii="宋体" w:hAnsi="宋体" w:cs="宋体" w:eastAsia="宋体" w:hint="default"/>
          <w:sz w:val="21"/>
          <w:szCs w:val="21"/>
        </w:rPr>
      </w:r>
      <w:r>
        <w:rPr>
          <w:rFonts w:ascii="宋体" w:hAnsi="宋体" w:cs="宋体" w:eastAsia="宋体"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408" w:lineRule="auto" w:before="46"/>
        <w:ind w:left="15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4、其他流动负债" w:id="296"/>
      <w:bookmarkEnd w:id="296"/>
      <w:r>
        <w:rPr>
          <w:rFonts w:ascii="宋体" w:hAnsi="宋体" w:cs="宋体" w:eastAsia="宋体" w:hint="default"/>
          <w:sz w:val="21"/>
          <w:szCs w:val="21"/>
        </w:rPr>
      </w:r>
      <w:r>
        <w:rPr>
          <w:rFonts w:ascii="宋体" w:hAnsi="宋体" w:cs="宋体" w:eastAsia="宋体"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sz w:val="21"/>
          <w:szCs w:val="21"/>
        </w:rPr>
      </w:r>
    </w:p>
    <w:p>
      <w:pPr>
        <w:pStyle w:val="BodyText"/>
        <w:spacing w:line="240" w:lineRule="auto"/>
        <w:ind w:left="154" w:right="0"/>
        <w:jc w:val="left"/>
      </w:pPr>
      <w:r>
        <w:rPr/>
        <w:t>□ 适用 √</w:t>
      </w:r>
      <w:r>
        <w:rPr>
          <w:spacing w:val="-1"/>
        </w:rPr>
        <w:t> </w:t>
      </w:r>
      <w:r>
        <w:rPr/>
        <w:t>不适用</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53" w:right="0"/>
        <w:jc w:val="left"/>
        <w:rPr>
          <w:b w:val="0"/>
          <w:bCs w:val="0"/>
        </w:rPr>
      </w:pPr>
      <w:bookmarkStart w:name="45、长期借款" w:id="297"/>
      <w:bookmarkEnd w:id="297"/>
      <w:r>
        <w:rPr>
          <w:b w:val="0"/>
          <w:bCs w:val="0"/>
        </w:rPr>
      </w:r>
      <w:r>
        <w:rPr>
          <w:rFonts w:ascii="宋体" w:hAnsi="宋体" w:cs="宋体" w:eastAsia="宋体" w:hint="default"/>
        </w:rPr>
        <w:t>45</w:t>
      </w:r>
      <w:r>
        <w:rPr/>
        <w:t>、长期借款</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53" w:right="0"/>
        <w:jc w:val="left"/>
        <w:rPr>
          <w:b w:val="0"/>
          <w:bCs w:val="0"/>
        </w:rPr>
      </w:pPr>
      <w:bookmarkStart w:name="（1）长期借款分类" w:id="298"/>
      <w:bookmarkEnd w:id="298"/>
      <w:r>
        <w:rPr>
          <w:b w:val="0"/>
          <w:bCs w:val="0"/>
        </w:rPr>
      </w:r>
      <w:r>
        <w:rPr/>
        <w:t>（</w:t>
      </w:r>
      <w:r>
        <w:rPr>
          <w:rFonts w:ascii="宋体" w:hAnsi="宋体" w:cs="宋体" w:eastAsia="宋体" w:hint="default"/>
        </w:rPr>
        <w:t>1</w:t>
      </w:r>
      <w:r>
        <w:rPr/>
        <w:t>）长期借款分类</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71"/>
        <w:gridCol w:w="3204"/>
        <w:gridCol w:w="3188"/>
      </w:tblGrid>
      <w:tr>
        <w:trPr>
          <w:trHeight w:val="414"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30,515,796.00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30,515,796.00</w:t>
            </w:r>
          </w:p>
        </w:tc>
        <w:tc>
          <w:tcPr>
            <w:tcW w:w="318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154" w:right="0"/>
        <w:jc w:val="left"/>
      </w:pPr>
      <w:r>
        <w:rPr/>
        <w:t>长期借款分类的说明：</w:t>
      </w:r>
    </w:p>
    <w:p>
      <w:pPr>
        <w:spacing w:line="240" w:lineRule="auto" w:before="9"/>
        <w:rPr>
          <w:rFonts w:ascii="宋体" w:hAnsi="宋体" w:cs="宋体" w:eastAsia="宋体" w:hint="default"/>
          <w:sz w:val="17"/>
          <w:szCs w:val="17"/>
        </w:rPr>
      </w:pPr>
    </w:p>
    <w:p>
      <w:pPr>
        <w:pStyle w:val="BodyText"/>
        <w:spacing w:line="240" w:lineRule="auto" w:before="0"/>
        <w:ind w:left="154" w:right="0"/>
        <w:jc w:val="left"/>
        <w:rPr>
          <w:rFonts w:ascii="宋体" w:hAnsi="宋体" w:cs="宋体" w:eastAsia="宋体" w:hint="default"/>
        </w:rPr>
      </w:pPr>
      <w:r>
        <w:rPr/>
        <w:t>①公司与招商银行月牙湖支行签订借款合同，借款人民币</w:t>
      </w:r>
      <w:r>
        <w:rPr>
          <w:spacing w:val="-57"/>
        </w:rPr>
        <w:t> </w:t>
      </w:r>
      <w:r>
        <w:rPr>
          <w:rFonts w:ascii="宋体" w:hAnsi="宋体" w:cs="宋体" w:eastAsia="宋体" w:hint="default"/>
        </w:rPr>
        <w:t>22,100,200.00</w:t>
      </w:r>
      <w:r>
        <w:rPr>
          <w:rFonts w:ascii="宋体" w:hAnsi="宋体" w:cs="宋体" w:eastAsia="宋体" w:hint="default"/>
          <w:spacing w:val="-57"/>
        </w:rPr>
        <w:t> </w:t>
      </w:r>
      <w:r>
        <w:rPr/>
        <w:t>元，利率</w:t>
      </w:r>
      <w:r>
        <w:rPr>
          <w:spacing w:val="-59"/>
        </w:rPr>
        <w:t> </w:t>
      </w:r>
      <w:r>
        <w:rPr>
          <w:rFonts w:ascii="宋体" w:hAnsi="宋体" w:cs="宋体" w:eastAsia="宋体" w:hint="default"/>
        </w:rPr>
        <w:t>6.80%</w:t>
      </w:r>
      <w:r>
        <w:rPr/>
        <w:t>，期限</w:t>
      </w:r>
      <w:r>
        <w:rPr>
          <w:spacing w:val="-59"/>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7</w:t>
      </w:r>
    </w:p>
    <w:p>
      <w:pPr>
        <w:spacing w:line="240" w:lineRule="auto" w:before="11"/>
        <w:rPr>
          <w:rFonts w:ascii="宋体" w:hAnsi="宋体" w:cs="宋体" w:eastAsia="宋体" w:hint="default"/>
          <w:sz w:val="14"/>
          <w:szCs w:val="14"/>
        </w:rPr>
      </w:pPr>
    </w:p>
    <w:p>
      <w:pPr>
        <w:pStyle w:val="BodyText"/>
        <w:spacing w:line="240" w:lineRule="auto" w:before="0"/>
        <w:ind w:right="0"/>
        <w:jc w:val="left"/>
      </w:pPr>
      <w:r>
        <w:rPr/>
        <w:t>月</w:t>
      </w:r>
      <w:r>
        <w:rPr>
          <w:spacing w:val="-54"/>
        </w:rPr>
        <w:t> </w:t>
      </w:r>
      <w:r>
        <w:rPr>
          <w:rFonts w:ascii="宋体" w:hAnsi="宋体" w:cs="宋体" w:eastAsia="宋体" w:hint="default"/>
        </w:rPr>
        <w:t>24</w:t>
      </w:r>
      <w:r>
        <w:rPr>
          <w:rFonts w:ascii="宋体" w:hAnsi="宋体" w:cs="宋体" w:eastAsia="宋体" w:hint="default"/>
          <w:spacing w:val="-53"/>
        </w:rPr>
        <w:t> </w:t>
      </w:r>
      <w:r>
        <w:rPr/>
        <w:t>日至</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22</w:t>
      </w:r>
      <w:r>
        <w:rPr>
          <w:rFonts w:ascii="宋体" w:hAnsi="宋体" w:cs="宋体" w:eastAsia="宋体" w:hint="default"/>
          <w:spacing w:val="-54"/>
        </w:rPr>
        <w:t> </w:t>
      </w:r>
      <w:r>
        <w:rPr/>
        <w:t>日，由江苏光一投资管理有限责任公司提供担保。</w:t>
      </w:r>
    </w:p>
    <w:p>
      <w:pPr>
        <w:spacing w:line="240" w:lineRule="auto" w:before="10"/>
        <w:rPr>
          <w:rFonts w:ascii="宋体" w:hAnsi="宋体" w:cs="宋体" w:eastAsia="宋体" w:hint="default"/>
          <w:sz w:val="17"/>
          <w:szCs w:val="17"/>
        </w:rPr>
      </w:pPr>
    </w:p>
    <w:p>
      <w:pPr>
        <w:pStyle w:val="BodyText"/>
        <w:spacing w:line="240" w:lineRule="auto" w:before="0"/>
        <w:ind w:right="0"/>
        <w:jc w:val="left"/>
        <w:rPr>
          <w:rFonts w:ascii="宋体" w:hAnsi="宋体" w:cs="宋体" w:eastAsia="宋体" w:hint="default"/>
        </w:rPr>
      </w:pPr>
      <w:r>
        <w:rPr/>
        <w:t>②公司与招商银行月牙湖支行签订借款合同，借款人民币</w:t>
      </w:r>
      <w:r>
        <w:rPr>
          <w:spacing w:val="-57"/>
        </w:rPr>
        <w:t> </w:t>
      </w:r>
      <w:r>
        <w:rPr>
          <w:rFonts w:ascii="宋体" w:hAnsi="宋体" w:cs="宋体" w:eastAsia="宋体" w:hint="default"/>
        </w:rPr>
        <w:t>8,415,596.00</w:t>
      </w:r>
      <w:r>
        <w:rPr>
          <w:rFonts w:ascii="宋体" w:hAnsi="宋体" w:cs="宋体" w:eastAsia="宋体" w:hint="default"/>
          <w:spacing w:val="-58"/>
        </w:rPr>
        <w:t> </w:t>
      </w:r>
      <w:r>
        <w:rPr/>
        <w:t>元，利率</w:t>
      </w:r>
      <w:r>
        <w:rPr>
          <w:spacing w:val="-57"/>
        </w:rPr>
        <w:t> </w:t>
      </w:r>
      <w:r>
        <w:rPr>
          <w:rFonts w:ascii="宋体" w:hAnsi="宋体" w:cs="宋体" w:eastAsia="宋体" w:hint="default"/>
        </w:rPr>
        <w:t>6.72%</w:t>
      </w:r>
      <w:r>
        <w:rPr/>
        <w:t>，期限</w:t>
      </w:r>
      <w:r>
        <w:rPr>
          <w:spacing w:val="-58"/>
        </w:rPr>
        <w:t> </w:t>
      </w:r>
      <w:r>
        <w:rPr>
          <w:rFonts w:ascii="宋体" w:hAnsi="宋体" w:cs="宋体" w:eastAsia="宋体" w:hint="default"/>
        </w:rPr>
        <w:t>2014</w:t>
      </w:r>
      <w:r>
        <w:rPr>
          <w:rFonts w:ascii="宋体" w:hAnsi="宋体" w:cs="宋体" w:eastAsia="宋体" w:hint="default"/>
          <w:spacing w:val="-57"/>
        </w:rPr>
        <w:t> </w:t>
      </w:r>
      <w:r>
        <w:rPr/>
        <w:t>年</w:t>
      </w:r>
      <w:r>
        <w:rPr>
          <w:spacing w:val="-58"/>
        </w:rPr>
        <w:t> </w:t>
      </w:r>
      <w:r>
        <w:rPr>
          <w:rFonts w:ascii="宋体" w:hAnsi="宋体" w:cs="宋体" w:eastAsia="宋体" w:hint="default"/>
        </w:rPr>
        <w:t>11</w:t>
      </w:r>
    </w:p>
    <w:p>
      <w:pPr>
        <w:spacing w:line="240" w:lineRule="auto" w:before="10"/>
        <w:rPr>
          <w:rFonts w:ascii="宋体" w:hAnsi="宋体" w:cs="宋体" w:eastAsia="宋体" w:hint="default"/>
          <w:sz w:val="14"/>
          <w:szCs w:val="14"/>
        </w:rPr>
      </w:pPr>
    </w:p>
    <w:p>
      <w:pPr>
        <w:pStyle w:val="BodyText"/>
        <w:spacing w:line="408" w:lineRule="auto" w:before="0"/>
        <w:ind w:right="2847"/>
        <w:jc w:val="left"/>
        <w:rPr>
          <w:rFonts w:ascii="宋体" w:hAnsi="宋体" w:cs="宋体" w:eastAsia="宋体" w:hint="default"/>
        </w:rPr>
      </w:pPr>
      <w:r>
        <w:rPr/>
        <w:t>月</w:t>
      </w:r>
      <w:r>
        <w:rPr>
          <w:spacing w:val="-53"/>
        </w:rPr>
        <w:t> </w:t>
      </w:r>
      <w:r>
        <w:rPr>
          <w:rFonts w:ascii="宋体" w:hAnsi="宋体" w:cs="宋体" w:eastAsia="宋体" w:hint="default"/>
        </w:rPr>
        <w:t>3</w:t>
      </w:r>
      <w:r>
        <w:rPr>
          <w:rFonts w:ascii="宋体" w:hAnsi="宋体" w:cs="宋体" w:eastAsia="宋体" w:hint="default"/>
          <w:spacing w:val="-52"/>
        </w:rPr>
        <w:t> </w:t>
      </w:r>
      <w:r>
        <w:rPr/>
        <w:t>日至</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22</w:t>
      </w:r>
      <w:r>
        <w:rPr>
          <w:rFonts w:ascii="宋体" w:hAnsi="宋体" w:cs="宋体" w:eastAsia="宋体" w:hint="default"/>
          <w:spacing w:val="-53"/>
        </w:rPr>
        <w:t> </w:t>
      </w:r>
      <w:r>
        <w:rPr/>
        <w:t>日，由江苏光一投资管理有限责任公司提供担保。 </w:t>
      </w:r>
      <w:bookmarkStart w:name="46、应付债券" w:id="299"/>
      <w:bookmarkEnd w:id="299"/>
      <w:r>
        <w:rPr/>
      </w:r>
      <w:r>
        <w:rPr>
          <w:rFonts w:ascii="宋体" w:hAnsi="宋体" w:cs="宋体" w:eastAsia="宋体" w:hint="default"/>
          <w:b/>
          <w:bCs/>
        </w:rPr>
        <w:t>46</w:t>
      </w:r>
      <w:r>
        <w:rPr>
          <w:rFonts w:ascii="宋体" w:hAnsi="宋体" w:cs="宋体" w:eastAsia="宋体" w:hint="default"/>
          <w:b/>
          <w:bCs/>
        </w:rPr>
        <w:t>、应付债券</w:t>
      </w:r>
      <w:r>
        <w:rPr>
          <w:rFonts w:ascii="宋体" w:hAnsi="宋体" w:cs="宋体" w:eastAsia="宋体" w:hint="default"/>
        </w:rPr>
      </w:r>
    </w:p>
    <w:p>
      <w:pPr>
        <w:pStyle w:val="Heading4"/>
        <w:spacing w:line="240" w:lineRule="auto" w:before="46"/>
        <w:ind w:left="153" w:right="0"/>
        <w:jc w:val="left"/>
        <w:rPr>
          <w:b w:val="0"/>
          <w:bCs w:val="0"/>
        </w:rPr>
      </w:pPr>
      <w:bookmarkStart w:name="（1）应付债券" w:id="300"/>
      <w:bookmarkEnd w:id="300"/>
      <w:r>
        <w:rPr>
          <w:b w:val="0"/>
          <w:bCs w:val="0"/>
        </w:rPr>
      </w:r>
      <w:r>
        <w:rPr/>
        <w:t>（</w:t>
      </w:r>
      <w:r>
        <w:rPr>
          <w:rFonts w:ascii="宋体" w:hAnsi="宋体" w:cs="宋体" w:eastAsia="宋体" w:hint="default"/>
        </w:rPr>
        <w:t>1</w:t>
      </w:r>
      <w:r>
        <w:rPr/>
        <w:t>）应付债券</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应付债券的增减变动（上包括划分为金融负债的优先股、永续债等其他金融工具）" w:id="301"/>
      <w:bookmarkEnd w:id="301"/>
      <w:r>
        <w:rPr>
          <w:b w:val="0"/>
          <w:bCs w:val="0"/>
        </w:rPr>
      </w:r>
      <w:r>
        <w:rPr/>
        <w:t>（</w:t>
      </w:r>
      <w:r>
        <w:rPr>
          <w:rFonts w:ascii="宋体" w:hAnsi="宋体" w:cs="宋体" w:eastAsia="宋体"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可转换公司债券的转股条件、转股时间说明" w:id="302"/>
      <w:bookmarkEnd w:id="302"/>
      <w:r>
        <w:rPr>
          <w:b w:val="0"/>
          <w:bCs w:val="0"/>
        </w:rPr>
      </w:r>
      <w:r>
        <w:rPr/>
        <w:t>（</w:t>
      </w:r>
      <w:r>
        <w:rPr>
          <w:rFonts w:ascii="宋体" w:hAnsi="宋体" w:cs="宋体" w:eastAsia="宋体"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4）划分为金融负债的其他金融工具说明" w:id="303"/>
      <w:bookmarkEnd w:id="303"/>
      <w:r>
        <w:rPr>
          <w:b w:val="0"/>
          <w:bCs w:val="0"/>
        </w:rPr>
      </w:r>
      <w:r>
        <w:rPr/>
        <w:t>（</w:t>
      </w:r>
      <w:r>
        <w:rPr>
          <w:rFonts w:ascii="宋体" w:hAnsi="宋体" w:cs="宋体" w:eastAsia="宋体" w:hint="default"/>
        </w:rPr>
        <w:t>4</w:t>
      </w:r>
      <w:r>
        <w:rPr/>
        <w:t>）划分为金融负债的其他金融工具说明</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7、长期应付款" w:id="304"/>
      <w:bookmarkEnd w:id="304"/>
      <w:r>
        <w:rPr>
          <w:rFonts w:ascii="宋体" w:hAnsi="宋体" w:cs="宋体" w:eastAsia="宋体" w:hint="default"/>
          <w:sz w:val="21"/>
          <w:szCs w:val="21"/>
        </w:rPr>
      </w:r>
      <w:r>
        <w:rPr>
          <w:rFonts w:ascii="宋体" w:hAnsi="宋体" w:cs="宋体" w:eastAsia="宋体" w:hint="default"/>
          <w:b/>
          <w:bCs/>
          <w:sz w:val="21"/>
          <w:szCs w:val="21"/>
        </w:rPr>
        <w:t>47</w:t>
      </w:r>
      <w:r>
        <w:rPr>
          <w:rFonts w:ascii="宋体" w:hAnsi="宋体" w:cs="宋体" w:eastAsia="宋体" w:hint="default"/>
          <w:b/>
          <w:bCs/>
          <w:sz w:val="21"/>
          <w:szCs w:val="21"/>
        </w:rPr>
        <w:t>、长期应付款</w:t>
      </w:r>
      <w:r>
        <w:rPr>
          <w:rFonts w:ascii="宋体" w:hAnsi="宋体" w:cs="宋体" w:eastAsia="宋体" w:hint="default"/>
          <w:sz w:val="21"/>
          <w:szCs w:val="21"/>
        </w:rPr>
      </w:r>
    </w:p>
    <w:p>
      <w:pPr>
        <w:pStyle w:val="Heading4"/>
        <w:spacing w:line="240" w:lineRule="auto" w:before="46"/>
        <w:ind w:right="0"/>
        <w:jc w:val="left"/>
        <w:rPr>
          <w:b w:val="0"/>
          <w:bCs w:val="0"/>
        </w:rPr>
      </w:pPr>
      <w:bookmarkStart w:name="（1）按款项性质列示长期应付款" w:id="305"/>
      <w:bookmarkEnd w:id="305"/>
      <w:r>
        <w:rPr>
          <w:b w:val="0"/>
          <w:bCs w:val="0"/>
        </w:rPr>
      </w:r>
      <w:r>
        <w:rPr/>
        <w:t>（</w:t>
      </w:r>
      <w:r>
        <w:rPr>
          <w:rFonts w:ascii="宋体" w:hAnsi="宋体" w:cs="宋体" w:eastAsia="宋体" w:hint="default"/>
        </w:rPr>
        <w:t>1</w:t>
      </w:r>
      <w:r>
        <w:rPr/>
        <w:t>）按款项性质列示长期应付款</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66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8、长期应付职工薪酬" w:id="306"/>
      <w:bookmarkEnd w:id="306"/>
      <w:r>
        <w:rPr>
          <w:rFonts w:ascii="宋体" w:hAnsi="宋体" w:cs="宋体" w:eastAsia="宋体" w:hint="default"/>
          <w:sz w:val="21"/>
          <w:szCs w:val="21"/>
        </w:rPr>
      </w:r>
      <w:r>
        <w:rPr>
          <w:rFonts w:ascii="宋体" w:hAnsi="宋体" w:cs="宋体" w:eastAsia="宋体" w:hint="default"/>
          <w:b/>
          <w:bCs/>
          <w:sz w:val="21"/>
          <w:szCs w:val="21"/>
        </w:rPr>
        <w:t>48</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pStyle w:val="Heading4"/>
        <w:spacing w:line="240" w:lineRule="auto" w:before="46"/>
        <w:ind w:left="153" w:right="0"/>
        <w:jc w:val="left"/>
        <w:rPr>
          <w:b w:val="0"/>
          <w:bCs w:val="0"/>
        </w:rPr>
      </w:pPr>
      <w:bookmarkStart w:name="（1）长期应付职工薪酬表" w:id="307"/>
      <w:bookmarkEnd w:id="307"/>
      <w:r>
        <w:rPr>
          <w:b w:val="0"/>
          <w:bCs w:val="0"/>
        </w:rPr>
      </w:r>
      <w:r>
        <w:rPr/>
        <w:t>（</w:t>
      </w:r>
      <w:r>
        <w:rPr>
          <w:rFonts w:ascii="宋体" w:hAnsi="宋体" w:cs="宋体" w:eastAsia="宋体" w:hint="default"/>
        </w:rPr>
        <w:t>1</w:t>
      </w:r>
      <w:r>
        <w:rPr/>
        <w:t>）长期应付职工薪酬表</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设定受益计划变动情况" w:id="308"/>
      <w:bookmarkEnd w:id="308"/>
      <w:r>
        <w:rPr>
          <w:b w:val="0"/>
          <w:bCs w:val="0"/>
        </w:rPr>
      </w:r>
      <w:r>
        <w:rPr/>
        <w:t>（</w:t>
      </w:r>
      <w:r>
        <w:rPr>
          <w:rFonts w:ascii="宋体" w:hAnsi="宋体" w:cs="宋体" w:eastAsia="宋体" w:hint="default"/>
        </w:rPr>
        <w:t>2</w:t>
      </w:r>
      <w:r>
        <w:rPr/>
        <w:t>）设定受益计划变动情况</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9、专项应付款" w:id="309"/>
      <w:bookmarkEnd w:id="309"/>
      <w:r>
        <w:rPr>
          <w:rFonts w:ascii="宋体" w:hAnsi="宋体" w:cs="宋体" w:eastAsia="宋体" w:hint="default"/>
          <w:sz w:val="21"/>
          <w:szCs w:val="21"/>
        </w:rPr>
      </w:r>
      <w:r>
        <w:rPr>
          <w:rFonts w:ascii="宋体" w:hAnsi="宋体" w:cs="宋体" w:eastAsia="宋体" w:hint="default"/>
          <w:b/>
          <w:bCs/>
          <w:sz w:val="21"/>
          <w:szCs w:val="21"/>
        </w:rPr>
        <w:t>49</w:t>
      </w:r>
      <w:r>
        <w:rPr>
          <w:rFonts w:ascii="宋体" w:hAnsi="宋体" w:cs="宋体" w:eastAsia="宋体" w:hint="default"/>
          <w:b/>
          <w:bCs/>
          <w:sz w:val="21"/>
          <w:szCs w:val="21"/>
        </w:rPr>
        <w:t>、专项应付款</w:t>
      </w:r>
      <w:r>
        <w:rPr>
          <w:rFonts w:ascii="宋体" w:hAnsi="宋体" w:cs="宋体" w:eastAsia="宋体" w:hint="default"/>
          <w:sz w:val="21"/>
          <w:szCs w:val="21"/>
        </w:rPr>
      </w:r>
    </w:p>
    <w:p>
      <w:pPr>
        <w:pStyle w:val="BodyText"/>
        <w:spacing w:line="240" w:lineRule="auto"/>
        <w:ind w:left="154" w:right="0"/>
        <w:jc w:val="left"/>
      </w:pPr>
      <w:r>
        <w:rPr/>
        <w:t>□ 适用 √</w:t>
      </w:r>
      <w:r>
        <w:rPr>
          <w:spacing w:val="-1"/>
        </w:rPr>
        <w:t> </w:t>
      </w:r>
      <w:r>
        <w:rPr/>
        <w:t>不适用</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53" w:right="0"/>
        <w:jc w:val="left"/>
        <w:rPr>
          <w:b w:val="0"/>
          <w:bCs w:val="0"/>
        </w:rPr>
      </w:pPr>
      <w:bookmarkStart w:name="50、预计负债" w:id="310"/>
      <w:bookmarkEnd w:id="310"/>
      <w:r>
        <w:rPr>
          <w:b w:val="0"/>
          <w:bCs w:val="0"/>
        </w:rPr>
      </w:r>
      <w:r>
        <w:rPr>
          <w:rFonts w:ascii="宋体" w:hAnsi="宋体" w:cs="宋体" w:eastAsia="宋体" w:hint="default"/>
        </w:rPr>
        <w:t>50</w:t>
      </w:r>
      <w:r>
        <w:rPr/>
        <w:t>、预计负债</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73"/>
        <w:gridCol w:w="2406"/>
        <w:gridCol w:w="2392"/>
        <w:gridCol w:w="2391"/>
      </w:tblGrid>
      <w:tr>
        <w:trPr>
          <w:trHeight w:val="413" w:hRule="exact"/>
        </w:trPr>
        <w:tc>
          <w:tcPr>
            <w:tcW w:w="237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7" w:hRule="exact"/>
        </w:trPr>
        <w:tc>
          <w:tcPr>
            <w:tcW w:w="237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20,000,000.00</w:t>
            </w:r>
          </w:p>
        </w:tc>
        <w:tc>
          <w:tcPr>
            <w:tcW w:w="2392"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237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6"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20,000,000.00</w:t>
            </w:r>
          </w:p>
        </w:tc>
        <w:tc>
          <w:tcPr>
            <w:tcW w:w="2392" w:type="dxa"/>
            <w:tcBorders>
              <w:top w:val="single" w:sz="6" w:space="0" w:color="000000"/>
              <w:left w:val="single" w:sz="6" w:space="0" w:color="000000"/>
              <w:bottom w:val="single" w:sz="12" w:space="0" w:color="000000"/>
              <w:right w:val="single" w:sz="14" w:space="0" w:color="D2D2D2"/>
            </w:tcBorders>
          </w:tcPr>
          <w:p>
            <w:pPr/>
          </w:p>
        </w:tc>
        <w:tc>
          <w:tcPr>
            <w:tcW w:w="2391"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sz w:val="18"/>
              </w:rPr>
              <w:t>--</w:t>
            </w:r>
          </w:p>
        </w:tc>
      </w:tr>
    </w:tbl>
    <w:p>
      <w:pPr>
        <w:pStyle w:val="BodyText"/>
        <w:spacing w:line="240" w:lineRule="auto" w:before="63"/>
        <w:ind w:left="154" w:right="0"/>
        <w:jc w:val="left"/>
      </w:pPr>
      <w:r>
        <w:rPr/>
        <w:t>其他说明，包括重要预计负债的相关重要假设、估计说明：</w:t>
      </w:r>
    </w:p>
    <w:p>
      <w:pPr>
        <w:spacing w:line="240" w:lineRule="auto" w:before="10"/>
        <w:rPr>
          <w:rFonts w:ascii="宋体" w:hAnsi="宋体" w:cs="宋体" w:eastAsia="宋体" w:hint="default"/>
          <w:sz w:val="14"/>
          <w:szCs w:val="14"/>
        </w:rPr>
      </w:pPr>
    </w:p>
    <w:p>
      <w:pPr>
        <w:pStyle w:val="BodyText"/>
        <w:spacing w:line="408" w:lineRule="auto" w:before="0"/>
        <w:ind w:right="150" w:firstLine="423"/>
        <w:jc w:val="both"/>
      </w:pPr>
      <w:r>
        <w:rPr>
          <w:spacing w:val="-3"/>
        </w:rPr>
        <w:t>其他为收购或有对价，</w:t>
      </w:r>
      <w:r>
        <w:rPr>
          <w:rFonts w:ascii="宋体" w:hAnsi="宋体" w:cs="宋体" w:eastAsia="宋体" w:hint="default"/>
          <w:spacing w:val="-3"/>
        </w:rPr>
        <w:t>2014</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0"/>
        </w:rPr>
        <w:t> </w:t>
      </w:r>
      <w:r>
        <w:rPr/>
        <w:t>月</w:t>
      </w:r>
      <w:r>
        <w:rPr>
          <w:spacing w:val="-61"/>
        </w:rPr>
        <w:t> </w:t>
      </w:r>
      <w:r>
        <w:rPr>
          <w:rFonts w:ascii="宋体" w:hAnsi="宋体" w:cs="宋体" w:eastAsia="宋体" w:hint="default"/>
        </w:rPr>
        <w:t>24</w:t>
      </w:r>
      <w:r>
        <w:rPr>
          <w:rFonts w:ascii="宋体" w:hAnsi="宋体" w:cs="宋体" w:eastAsia="宋体" w:hint="default"/>
          <w:spacing w:val="-60"/>
        </w:rPr>
        <w:t> </w:t>
      </w:r>
      <w:r>
        <w:rPr/>
        <w:t>日经中国证券监督管理委员会《关于核准光一科技股份有限公 </w:t>
      </w:r>
      <w:r>
        <w:rPr>
          <w:spacing w:val="-4"/>
        </w:rPr>
        <w:t>司向任昌兆等发行股份购买资产的批复》（证监许可</w:t>
      </w:r>
      <w:r>
        <w:rPr>
          <w:rFonts w:ascii="宋体" w:hAnsi="宋体" w:cs="宋体" w:eastAsia="宋体" w:hint="default"/>
          <w:spacing w:val="-4"/>
        </w:rPr>
        <w:t>[2014]1399</w:t>
      </w:r>
      <w:r>
        <w:rPr>
          <w:rFonts w:ascii="宋体" w:hAnsi="宋体" w:cs="宋体" w:eastAsia="宋体" w:hint="default"/>
          <w:spacing w:val="15"/>
        </w:rPr>
        <w:t> </w:t>
      </w:r>
      <w:r>
        <w:rPr>
          <w:spacing w:val="-1"/>
        </w:rPr>
        <w:t>号）核准，本公司以发行股份及支付现金</w:t>
      </w:r>
      <w:r>
        <w:rPr>
          <w:spacing w:val="-103"/>
        </w:rPr>
        <w:t> </w:t>
      </w:r>
      <w:r>
        <w:rPr>
          <w:spacing w:val="-103"/>
        </w:rPr>
      </w:r>
      <w:r>
        <w:rPr/>
        <w:t>的方式购买任昌兆等</w:t>
      </w:r>
      <w:r>
        <w:rPr>
          <w:spacing w:val="-44"/>
        </w:rPr>
        <w:t> </w:t>
      </w:r>
      <w:r>
        <w:rPr>
          <w:rFonts w:ascii="宋体" w:hAnsi="宋体" w:cs="宋体" w:eastAsia="宋体" w:hint="default"/>
        </w:rPr>
        <w:t>33</w:t>
      </w:r>
      <w:r>
        <w:rPr>
          <w:rFonts w:ascii="宋体" w:hAnsi="宋体" w:cs="宋体" w:eastAsia="宋体" w:hint="default"/>
          <w:spacing w:val="-45"/>
        </w:rPr>
        <w:t> </w:t>
      </w:r>
      <w:r>
        <w:rPr/>
        <w:t>名交易对方持有的索瑞电气</w:t>
      </w:r>
      <w:r>
        <w:rPr>
          <w:spacing w:val="-44"/>
        </w:rPr>
        <w:t> </w:t>
      </w:r>
      <w:r>
        <w:rPr>
          <w:rFonts w:ascii="宋体" w:hAnsi="宋体" w:cs="宋体" w:eastAsia="宋体" w:hint="default"/>
        </w:rPr>
        <w:t>84.82%</w:t>
      </w:r>
      <w:r>
        <w:rPr/>
        <w:t>股份，根据各方签署的《发行股份及支付现金 </w:t>
      </w:r>
      <w:r>
        <w:rPr>
          <w:spacing w:val="-4"/>
        </w:rPr>
        <w:t>购买资产协议》</w:t>
      </w:r>
      <w:r>
        <w:rPr>
          <w:rFonts w:ascii="宋体" w:hAnsi="宋体" w:cs="宋体" w:eastAsia="宋体" w:hint="default"/>
          <w:spacing w:val="-4"/>
        </w:rPr>
        <w:t>10.2</w:t>
      </w:r>
      <w:r>
        <w:rPr>
          <w:rFonts w:ascii="宋体" w:hAnsi="宋体" w:cs="宋体" w:eastAsia="宋体" w:hint="default"/>
          <w:spacing w:val="-79"/>
        </w:rPr>
        <w:t> </w:t>
      </w:r>
      <w:r>
        <w:rPr/>
        <w:t>条规定：“如果承诺期索瑞电气实际实现的净利润总和超出盈利承诺期承诺净利润总 和，各方同意将超出部分的</w:t>
      </w:r>
      <w:r>
        <w:rPr>
          <w:spacing w:val="-44"/>
        </w:rPr>
        <w:t> </w:t>
      </w:r>
      <w:r>
        <w:rPr>
          <w:rFonts w:ascii="宋体" w:hAnsi="宋体" w:cs="宋体" w:eastAsia="宋体" w:hint="default"/>
        </w:rPr>
        <w:t>50%</w:t>
      </w:r>
      <w:r>
        <w:rPr/>
        <w:t>奖励给任昌兆先生，奖励对价总额不超过</w:t>
      </w:r>
      <w:r>
        <w:rPr>
          <w:spacing w:val="-44"/>
        </w:rPr>
        <w:t> </w:t>
      </w:r>
      <w:r>
        <w:rPr>
          <w:rFonts w:ascii="宋体" w:hAnsi="宋体" w:cs="宋体" w:eastAsia="宋体" w:hint="default"/>
        </w:rPr>
        <w:t>2,000</w:t>
      </w:r>
      <w:r>
        <w:rPr>
          <w:rFonts w:ascii="宋体" w:hAnsi="宋体" w:cs="宋体" w:eastAsia="宋体" w:hint="default"/>
          <w:spacing w:val="-43"/>
        </w:rPr>
        <w:t> </w:t>
      </w:r>
      <w:r>
        <w:rPr/>
        <w:t>万元。任昌兆先生可自主 决定将上述奖励对价支付给索瑞电气截至</w:t>
      </w:r>
      <w:r>
        <w:rPr>
          <w:spacing w:val="-39"/>
        </w:rPr>
        <w:t> </w:t>
      </w:r>
      <w:r>
        <w:rPr>
          <w:rFonts w:ascii="宋体" w:hAnsi="宋体" w:cs="宋体" w:eastAsia="宋体" w:hint="default"/>
        </w:rPr>
        <w:t>2016</w:t>
      </w:r>
      <w:r>
        <w:rPr>
          <w:rFonts w:ascii="宋体" w:hAnsi="宋体" w:cs="宋体" w:eastAsia="宋体" w:hint="default"/>
          <w:spacing w:val="-40"/>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31</w:t>
      </w:r>
      <w:r>
        <w:rPr>
          <w:rFonts w:ascii="宋体" w:hAnsi="宋体" w:cs="宋体" w:eastAsia="宋体" w:hint="default"/>
          <w:spacing w:val="-40"/>
        </w:rPr>
        <w:t> </w:t>
      </w:r>
      <w:r>
        <w:rPr/>
        <w:t>日在职的管理层。上述奖励对价是本次交易对</w:t>
      </w:r>
    </w:p>
    <w:p>
      <w:pPr>
        <w:pStyle w:val="BodyText"/>
        <w:spacing w:line="408" w:lineRule="auto"/>
        <w:ind w:right="1372"/>
        <w:jc w:val="left"/>
        <w:rPr>
          <w:rFonts w:ascii="宋体" w:hAnsi="宋体" w:cs="宋体" w:eastAsia="宋体" w:hint="default"/>
        </w:rPr>
      </w:pPr>
      <w:r>
        <w:rPr/>
        <w:t>价的一部分，属于或有对价而非对管理层股东发放的奖金”。故确认预计负债</w:t>
      </w:r>
      <w:r>
        <w:rPr>
          <w:spacing w:val="-52"/>
        </w:rPr>
        <w:t> </w:t>
      </w:r>
      <w:r>
        <w:rPr>
          <w:rFonts w:ascii="宋体" w:hAnsi="宋体" w:cs="宋体" w:eastAsia="宋体" w:hint="default"/>
        </w:rPr>
        <w:t>2,000</w:t>
      </w:r>
      <w:r>
        <w:rPr>
          <w:rFonts w:ascii="宋体" w:hAnsi="宋体" w:cs="宋体" w:eastAsia="宋体" w:hint="default"/>
          <w:spacing w:val="-52"/>
        </w:rPr>
        <w:t> </w:t>
      </w:r>
      <w:r>
        <w:rPr/>
        <w:t>万元。 </w:t>
      </w:r>
      <w:bookmarkStart w:name="51、递延收益" w:id="311"/>
      <w:bookmarkEnd w:id="311"/>
      <w:r>
        <w:rPr/>
      </w:r>
      <w:r>
        <w:rPr>
          <w:rFonts w:ascii="宋体" w:hAnsi="宋体" w:cs="宋体" w:eastAsia="宋体" w:hint="default"/>
          <w:b/>
          <w:bCs/>
        </w:rPr>
        <w:t>51</w:t>
      </w:r>
      <w:r>
        <w:rPr>
          <w:rFonts w:ascii="宋体" w:hAnsi="宋体" w:cs="宋体" w:eastAsia="宋体" w:hint="default"/>
          <w:b/>
          <w:bCs/>
        </w:rPr>
        <w:t>、递延收益</w:t>
      </w:r>
      <w:r>
        <w:rPr>
          <w:rFonts w:ascii="宋体" w:hAnsi="宋体" w:cs="宋体" w:eastAsia="宋体" w:hint="default"/>
        </w:rPr>
      </w:r>
    </w:p>
    <w:p>
      <w:pPr>
        <w:spacing w:before="3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578"/>
        <w:gridCol w:w="1606"/>
        <w:gridCol w:w="1595"/>
        <w:gridCol w:w="1594"/>
        <w:gridCol w:w="1594"/>
        <w:gridCol w:w="1594"/>
      </w:tblGrid>
      <w:tr>
        <w:trPr>
          <w:trHeight w:val="415" w:hRule="exact"/>
        </w:trPr>
        <w:tc>
          <w:tcPr>
            <w:tcW w:w="157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7" w:hRule="exact"/>
        </w:trPr>
        <w:tc>
          <w:tcPr>
            <w:tcW w:w="157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left="487" w:right="0"/>
              <w:jc w:val="left"/>
              <w:rPr>
                <w:rFonts w:ascii="宋体" w:hAnsi="宋体" w:cs="宋体" w:eastAsia="宋体" w:hint="default"/>
                <w:sz w:val="18"/>
                <w:szCs w:val="18"/>
              </w:rPr>
            </w:pPr>
            <w:r>
              <w:rPr>
                <w:rFonts w:ascii="宋体"/>
                <w:sz w:val="18"/>
              </w:rPr>
              <w:t>5,332,503.00</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90" w:right="0"/>
              <w:jc w:val="left"/>
              <w:rPr>
                <w:rFonts w:ascii="宋体" w:hAnsi="宋体" w:cs="宋体" w:eastAsia="宋体" w:hint="default"/>
                <w:sz w:val="18"/>
                <w:szCs w:val="18"/>
              </w:rPr>
            </w:pPr>
            <w:r>
              <w:rPr>
                <w:rFonts w:ascii="宋体"/>
                <w:sz w:val="18"/>
              </w:rPr>
              <w:t>25,260,000.00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9,917,503.00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88" w:right="0"/>
              <w:jc w:val="left"/>
              <w:rPr>
                <w:rFonts w:ascii="宋体" w:hAnsi="宋体" w:cs="宋体" w:eastAsia="宋体" w:hint="default"/>
                <w:sz w:val="18"/>
                <w:szCs w:val="18"/>
              </w:rPr>
            </w:pPr>
            <w:r>
              <w:rPr>
                <w:rFonts w:ascii="宋体"/>
                <w:sz w:val="18"/>
              </w:rPr>
              <w:t>20,675,000.00</w:t>
            </w:r>
          </w:p>
        </w:tc>
        <w:tc>
          <w:tcPr>
            <w:tcW w:w="1594"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57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2"/>
              <w:ind w:left="487" w:right="0"/>
              <w:jc w:val="left"/>
              <w:rPr>
                <w:rFonts w:ascii="宋体" w:hAnsi="宋体" w:cs="宋体" w:eastAsia="宋体" w:hint="default"/>
                <w:sz w:val="18"/>
                <w:szCs w:val="18"/>
              </w:rPr>
            </w:pPr>
            <w:r>
              <w:rPr>
                <w:rFonts w:ascii="宋体"/>
                <w:sz w:val="18"/>
              </w:rPr>
              <w:t>5,332,503.00</w:t>
            </w: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390" w:right="0"/>
              <w:jc w:val="left"/>
              <w:rPr>
                <w:rFonts w:ascii="宋体" w:hAnsi="宋体" w:cs="宋体" w:eastAsia="宋体" w:hint="default"/>
                <w:sz w:val="18"/>
                <w:szCs w:val="18"/>
              </w:rPr>
            </w:pPr>
            <w:r>
              <w:rPr>
                <w:rFonts w:ascii="宋体"/>
                <w:sz w:val="18"/>
              </w:rPr>
              <w:t>25,260,000.00</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9,917,503.00</w:t>
            </w:r>
          </w:p>
        </w:tc>
        <w:tc>
          <w:tcPr>
            <w:tcW w:w="1594" w:type="dxa"/>
            <w:tcBorders>
              <w:top w:val="single" w:sz="6" w:space="0" w:color="000000"/>
              <w:left w:val="single" w:sz="6" w:space="0" w:color="000000"/>
              <w:bottom w:val="single" w:sz="12" w:space="0" w:color="000000"/>
              <w:right w:val="single" w:sz="14" w:space="0" w:color="D2D2D2"/>
            </w:tcBorders>
          </w:tcPr>
          <w:p>
            <w:pPr>
              <w:pStyle w:val="TableParagraph"/>
              <w:spacing w:line="240" w:lineRule="auto" w:before="52"/>
              <w:ind w:left="388" w:right="0"/>
              <w:jc w:val="left"/>
              <w:rPr>
                <w:rFonts w:ascii="宋体" w:hAnsi="宋体" w:cs="宋体" w:eastAsia="宋体" w:hint="default"/>
                <w:sz w:val="18"/>
                <w:szCs w:val="18"/>
              </w:rPr>
            </w:pPr>
            <w:r>
              <w:rPr>
                <w:rFonts w:ascii="宋体"/>
                <w:sz w:val="18"/>
              </w:rPr>
              <w:t>20,675,000.00</w:t>
            </w:r>
          </w:p>
        </w:tc>
        <w:tc>
          <w:tcPr>
            <w:tcW w:w="1594"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561"/>
        <w:gridCol w:w="1559"/>
        <w:gridCol w:w="1418"/>
        <w:gridCol w:w="1418"/>
        <w:gridCol w:w="883"/>
        <w:gridCol w:w="1367"/>
        <w:gridCol w:w="1366"/>
      </w:tblGrid>
      <w:tr>
        <w:trPr>
          <w:trHeight w:val="727" w:hRule="exact"/>
        </w:trPr>
        <w:tc>
          <w:tcPr>
            <w:tcW w:w="156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612" w:right="69" w:hanging="541"/>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51"/>
              <w:ind w:left="340" w:right="71"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88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9" w:lineRule="auto" w:before="51"/>
              <w:ind w:left="315" w:right="80" w:hanging="22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 收益相关</w:t>
            </w:r>
          </w:p>
        </w:tc>
      </w:tr>
      <w:tr>
        <w:trPr>
          <w:trHeight w:val="1031"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83"/>
              <w:jc w:val="both"/>
              <w:rPr>
                <w:rFonts w:ascii="宋体" w:hAnsi="宋体" w:cs="宋体" w:eastAsia="宋体" w:hint="default"/>
                <w:sz w:val="18"/>
                <w:szCs w:val="18"/>
              </w:rPr>
            </w:pPr>
            <w:r>
              <w:rPr>
                <w:rFonts w:ascii="宋体" w:hAnsi="宋体" w:cs="宋体" w:eastAsia="宋体" w:hint="default"/>
                <w:sz w:val="18"/>
                <w:szCs w:val="18"/>
              </w:rPr>
              <w:t>用电量收益监测系 统及信息采集设备 开发</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175,000.00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100,000.00</w:t>
            </w:r>
          </w:p>
        </w:tc>
        <w:tc>
          <w:tcPr>
            <w:tcW w:w="883"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2" w:right="0"/>
              <w:jc w:val="left"/>
              <w:rPr>
                <w:rFonts w:ascii="宋体" w:hAnsi="宋体" w:cs="宋体" w:eastAsia="宋体" w:hint="default"/>
                <w:sz w:val="18"/>
                <w:szCs w:val="18"/>
              </w:rPr>
            </w:pPr>
            <w:r>
              <w:rPr>
                <w:rFonts w:ascii="宋体"/>
                <w:sz w:val="18"/>
              </w:rPr>
              <w:t>75,000.00</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7"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企业发展专项基金</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1,157,503.00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1,157,503.00</w:t>
            </w:r>
          </w:p>
        </w:tc>
        <w:tc>
          <w:tcPr>
            <w:tcW w:w="883"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1"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52"/>
              <w:ind w:left="13" w:right="83"/>
              <w:jc w:val="both"/>
              <w:rPr>
                <w:rFonts w:ascii="宋体" w:hAnsi="宋体" w:cs="宋体" w:eastAsia="宋体" w:hint="default"/>
                <w:sz w:val="18"/>
                <w:szCs w:val="18"/>
              </w:rPr>
            </w:pPr>
            <w:r>
              <w:rPr>
                <w:rFonts w:ascii="宋体" w:hAnsi="宋体" w:cs="宋体" w:eastAsia="宋体" w:hint="default"/>
                <w:sz w:val="18"/>
                <w:szCs w:val="18"/>
              </w:rPr>
              <w:t>变压器台区用电信 息实用采集与在线 监测管理系统</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2,000,000.00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2,000,000.00</w:t>
            </w:r>
          </w:p>
        </w:tc>
        <w:tc>
          <w:tcPr>
            <w:tcW w:w="883"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2"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2"/>
              <w:ind w:left="13" w:right="83"/>
              <w:jc w:val="both"/>
              <w:rPr>
                <w:rFonts w:ascii="宋体" w:hAnsi="宋体" w:cs="宋体" w:eastAsia="宋体" w:hint="default"/>
                <w:sz w:val="18"/>
                <w:szCs w:val="18"/>
              </w:rPr>
            </w:pPr>
            <w:r>
              <w:rPr>
                <w:rFonts w:ascii="宋体" w:hAnsi="宋体" w:cs="宋体" w:eastAsia="宋体" w:hint="default"/>
                <w:sz w:val="18"/>
                <w:szCs w:val="18"/>
              </w:rPr>
              <w:t>电力线载波专用芯 片开发应用项目资 金</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2,000,000.00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宋体" w:hAnsi="宋体" w:cs="宋体" w:eastAsia="宋体" w:hint="default"/>
                <w:sz w:val="18"/>
                <w:szCs w:val="18"/>
              </w:rPr>
            </w:pPr>
            <w:r>
              <w:rPr>
                <w:rFonts w:ascii="宋体"/>
                <w:sz w:val="18"/>
              </w:rPr>
              <w:t>2,000,000.00</w:t>
            </w:r>
          </w:p>
        </w:tc>
        <w:tc>
          <w:tcPr>
            <w:tcW w:w="883"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7" w:hRule="exact"/>
        </w:trPr>
        <w:tc>
          <w:tcPr>
            <w:tcW w:w="1561"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1"/>
              <w:ind w:left="13" w:right="39"/>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年度软件政策 项目补助资金</w:t>
            </w:r>
          </w:p>
        </w:tc>
        <w:tc>
          <w:tcPr>
            <w:tcW w:w="1559"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sz w:val="18"/>
              </w:rPr>
              <w:t>150,000.00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150,000.00</w:t>
            </w:r>
          </w:p>
        </w:tc>
        <w:tc>
          <w:tcPr>
            <w:tcW w:w="883" w:type="dxa"/>
            <w:tcBorders>
              <w:top w:val="single" w:sz="6" w:space="0" w:color="000000"/>
              <w:left w:val="single" w:sz="6" w:space="0" w:color="000000"/>
              <w:bottom w:val="single" w:sz="12" w:space="0" w:color="000000"/>
              <w:right w:val="single" w:sz="6" w:space="0" w:color="000000"/>
            </w:tcBorders>
          </w:tcPr>
          <w:p>
            <w:pPr/>
          </w:p>
        </w:tc>
        <w:tc>
          <w:tcPr>
            <w:tcW w:w="1367"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561"/>
        <w:gridCol w:w="1559"/>
        <w:gridCol w:w="1418"/>
        <w:gridCol w:w="1418"/>
        <w:gridCol w:w="883"/>
        <w:gridCol w:w="1367"/>
        <w:gridCol w:w="1366"/>
      </w:tblGrid>
      <w:tr>
        <w:trPr>
          <w:trHeight w:val="1039" w:hRule="exact"/>
        </w:trPr>
        <w:tc>
          <w:tcPr>
            <w:tcW w:w="1561"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51"/>
              <w:ind w:left="13" w:right="39"/>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年度国家智能 电网产业集聚发展 试点重点项目补助</w:t>
            </w:r>
          </w:p>
        </w:tc>
        <w:tc>
          <w:tcPr>
            <w:tcW w:w="1559" w:type="dxa"/>
            <w:tcBorders>
              <w:top w:val="single" w:sz="12" w:space="0" w:color="000000"/>
              <w:left w:val="single" w:sz="6" w:space="0" w:color="000000"/>
              <w:bottom w:val="single" w:sz="6" w:space="0" w:color="000000"/>
              <w:right w:val="single" w:sz="6" w:space="0" w:color="000000"/>
            </w:tcBorders>
          </w:tcPr>
          <w:p>
            <w:pP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25,100,000.00</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4,500,000.00</w:t>
            </w:r>
          </w:p>
        </w:tc>
        <w:tc>
          <w:tcPr>
            <w:tcW w:w="883" w:type="dxa"/>
            <w:tcBorders>
              <w:top w:val="single" w:sz="12" w:space="0" w:color="000000"/>
              <w:left w:val="single" w:sz="6" w:space="0" w:color="000000"/>
              <w:bottom w:val="single" w:sz="6" w:space="0" w:color="000000"/>
              <w:right w:val="single" w:sz="6" w:space="0" w:color="000000"/>
            </w:tcBorders>
          </w:tcPr>
          <w:p>
            <w:pP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20,600,000.00</w:t>
            </w:r>
          </w:p>
        </w:tc>
        <w:tc>
          <w:tcPr>
            <w:tcW w:w="136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1"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51"/>
              <w:ind w:left="13" w:right="39"/>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年度中小微工 业企业发展专项资 金</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10,000.00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10,000.00</w:t>
            </w:r>
          </w:p>
        </w:tc>
        <w:tc>
          <w:tcPr>
            <w:tcW w:w="883"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5" w:hRule="exact"/>
        </w:trPr>
        <w:tc>
          <w:tcPr>
            <w:tcW w:w="156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left="432" w:right="0"/>
              <w:jc w:val="left"/>
              <w:rPr>
                <w:rFonts w:ascii="宋体" w:hAnsi="宋体" w:cs="宋体" w:eastAsia="宋体" w:hint="default"/>
                <w:sz w:val="18"/>
                <w:szCs w:val="18"/>
              </w:rPr>
            </w:pPr>
            <w:r>
              <w:rPr>
                <w:rFonts w:ascii="宋体"/>
                <w:sz w:val="18"/>
              </w:rPr>
              <w:t>5,332,503.00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25,260,000.00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9,917,503.00</w:t>
            </w:r>
          </w:p>
        </w:tc>
        <w:tc>
          <w:tcPr>
            <w:tcW w:w="883" w:type="dxa"/>
            <w:tcBorders>
              <w:top w:val="single" w:sz="6" w:space="0" w:color="000000"/>
              <w:left w:val="single" w:sz="6" w:space="0" w:color="000000"/>
              <w:bottom w:val="single" w:sz="12" w:space="0" w:color="000000"/>
              <w:right w:val="single" w:sz="6" w:space="0" w:color="000000"/>
            </w:tcBorders>
          </w:tcPr>
          <w:p>
            <w:pPr/>
          </w:p>
        </w:tc>
        <w:tc>
          <w:tcPr>
            <w:tcW w:w="1367" w:type="dxa"/>
            <w:tcBorders>
              <w:top w:val="single" w:sz="6" w:space="0" w:color="000000"/>
              <w:left w:val="single" w:sz="6" w:space="0" w:color="000000"/>
              <w:bottom w:val="single" w:sz="12" w:space="0" w:color="000000"/>
              <w:right w:val="single" w:sz="8" w:space="0" w:color="D2D2D2"/>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20,675,000.00</w:t>
            </w:r>
          </w:p>
        </w:tc>
        <w:tc>
          <w:tcPr>
            <w:tcW w:w="1366"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2、其他非流动负债" w:id="312"/>
      <w:bookmarkEnd w:id="312"/>
      <w:r>
        <w:rPr>
          <w:b w:val="0"/>
          <w:bCs w:val="0"/>
        </w:rPr>
      </w:r>
      <w:r>
        <w:rPr>
          <w:rFonts w:ascii="宋体" w:hAnsi="宋体" w:cs="宋体" w:eastAsia="宋体" w:hint="default"/>
        </w:rPr>
        <w:t>52</w:t>
      </w:r>
      <w:r>
        <w:rPr/>
        <w:t>、其他非流动负债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财政专项资金</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4,450,000.00</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4,450,000.00</w:t>
            </w:r>
          </w:p>
        </w:tc>
        <w:tc>
          <w:tcPr>
            <w:tcW w:w="3188"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0" w:lineRule="auto" w:before="63"/>
        <w:ind w:left="154" w:right="0"/>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151" w:firstLine="421"/>
        <w:jc w:val="both"/>
      </w:pPr>
      <w:r>
        <w:rPr>
          <w:spacing w:val="-1"/>
        </w:rPr>
        <w:t>根据《公安县经济开发区投资优惠办法》，控股子公司湖北索瑞电气有限公司获得公安县财政局税收</w:t>
      </w:r>
      <w:r>
        <w:rPr/>
        <w:t> </w:t>
      </w:r>
      <w:r>
        <w:rPr>
          <w:spacing w:val="-1"/>
        </w:rPr>
        <w:t>返还</w:t>
      </w:r>
      <w:r>
        <w:rPr>
          <w:rFonts w:ascii="宋体" w:hAnsi="宋体" w:cs="宋体" w:eastAsia="宋体" w:hint="default"/>
          <w:spacing w:val="-1"/>
        </w:rPr>
        <w:t>4,450,000.00</w:t>
      </w:r>
      <w:r>
        <w:rPr>
          <w:spacing w:val="-1"/>
        </w:rPr>
        <w:t>元，此款项仅用于研发投入、技术改造、高新技术人才引进等扩大再生产及提升企业发</w:t>
      </w:r>
      <w:r>
        <w:rPr>
          <w:spacing w:val="-79"/>
        </w:rPr>
        <w:t> </w:t>
      </w:r>
      <w:r>
        <w:rPr>
          <w:spacing w:val="-79"/>
        </w:rPr>
      </w:r>
      <w:r>
        <w:rPr/>
        <w:t>展潜力的项目，不得挪作他用。</w:t>
      </w:r>
    </w:p>
    <w:p>
      <w:pPr>
        <w:pStyle w:val="Heading4"/>
        <w:spacing w:line="240" w:lineRule="auto" w:before="46"/>
        <w:ind w:left="153" w:right="0"/>
        <w:jc w:val="left"/>
        <w:rPr>
          <w:b w:val="0"/>
          <w:bCs w:val="0"/>
        </w:rPr>
      </w:pPr>
      <w:bookmarkStart w:name="53、股本" w:id="313"/>
      <w:bookmarkEnd w:id="313"/>
      <w:r>
        <w:rPr>
          <w:b w:val="0"/>
          <w:bCs w:val="0"/>
        </w:rPr>
      </w:r>
      <w:r>
        <w:rPr>
          <w:rFonts w:ascii="宋体" w:hAnsi="宋体" w:cs="宋体" w:eastAsia="宋体" w:hint="default"/>
        </w:rPr>
        <w:t>53</w:t>
      </w:r>
      <w:r>
        <w:rPr/>
        <w:t>、股本</w:t>
      </w:r>
      <w:r>
        <w:rPr>
          <w:b w:val="0"/>
          <w:bCs w:val="0"/>
        </w:rPr>
      </w:r>
    </w:p>
    <w:p>
      <w:pPr>
        <w:spacing w:line="240" w:lineRule="auto" w:before="11"/>
        <w:rPr>
          <w:rFonts w:ascii="宋体" w:hAnsi="宋体" w:cs="宋体" w:eastAsia="宋体" w:hint="default"/>
          <w:b/>
          <w:bCs/>
          <w:sz w:val="13"/>
          <w:szCs w:val="13"/>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190"/>
        <w:gridCol w:w="1509"/>
        <w:gridCol w:w="1407"/>
        <w:gridCol w:w="673"/>
        <w:gridCol w:w="1195"/>
        <w:gridCol w:w="966"/>
        <w:gridCol w:w="1266"/>
        <w:gridCol w:w="1355"/>
      </w:tblGrid>
      <w:tr>
        <w:trPr>
          <w:trHeight w:val="219" w:hRule="exact"/>
        </w:trPr>
        <w:tc>
          <w:tcPr>
            <w:tcW w:w="1190" w:type="dxa"/>
            <w:tcBorders>
              <w:top w:val="single" w:sz="12" w:space="0" w:color="000000"/>
              <w:left w:val="single" w:sz="12" w:space="0" w:color="000000"/>
              <w:bottom w:val="nil" w:sz="6" w:space="0" w:color="auto"/>
              <w:right w:val="single" w:sz="6" w:space="0" w:color="000000"/>
            </w:tcBorders>
            <w:shd w:val="clear" w:color="auto" w:fill="D2D2D2"/>
          </w:tcPr>
          <w:p>
            <w:pPr/>
          </w:p>
        </w:tc>
        <w:tc>
          <w:tcPr>
            <w:tcW w:w="1509" w:type="dxa"/>
            <w:tcBorders>
              <w:top w:val="single" w:sz="12" w:space="0" w:color="000000"/>
              <w:left w:val="single" w:sz="6" w:space="0" w:color="000000"/>
              <w:bottom w:val="nil" w:sz="6" w:space="0" w:color="auto"/>
              <w:right w:val="single" w:sz="6" w:space="0" w:color="000000"/>
            </w:tcBorders>
            <w:shd w:val="clear" w:color="auto" w:fill="D2D2D2"/>
          </w:tcPr>
          <w:p>
            <w:pPr/>
          </w:p>
        </w:tc>
        <w:tc>
          <w:tcPr>
            <w:tcW w:w="5508" w:type="dxa"/>
            <w:gridSpan w:val="5"/>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1800"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355" w:type="dxa"/>
            <w:tcBorders>
              <w:top w:val="single" w:sz="12" w:space="0" w:color="000000"/>
              <w:left w:val="single" w:sz="6" w:space="0" w:color="000000"/>
              <w:bottom w:val="nil" w:sz="6" w:space="0" w:color="auto"/>
              <w:right w:val="single" w:sz="12" w:space="0" w:color="000000"/>
            </w:tcBorders>
            <w:shd w:val="clear" w:color="auto" w:fill="D2D2D2"/>
          </w:tcPr>
          <w:p>
            <w:pPr/>
          </w:p>
        </w:tc>
      </w:tr>
      <w:tr>
        <w:trPr>
          <w:trHeight w:val="196" w:hRule="exact"/>
        </w:trPr>
        <w:tc>
          <w:tcPr>
            <w:tcW w:w="1190" w:type="dxa"/>
            <w:vMerge w:val="restart"/>
            <w:tcBorders>
              <w:top w:val="nil" w:sz="6" w:space="0" w:color="auto"/>
              <w:left w:val="single" w:sz="12" w:space="0" w:color="000000"/>
              <w:right w:val="single" w:sz="6" w:space="0" w:color="000000"/>
            </w:tcBorders>
            <w:shd w:val="clear" w:color="auto" w:fill="D2D2D2"/>
          </w:tcPr>
          <w:p>
            <w:pPr/>
          </w:p>
        </w:tc>
        <w:tc>
          <w:tcPr>
            <w:tcW w:w="15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08" w:type="dxa"/>
            <w:gridSpan w:val="5"/>
            <w:vMerge/>
            <w:tcBorders>
              <w:left w:val="single" w:sz="6" w:space="0" w:color="000000"/>
              <w:bottom w:val="single" w:sz="6" w:space="0" w:color="000000"/>
              <w:right w:val="single" w:sz="6" w:space="0" w:color="000000"/>
            </w:tcBorders>
            <w:shd w:val="clear" w:color="auto" w:fill="D2D2D2"/>
          </w:tcPr>
          <w:p>
            <w:pPr/>
          </w:p>
        </w:tc>
        <w:tc>
          <w:tcPr>
            <w:tcW w:w="1355"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5" w:hRule="exact"/>
        </w:trPr>
        <w:tc>
          <w:tcPr>
            <w:tcW w:w="1190" w:type="dxa"/>
            <w:vMerge/>
            <w:tcBorders>
              <w:left w:val="single" w:sz="12" w:space="0" w:color="000000"/>
              <w:bottom w:val="nil" w:sz="6" w:space="0" w:color="auto"/>
              <w:right w:val="single" w:sz="6" w:space="0" w:color="000000"/>
            </w:tcBorders>
            <w:shd w:val="clear" w:color="auto" w:fill="D2D2D2"/>
          </w:tcPr>
          <w:p>
            <w:pPr/>
          </w:p>
        </w:tc>
        <w:tc>
          <w:tcPr>
            <w:tcW w:w="1509" w:type="dxa"/>
            <w:vMerge/>
            <w:tcBorders>
              <w:left w:val="single" w:sz="6" w:space="0" w:color="000000"/>
              <w:bottom w:val="nil" w:sz="6" w:space="0" w:color="auto"/>
              <w:right w:val="single" w:sz="6" w:space="0" w:color="000000"/>
            </w:tcBorders>
            <w:shd w:val="clear" w:color="auto" w:fill="D2D2D2"/>
          </w:tcPr>
          <w:p>
            <w:pPr/>
          </w:p>
        </w:tc>
        <w:tc>
          <w:tcPr>
            <w:tcW w:w="14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33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7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1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2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55" w:type="dxa"/>
            <w:vMerge/>
            <w:tcBorders>
              <w:left w:val="single" w:sz="6" w:space="0" w:color="000000"/>
              <w:bottom w:val="nil" w:sz="6" w:space="0" w:color="auto"/>
              <w:right w:val="single" w:sz="12" w:space="0" w:color="000000"/>
            </w:tcBorders>
            <w:shd w:val="clear" w:color="auto" w:fill="D2D2D2"/>
          </w:tcPr>
          <w:p>
            <w:pPr/>
          </w:p>
        </w:tc>
      </w:tr>
      <w:tr>
        <w:trPr>
          <w:trHeight w:val="211" w:hRule="exact"/>
        </w:trPr>
        <w:tc>
          <w:tcPr>
            <w:tcW w:w="1190" w:type="dxa"/>
            <w:tcBorders>
              <w:top w:val="nil" w:sz="6" w:space="0" w:color="auto"/>
              <w:left w:val="single" w:sz="12" w:space="0" w:color="000000"/>
              <w:bottom w:val="single" w:sz="6" w:space="0" w:color="000000"/>
              <w:right w:val="single" w:sz="6" w:space="0" w:color="000000"/>
            </w:tcBorders>
            <w:shd w:val="clear" w:color="auto" w:fill="D2D2D2"/>
          </w:tcPr>
          <w:p>
            <w:pPr/>
          </w:p>
        </w:tc>
        <w:tc>
          <w:tcPr>
            <w:tcW w:w="1509" w:type="dxa"/>
            <w:tcBorders>
              <w:top w:val="nil" w:sz="6" w:space="0" w:color="auto"/>
              <w:left w:val="single" w:sz="6" w:space="0" w:color="000000"/>
              <w:bottom w:val="single" w:sz="6" w:space="0" w:color="000000"/>
              <w:right w:val="single" w:sz="6" w:space="0" w:color="000000"/>
            </w:tcBorders>
            <w:shd w:val="clear" w:color="auto" w:fill="D2D2D2"/>
          </w:tcPr>
          <w:p>
            <w:pPr/>
          </w:p>
        </w:tc>
        <w:tc>
          <w:tcPr>
            <w:tcW w:w="1407" w:type="dxa"/>
            <w:vMerge/>
            <w:tcBorders>
              <w:left w:val="single" w:sz="6" w:space="0" w:color="000000"/>
              <w:bottom w:val="single" w:sz="6" w:space="0" w:color="000000"/>
              <w:right w:val="single" w:sz="6" w:space="0" w:color="000000"/>
            </w:tcBorders>
            <w:shd w:val="clear" w:color="auto" w:fill="D2D2D2"/>
          </w:tcPr>
          <w:p>
            <w:pPr/>
          </w:p>
        </w:tc>
        <w:tc>
          <w:tcPr>
            <w:tcW w:w="673" w:type="dxa"/>
            <w:vMerge/>
            <w:tcBorders>
              <w:left w:val="single" w:sz="6" w:space="0" w:color="000000"/>
              <w:bottom w:val="single" w:sz="6" w:space="0" w:color="000000"/>
              <w:right w:val="single" w:sz="6" w:space="0" w:color="000000"/>
            </w:tcBorders>
            <w:shd w:val="clear" w:color="auto" w:fill="D2D2D2"/>
          </w:tcPr>
          <w:p>
            <w:pPr/>
          </w:p>
        </w:tc>
        <w:tc>
          <w:tcPr>
            <w:tcW w:w="1195" w:type="dxa"/>
            <w:vMerge/>
            <w:tcBorders>
              <w:left w:val="single" w:sz="6" w:space="0" w:color="000000"/>
              <w:bottom w:val="single" w:sz="6" w:space="0" w:color="000000"/>
              <w:right w:val="single" w:sz="6" w:space="0" w:color="000000"/>
            </w:tcBorders>
            <w:shd w:val="clear" w:color="auto" w:fill="D2D2D2"/>
          </w:tcPr>
          <w:p>
            <w:pPr/>
          </w:p>
        </w:tc>
        <w:tc>
          <w:tcPr>
            <w:tcW w:w="966" w:type="dxa"/>
            <w:vMerge/>
            <w:tcBorders>
              <w:left w:val="single" w:sz="6" w:space="0" w:color="000000"/>
              <w:bottom w:val="single" w:sz="6" w:space="0" w:color="000000"/>
              <w:right w:val="single" w:sz="6" w:space="0" w:color="000000"/>
            </w:tcBorders>
            <w:shd w:val="clear" w:color="auto" w:fill="D2D2D2"/>
          </w:tcPr>
          <w:p>
            <w:pPr/>
          </w:p>
        </w:tc>
        <w:tc>
          <w:tcPr>
            <w:tcW w:w="1266" w:type="dxa"/>
            <w:vMerge/>
            <w:tcBorders>
              <w:left w:val="single" w:sz="6" w:space="0" w:color="000000"/>
              <w:bottom w:val="single" w:sz="6" w:space="0" w:color="000000"/>
              <w:right w:val="single" w:sz="6" w:space="0" w:color="000000"/>
            </w:tcBorders>
            <w:shd w:val="clear" w:color="auto" w:fill="D2D2D2"/>
          </w:tcPr>
          <w:p>
            <w:pPr/>
          </w:p>
        </w:tc>
        <w:tc>
          <w:tcPr>
            <w:tcW w:w="1355" w:type="dxa"/>
            <w:tcBorders>
              <w:top w:val="nil" w:sz="6" w:space="0" w:color="auto"/>
              <w:left w:val="single" w:sz="6" w:space="0" w:color="000000"/>
              <w:bottom w:val="single" w:sz="6" w:space="0" w:color="000000"/>
              <w:right w:val="single" w:sz="12" w:space="0" w:color="000000"/>
            </w:tcBorders>
            <w:shd w:val="clear" w:color="auto" w:fill="D2D2D2"/>
          </w:tcPr>
          <w:p>
            <w:pPr/>
          </w:p>
        </w:tc>
      </w:tr>
      <w:tr>
        <w:trPr>
          <w:trHeight w:val="415" w:hRule="exact"/>
        </w:trPr>
        <w:tc>
          <w:tcPr>
            <w:tcW w:w="119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09"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left="192" w:right="0"/>
              <w:jc w:val="left"/>
              <w:rPr>
                <w:rFonts w:ascii="宋体" w:hAnsi="宋体" w:cs="宋体" w:eastAsia="宋体" w:hint="default"/>
                <w:sz w:val="18"/>
                <w:szCs w:val="18"/>
              </w:rPr>
            </w:pPr>
            <w:r>
              <w:rPr>
                <w:rFonts w:ascii="宋体"/>
                <w:sz w:val="18"/>
              </w:rPr>
              <w:t>130,005,000.00</w:t>
            </w:r>
          </w:p>
        </w:tc>
        <w:tc>
          <w:tcPr>
            <w:tcW w:w="14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sz w:val="18"/>
              </w:rPr>
              <w:t>31,216,848.00</w:t>
            </w:r>
          </w:p>
        </w:tc>
        <w:tc>
          <w:tcPr>
            <w:tcW w:w="673" w:type="dxa"/>
            <w:tcBorders>
              <w:top w:val="single" w:sz="6" w:space="0" w:color="000000"/>
              <w:left w:val="single" w:sz="6" w:space="0" w:color="000000"/>
              <w:bottom w:val="single" w:sz="12" w:space="0" w:color="000000"/>
              <w:right w:val="single" w:sz="6" w:space="0" w:color="000000"/>
            </w:tcBorders>
          </w:tcPr>
          <w:p>
            <w:pPr/>
          </w:p>
        </w:tc>
        <w:tc>
          <w:tcPr>
            <w:tcW w:w="1195" w:type="dxa"/>
            <w:tcBorders>
              <w:top w:val="single" w:sz="6" w:space="0" w:color="000000"/>
              <w:left w:val="single" w:sz="6" w:space="0" w:color="000000"/>
              <w:bottom w:val="single" w:sz="12" w:space="0" w:color="000000"/>
              <w:right w:val="single" w:sz="6" w:space="0" w:color="000000"/>
            </w:tcBorders>
          </w:tcPr>
          <w:p>
            <w:pPr/>
          </w:p>
        </w:tc>
        <w:tc>
          <w:tcPr>
            <w:tcW w:w="966" w:type="dxa"/>
            <w:tcBorders>
              <w:top w:val="single" w:sz="6" w:space="0" w:color="000000"/>
              <w:left w:val="single" w:sz="6" w:space="0" w:color="000000"/>
              <w:bottom w:val="single" w:sz="12" w:space="0" w:color="000000"/>
              <w:right w:val="single" w:sz="6" w:space="0" w:color="000000"/>
            </w:tcBorders>
          </w:tcPr>
          <w:p>
            <w:pP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sz w:val="18"/>
              </w:rPr>
              <w:t>31,216,848.00</w:t>
            </w:r>
          </w:p>
        </w:tc>
        <w:tc>
          <w:tcPr>
            <w:tcW w:w="13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61" w:right="0"/>
              <w:jc w:val="left"/>
              <w:rPr>
                <w:rFonts w:ascii="宋体" w:hAnsi="宋体" w:cs="宋体" w:eastAsia="宋体" w:hint="default"/>
                <w:sz w:val="18"/>
                <w:szCs w:val="18"/>
              </w:rPr>
            </w:pPr>
            <w:r>
              <w:rPr>
                <w:rFonts w:ascii="宋体"/>
                <w:sz w:val="18"/>
              </w:rPr>
              <w:t>161,221,848.00</w:t>
            </w:r>
          </w:p>
        </w:tc>
      </w:tr>
    </w:tbl>
    <w:p>
      <w:pPr>
        <w:pStyle w:val="BodyText"/>
        <w:spacing w:line="240" w:lineRule="auto" w:before="63"/>
        <w:ind w:left="154" w:right="0"/>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148" w:firstLine="420"/>
        <w:jc w:val="both"/>
      </w:pP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24</w:t>
      </w:r>
      <w:r>
        <w:rPr>
          <w:spacing w:val="-1"/>
        </w:rPr>
        <w:t>日经中国证券监督管理委员会以证监许可</w:t>
      </w:r>
      <w:r>
        <w:rPr>
          <w:rFonts w:ascii="宋体" w:hAnsi="宋体" w:cs="宋体" w:eastAsia="宋体" w:hint="default"/>
          <w:spacing w:val="-1"/>
        </w:rPr>
        <w:t>[2014]1399</w:t>
      </w:r>
      <w:r>
        <w:rPr>
          <w:spacing w:val="-1"/>
        </w:rPr>
        <w:t>号《关于核准光一科技股份有限公</w:t>
      </w:r>
      <w:r>
        <w:rPr/>
        <w:t> </w:t>
      </w:r>
      <w:r>
        <w:rPr>
          <w:spacing w:val="7"/>
        </w:rPr>
        <w:t>司向任昌兆等发行股份购买资产的批复》核准公司发行</w:t>
      </w:r>
      <w:r>
        <w:rPr>
          <w:rFonts w:ascii="宋体" w:hAnsi="宋体" w:cs="宋体" w:eastAsia="宋体" w:hint="default"/>
          <w:spacing w:val="7"/>
        </w:rPr>
        <w:t>31,216,848</w:t>
      </w:r>
      <w:r>
        <w:rPr>
          <w:spacing w:val="7"/>
        </w:rPr>
        <w:t>股股份购买湖北索瑞电气有限公司</w:t>
      </w:r>
      <w:r>
        <w:rPr>
          <w:spacing w:val="-72"/>
        </w:rPr>
        <w:t> </w:t>
      </w:r>
      <w:r>
        <w:rPr>
          <w:spacing w:val="-72"/>
        </w:rPr>
      </w:r>
      <w:r>
        <w:rPr>
          <w:rFonts w:ascii="宋体" w:hAnsi="宋体" w:cs="宋体" w:eastAsia="宋体" w:hint="default"/>
        </w:rPr>
        <w:t>84.82%</w:t>
      </w:r>
      <w:r>
        <w:rPr/>
        <w:t>股权。每股面值</w:t>
      </w:r>
      <w:r>
        <w:rPr>
          <w:rFonts w:ascii="宋体" w:hAnsi="宋体" w:cs="宋体" w:eastAsia="宋体" w:hint="default"/>
        </w:rPr>
        <w:t>1.00</w:t>
      </w:r>
      <w:r>
        <w:rPr/>
        <w:t>元，每股发行价格为人民币</w:t>
      </w:r>
      <w:r>
        <w:rPr>
          <w:rFonts w:ascii="宋体" w:hAnsi="宋体" w:cs="宋体" w:eastAsia="宋体" w:hint="default"/>
        </w:rPr>
        <w:t>19.17</w:t>
      </w:r>
      <w:r>
        <w:rPr/>
        <w:t>元，合计金额人民币</w:t>
      </w:r>
      <w:r>
        <w:rPr>
          <w:rFonts w:ascii="宋体" w:hAnsi="宋体" w:cs="宋体" w:eastAsia="宋体" w:hint="default"/>
        </w:rPr>
        <w:t>598,426,976.16</w:t>
      </w:r>
      <w:r>
        <w:rPr/>
        <w:t>元。其</w:t>
      </w:r>
      <w:r>
        <w:rPr>
          <w:spacing w:val="-32"/>
        </w:rPr>
        <w:t> </w:t>
      </w:r>
      <w:r>
        <w:rPr/>
        <w:t>中计入股本人民币</w:t>
      </w:r>
      <w:r>
        <w:rPr>
          <w:rFonts w:ascii="宋体" w:hAnsi="宋体" w:cs="宋体" w:eastAsia="宋体" w:hint="default"/>
        </w:rPr>
        <w:t>31,216,848.00</w:t>
      </w:r>
      <w:r>
        <w:rPr/>
        <w:t>元。</w:t>
      </w:r>
    </w:p>
    <w:p>
      <w:pPr>
        <w:pStyle w:val="Heading4"/>
        <w:spacing w:line="240" w:lineRule="auto" w:before="46"/>
        <w:ind w:right="0"/>
        <w:jc w:val="left"/>
        <w:rPr>
          <w:b w:val="0"/>
          <w:bCs w:val="0"/>
        </w:rPr>
      </w:pPr>
      <w:bookmarkStart w:name="54、其他权益工具" w:id="314"/>
      <w:bookmarkEnd w:id="314"/>
      <w:r>
        <w:rPr>
          <w:b w:val="0"/>
          <w:bCs w:val="0"/>
        </w:rPr>
      </w:r>
      <w:r>
        <w:rPr>
          <w:rFonts w:ascii="宋体" w:hAnsi="宋体" w:cs="宋体" w:eastAsia="宋体" w:hint="default"/>
        </w:rPr>
        <w:t>54</w:t>
      </w:r>
      <w:r>
        <w:rPr/>
        <w:t>、其他权益工具</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0"/>
        <w:jc w:val="left"/>
        <w:rPr>
          <w:b w:val="0"/>
          <w:bCs w:val="0"/>
        </w:rPr>
      </w:pPr>
      <w:bookmarkStart w:name="（1）期末发行在外的优先股、永续债等其他金融工具基本情况" w:id="315"/>
      <w:bookmarkEnd w:id="315"/>
      <w:r>
        <w:rPr>
          <w:b w:val="0"/>
          <w:bCs w:val="0"/>
        </w:rPr>
      </w:r>
      <w:r>
        <w:rPr/>
        <w:t>（</w:t>
      </w:r>
      <w:r>
        <w:rPr>
          <w:rFonts w:ascii="宋体" w:hAnsi="宋体" w:cs="宋体" w:eastAsia="宋体"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期末发行在外的优先股、永续债等金融工具变动情况表" w:id="316"/>
      <w:bookmarkEnd w:id="316"/>
      <w:r>
        <w:rPr>
          <w:b w:val="0"/>
          <w:bCs w:val="0"/>
        </w:rPr>
      </w:r>
      <w:r>
        <w:rPr/>
        <w:t>（</w:t>
      </w:r>
      <w:r>
        <w:rPr>
          <w:rFonts w:ascii="宋体" w:hAnsi="宋体" w:cs="宋体" w:eastAsia="宋体" w:hint="default"/>
        </w:rPr>
        <w:t>2</w:t>
      </w:r>
      <w:r>
        <w:rPr/>
        <w:t>）期末发行在外的优先股、永续债等金融工具变动情况表</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53" w:right="0"/>
        <w:jc w:val="left"/>
        <w:rPr>
          <w:b w:val="0"/>
          <w:bCs w:val="0"/>
        </w:rPr>
      </w:pPr>
      <w:bookmarkStart w:name="55、资本公积" w:id="317"/>
      <w:bookmarkEnd w:id="317"/>
      <w:r>
        <w:rPr>
          <w:b w:val="0"/>
          <w:bCs w:val="0"/>
        </w:rPr>
      </w:r>
      <w:r>
        <w:rPr>
          <w:rFonts w:ascii="宋体" w:hAnsi="宋体" w:cs="宋体" w:eastAsia="宋体" w:hint="default"/>
        </w:rPr>
        <w:t>55</w:t>
      </w:r>
      <w:r>
        <w:rPr/>
        <w:t>、资本公积</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896"/>
        <w:gridCol w:w="1927"/>
        <w:gridCol w:w="1914"/>
        <w:gridCol w:w="1914"/>
        <w:gridCol w:w="1913"/>
      </w:tblGrid>
      <w:tr>
        <w:trPr>
          <w:trHeight w:val="413" w:hRule="exact"/>
        </w:trPr>
        <w:tc>
          <w:tcPr>
            <w:tcW w:w="18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363,528,902.61</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555,710,128.16</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919,239,030.77</w:t>
            </w:r>
          </w:p>
        </w:tc>
      </w:tr>
      <w:tr>
        <w:trPr>
          <w:trHeight w:val="408"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361,800.00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7,282,171.69</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7,643,971.69</w:t>
            </w:r>
          </w:p>
        </w:tc>
      </w:tr>
      <w:tr>
        <w:trPr>
          <w:trHeight w:val="415"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363,890,702.61</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562,992,299.85</w:t>
            </w:r>
          </w:p>
        </w:tc>
        <w:tc>
          <w:tcPr>
            <w:tcW w:w="1914"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926,883,002.46</w:t>
            </w:r>
          </w:p>
        </w:tc>
      </w:tr>
    </w:tbl>
    <w:p>
      <w:pPr>
        <w:pStyle w:val="BodyText"/>
        <w:spacing w:line="240" w:lineRule="auto" w:before="63"/>
        <w:ind w:left="574" w:right="0"/>
        <w:jc w:val="left"/>
      </w:pPr>
      <w:r>
        <w:rPr/>
        <w:t>其他说明，包括本期增减变动情况、变动原因说明：</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spacing w:val="-7"/>
        </w:rPr>
        <w:t>（</w:t>
      </w:r>
      <w:r>
        <w:rPr>
          <w:rFonts w:ascii="宋体" w:hAnsi="宋体" w:cs="宋体" w:eastAsia="宋体" w:hint="default"/>
          <w:spacing w:val="-7"/>
        </w:rPr>
        <w:t>1</w:t>
      </w:r>
      <w:r>
        <w:rPr>
          <w:spacing w:val="-7"/>
        </w:rPr>
        <w:t>）公司于</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24</w:t>
      </w:r>
      <w:r>
        <w:rPr>
          <w:rFonts w:ascii="宋体" w:hAnsi="宋体" w:cs="宋体" w:eastAsia="宋体" w:hint="default"/>
          <w:spacing w:val="-52"/>
        </w:rPr>
        <w:t> </w:t>
      </w:r>
      <w:r>
        <w:rPr/>
        <w:t>日获得中国证券监督管理委员会以证监许可</w:t>
      </w:r>
      <w:r>
        <w:rPr>
          <w:rFonts w:ascii="宋体" w:hAnsi="宋体" w:cs="宋体" w:eastAsia="宋体" w:hint="default"/>
        </w:rPr>
        <w:t>[2014]1399</w:t>
      </w:r>
      <w:r>
        <w:rPr>
          <w:rFonts w:ascii="宋体" w:hAnsi="宋体" w:cs="宋体" w:eastAsia="宋体" w:hint="default"/>
          <w:spacing w:val="-53"/>
        </w:rPr>
        <w:t> </w:t>
      </w:r>
      <w:r>
        <w:rPr>
          <w:spacing w:val="-6"/>
        </w:rPr>
        <w:t>号《关于核准光</w:t>
      </w:r>
    </w:p>
    <w:p>
      <w:pPr>
        <w:spacing w:line="240" w:lineRule="auto" w:before="10"/>
        <w:rPr>
          <w:rFonts w:ascii="宋体" w:hAnsi="宋体" w:cs="宋体" w:eastAsia="宋体" w:hint="default"/>
          <w:sz w:val="14"/>
          <w:szCs w:val="14"/>
        </w:rPr>
      </w:pPr>
    </w:p>
    <w:p>
      <w:pPr>
        <w:pStyle w:val="BodyText"/>
        <w:spacing w:line="240" w:lineRule="auto" w:before="0"/>
        <w:ind w:left="154" w:right="0"/>
        <w:jc w:val="left"/>
      </w:pPr>
      <w:r>
        <w:rPr/>
        <w:t>一科技股份有限公司向任昌兆等发行股份购买资产的批复》文件，核准公司发行 </w:t>
      </w:r>
      <w:r>
        <w:rPr>
          <w:rFonts w:ascii="宋体" w:hAnsi="宋体" w:cs="宋体" w:eastAsia="宋体" w:hint="default"/>
        </w:rPr>
        <w:t>31,216,848</w:t>
      </w:r>
      <w:r>
        <w:rPr>
          <w:rFonts w:ascii="宋体" w:hAnsi="宋体" w:cs="宋体" w:eastAsia="宋体" w:hint="default"/>
          <w:spacing w:val="-23"/>
        </w:rPr>
        <w:t> </w:t>
      </w:r>
      <w:r>
        <w:rPr/>
        <w:t>股股份购买</w:t>
      </w:r>
    </w:p>
    <w:p>
      <w:pPr>
        <w:spacing w:line="240" w:lineRule="auto" w:before="10"/>
        <w:rPr>
          <w:rFonts w:ascii="宋体" w:hAnsi="宋体" w:cs="宋体" w:eastAsia="宋体" w:hint="default"/>
          <w:sz w:val="14"/>
          <w:szCs w:val="14"/>
        </w:rPr>
      </w:pPr>
    </w:p>
    <w:p>
      <w:pPr>
        <w:pStyle w:val="BodyText"/>
        <w:spacing w:line="240" w:lineRule="auto" w:before="0"/>
        <w:ind w:left="154" w:right="0"/>
        <w:jc w:val="left"/>
      </w:pPr>
      <w:r>
        <w:rPr/>
        <w:t>湖北索瑞电气有限公司</w:t>
      </w:r>
      <w:r>
        <w:rPr>
          <w:spacing w:val="-47"/>
        </w:rPr>
        <w:t> </w:t>
      </w:r>
      <w:r>
        <w:rPr>
          <w:rFonts w:ascii="宋体" w:hAnsi="宋体" w:cs="宋体" w:eastAsia="宋体" w:hint="default"/>
        </w:rPr>
        <w:t>84.82%</w:t>
      </w:r>
      <w:r>
        <w:rPr/>
        <w:t>股权。每股面值</w:t>
      </w:r>
      <w:r>
        <w:rPr>
          <w:spacing w:val="-47"/>
        </w:rPr>
        <w:t> </w:t>
      </w:r>
      <w:r>
        <w:rPr>
          <w:rFonts w:ascii="宋体" w:hAnsi="宋体" w:cs="宋体" w:eastAsia="宋体" w:hint="default"/>
        </w:rPr>
        <w:t>1.00</w:t>
      </w:r>
      <w:r>
        <w:rPr>
          <w:rFonts w:ascii="宋体" w:hAnsi="宋体" w:cs="宋体" w:eastAsia="宋体" w:hint="default"/>
          <w:spacing w:val="-48"/>
        </w:rPr>
        <w:t> </w:t>
      </w:r>
      <w:r>
        <w:rPr/>
        <w:t>元，每股发行价格为人民币</w:t>
      </w:r>
      <w:r>
        <w:rPr>
          <w:spacing w:val="-47"/>
        </w:rPr>
        <w:t> </w:t>
      </w:r>
      <w:r>
        <w:rPr>
          <w:rFonts w:ascii="宋体" w:hAnsi="宋体" w:cs="宋体" w:eastAsia="宋体" w:hint="default"/>
        </w:rPr>
        <w:t>19.17</w:t>
      </w:r>
      <w:r>
        <w:rPr>
          <w:rFonts w:ascii="宋体" w:hAnsi="宋体" w:cs="宋体" w:eastAsia="宋体" w:hint="default"/>
          <w:spacing w:val="-48"/>
        </w:rPr>
        <w:t> </w:t>
      </w:r>
      <w:r>
        <w:rPr/>
        <w:t>元，合计金额人民</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币 </w:t>
      </w:r>
      <w:r>
        <w:rPr>
          <w:rFonts w:ascii="宋体" w:hAnsi="宋体" w:cs="宋体" w:eastAsia="宋体" w:hint="default"/>
        </w:rPr>
        <w:t>598,426,976.16 </w:t>
      </w:r>
      <w:r>
        <w:rPr/>
        <w:t>元。其中计入股本人民币 </w:t>
      </w:r>
      <w:r>
        <w:rPr>
          <w:rFonts w:ascii="宋体" w:hAnsi="宋体" w:cs="宋体" w:eastAsia="宋体" w:hint="default"/>
        </w:rPr>
        <w:t>31,216,848.00</w:t>
      </w:r>
      <w:r>
        <w:rPr>
          <w:rFonts w:ascii="宋体" w:hAnsi="宋体" w:cs="宋体" w:eastAsia="宋体" w:hint="default"/>
          <w:spacing w:val="37"/>
        </w:rPr>
        <w:t> </w:t>
      </w:r>
      <w:r>
        <w:rPr>
          <w:spacing w:val="2"/>
        </w:rPr>
        <w:t>元。余下部分扣除承销费用与验资费用后</w:t>
      </w:r>
      <w:r>
        <w:rPr/>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555,710,128.16</w:t>
      </w:r>
      <w:r>
        <w:rPr>
          <w:rFonts w:ascii="宋体" w:hAnsi="宋体" w:cs="宋体" w:eastAsia="宋体" w:hint="default"/>
          <w:spacing w:val="-54"/>
        </w:rPr>
        <w:t> </w:t>
      </w:r>
      <w:r>
        <w:rPr/>
        <w:t>元计入资本公积。</w:t>
      </w:r>
    </w:p>
    <w:p>
      <w:pPr>
        <w:spacing w:line="240" w:lineRule="auto" w:before="10"/>
        <w:rPr>
          <w:rFonts w:ascii="宋体" w:hAnsi="宋体" w:cs="宋体" w:eastAsia="宋体" w:hint="default"/>
          <w:sz w:val="14"/>
          <w:szCs w:val="14"/>
        </w:rPr>
      </w:pPr>
    </w:p>
    <w:p>
      <w:pPr>
        <w:pStyle w:val="BodyText"/>
        <w:spacing w:line="408" w:lineRule="auto" w:before="0"/>
        <w:ind w:right="134" w:firstLine="420"/>
        <w:jc w:val="left"/>
        <w:rPr>
          <w:rFonts w:ascii="宋体" w:hAnsi="宋体" w:cs="宋体" w:eastAsia="宋体" w:hint="default"/>
        </w:rPr>
      </w:pPr>
      <w:r>
        <w:rPr/>
        <w:t>（</w:t>
      </w:r>
      <w:r>
        <w:rPr>
          <w:rFonts w:ascii="宋体" w:hAnsi="宋体" w:cs="宋体" w:eastAsia="宋体" w:hint="default"/>
        </w:rPr>
        <w:t>2</w:t>
      </w:r>
      <w:r>
        <w:rPr/>
        <w:t>）公司于</w:t>
      </w:r>
      <w:r>
        <w:rPr>
          <w:spacing w:val="-59"/>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28</w:t>
      </w:r>
      <w:r>
        <w:rPr>
          <w:rFonts w:ascii="宋体" w:hAnsi="宋体" w:cs="宋体" w:eastAsia="宋体" w:hint="default"/>
          <w:spacing w:val="-57"/>
        </w:rPr>
        <w:t> </w:t>
      </w:r>
      <w:r>
        <w:rPr/>
        <w:t>日与江苏光一投资管理有限责任公司签订《南京宇能仪表有限公司股权 转让协议》，约定江苏光一投资管理有限责任公司受让光一科技持有南京宇能仪表有限公司</w:t>
      </w:r>
      <w:r>
        <w:rPr>
          <w:spacing w:val="-21"/>
        </w:rPr>
        <w:t> </w:t>
      </w:r>
      <w:r>
        <w:rPr>
          <w:rFonts w:ascii="宋体" w:hAnsi="宋体" w:cs="宋体" w:eastAsia="宋体" w:hint="default"/>
        </w:rPr>
        <w:t>55%</w:t>
      </w:r>
      <w:r>
        <w:rPr/>
        <w:t>股权时， 转让股权的价款按照原始出资的价格作为本次股权交易对价，转让产生的收益计入公司资本公积。 </w:t>
      </w:r>
      <w:bookmarkStart w:name="56、库存股" w:id="318"/>
      <w:bookmarkEnd w:id="318"/>
      <w:r>
        <w:rPr/>
      </w:r>
      <w:r>
        <w:rPr>
          <w:rFonts w:ascii="宋体" w:hAnsi="宋体" w:cs="宋体" w:eastAsia="宋体" w:hint="default"/>
          <w:b/>
          <w:bCs/>
        </w:rPr>
        <w:t>56</w:t>
      </w:r>
      <w:r>
        <w:rPr>
          <w:rFonts w:ascii="宋体" w:hAnsi="宋体" w:cs="宋体" w:eastAsia="宋体" w:hint="default"/>
          <w:b/>
          <w:bCs/>
        </w:rPr>
        <w:t>、库存股</w:t>
      </w:r>
      <w:r>
        <w:rPr>
          <w:rFonts w:ascii="宋体" w:hAnsi="宋体" w:cs="宋体" w:eastAsia="宋体" w:hint="default"/>
        </w:rPr>
      </w:r>
    </w:p>
    <w:p>
      <w:pPr>
        <w:spacing w:line="408" w:lineRule="auto" w:before="46"/>
        <w:ind w:left="15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7、其他综合收益" w:id="319"/>
      <w:bookmarkEnd w:id="319"/>
      <w:r>
        <w:rPr>
          <w:rFonts w:ascii="宋体" w:hAnsi="宋体" w:cs="宋体" w:eastAsia="宋体" w:hint="default"/>
          <w:sz w:val="21"/>
          <w:szCs w:val="21"/>
        </w:rPr>
      </w:r>
      <w:r>
        <w:rPr>
          <w:rFonts w:ascii="宋体" w:hAnsi="宋体" w:cs="宋体" w:eastAsia="宋体"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408" w:lineRule="auto" w:before="46"/>
        <w:ind w:left="15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8、专项储备" w:id="320"/>
      <w:bookmarkEnd w:id="320"/>
      <w:r>
        <w:rPr>
          <w:rFonts w:ascii="宋体" w:hAnsi="宋体" w:cs="宋体" w:eastAsia="宋体" w:hint="default"/>
          <w:sz w:val="21"/>
          <w:szCs w:val="21"/>
        </w:rPr>
      </w:r>
      <w:r>
        <w:rPr>
          <w:rFonts w:ascii="宋体" w:hAnsi="宋体" w:cs="宋体" w:eastAsia="宋体"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408" w:lineRule="auto" w:before="46"/>
        <w:ind w:left="15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9、盈余公积" w:id="321"/>
      <w:bookmarkEnd w:id="321"/>
      <w:r>
        <w:rPr>
          <w:rFonts w:ascii="宋体" w:hAnsi="宋体" w:cs="宋体" w:eastAsia="宋体" w:hint="default"/>
          <w:sz w:val="21"/>
          <w:szCs w:val="21"/>
        </w:rPr>
      </w:r>
      <w:r>
        <w:rPr>
          <w:rFonts w:ascii="宋体" w:hAnsi="宋体" w:cs="宋体" w:eastAsia="宋体" w:hint="default"/>
          <w:b/>
          <w:bCs/>
          <w:sz w:val="21"/>
          <w:szCs w:val="21"/>
        </w:rPr>
        <w:t>59</w:t>
      </w:r>
      <w:r>
        <w:rPr>
          <w:rFonts w:ascii="宋体" w:hAnsi="宋体" w:cs="宋体" w:eastAsia="宋体" w:hint="default"/>
          <w:b/>
          <w:bCs/>
          <w:sz w:val="21"/>
          <w:szCs w:val="21"/>
        </w:rPr>
        <w:t>、盈余公积</w:t>
      </w:r>
      <w:r>
        <w:rPr>
          <w:rFonts w:ascii="宋体" w:hAnsi="宋体" w:cs="宋体" w:eastAsia="宋体" w:hint="default"/>
          <w:sz w:val="21"/>
          <w:szCs w:val="21"/>
        </w:rPr>
      </w:r>
    </w:p>
    <w:p>
      <w:pPr>
        <w:spacing w:before="3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896"/>
        <w:gridCol w:w="1927"/>
        <w:gridCol w:w="1914"/>
        <w:gridCol w:w="1914"/>
        <w:gridCol w:w="1913"/>
      </w:tblGrid>
      <w:tr>
        <w:trPr>
          <w:trHeight w:val="415" w:hRule="exact"/>
        </w:trPr>
        <w:tc>
          <w:tcPr>
            <w:tcW w:w="189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89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17,728,817.66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2,694,609.04</w:t>
            </w:r>
          </w:p>
        </w:tc>
        <w:tc>
          <w:tcPr>
            <w:tcW w:w="1914"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20,423,426.70</w:t>
            </w:r>
          </w:p>
        </w:tc>
      </w:tr>
      <w:tr>
        <w:trPr>
          <w:trHeight w:val="415" w:hRule="exact"/>
        </w:trPr>
        <w:tc>
          <w:tcPr>
            <w:tcW w:w="189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17,728,817.66</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2,694,609.04</w:t>
            </w:r>
          </w:p>
        </w:tc>
        <w:tc>
          <w:tcPr>
            <w:tcW w:w="1914"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20,423,426.70</w:t>
            </w:r>
          </w:p>
        </w:tc>
      </w:tr>
    </w:tbl>
    <w:p>
      <w:pPr>
        <w:pStyle w:val="Heading4"/>
        <w:spacing w:line="240" w:lineRule="auto" w:before="63"/>
        <w:ind w:right="0"/>
        <w:jc w:val="left"/>
        <w:rPr>
          <w:b w:val="0"/>
          <w:bCs w:val="0"/>
        </w:rPr>
      </w:pPr>
      <w:bookmarkStart w:name="60、未分配利润" w:id="322"/>
      <w:bookmarkEnd w:id="322"/>
      <w:r>
        <w:rPr>
          <w:b w:val="0"/>
          <w:bCs w:val="0"/>
        </w:rPr>
      </w:r>
      <w:r>
        <w:rPr>
          <w:rFonts w:ascii="宋体" w:hAnsi="宋体" w:cs="宋体" w:eastAsia="宋体" w:hint="default"/>
        </w:rPr>
        <w:t>60</w:t>
      </w:r>
      <w:r>
        <w:rPr/>
        <w:t>、未分配利润</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709"/>
        <w:gridCol w:w="2935"/>
        <w:gridCol w:w="2918"/>
      </w:tblGrid>
      <w:tr>
        <w:trPr>
          <w:trHeight w:val="416" w:hRule="exact"/>
        </w:trPr>
        <w:tc>
          <w:tcPr>
            <w:tcW w:w="370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7" w:hRule="exact"/>
        </w:trPr>
        <w:tc>
          <w:tcPr>
            <w:tcW w:w="370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5"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167,389,661.85</w:t>
            </w: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148,560,835.31</w:t>
            </w:r>
          </w:p>
        </w:tc>
      </w:tr>
      <w:tr>
        <w:trPr>
          <w:trHeight w:val="414" w:hRule="exact"/>
        </w:trPr>
        <w:tc>
          <w:tcPr>
            <w:tcW w:w="370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5"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167,389,661.85</w:t>
            </w:r>
          </w:p>
        </w:tc>
        <w:tc>
          <w:tcPr>
            <w:tcW w:w="29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148,560,835.31</w:t>
            </w:r>
          </w:p>
        </w:tc>
      </w:tr>
    </w:tbl>
    <w:p>
      <w:pPr>
        <w:spacing w:after="0" w:line="240" w:lineRule="auto"/>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716"/>
        <w:gridCol w:w="2935"/>
        <w:gridCol w:w="2918"/>
      </w:tblGrid>
      <w:tr>
        <w:trPr>
          <w:trHeight w:val="415" w:hRule="exact"/>
        </w:trPr>
        <w:tc>
          <w:tcPr>
            <w:tcW w:w="3716"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5" w:type="dxa"/>
            <w:tcBorders>
              <w:top w:val="single" w:sz="12" w:space="0" w:color="000000"/>
              <w:left w:val="single" w:sz="8"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35,930,952.54</w:t>
            </w:r>
          </w:p>
        </w:tc>
        <w:tc>
          <w:tcPr>
            <w:tcW w:w="291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47,336,805.85</w:t>
            </w:r>
          </w:p>
        </w:tc>
      </w:tr>
      <w:tr>
        <w:trPr>
          <w:trHeight w:val="407" w:hRule="exact"/>
        </w:trPr>
        <w:tc>
          <w:tcPr>
            <w:tcW w:w="37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5"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2,694,609.04</w:t>
            </w: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2,506,979.31</w:t>
            </w:r>
          </w:p>
        </w:tc>
      </w:tr>
      <w:tr>
        <w:trPr>
          <w:trHeight w:val="407" w:hRule="exact"/>
        </w:trPr>
        <w:tc>
          <w:tcPr>
            <w:tcW w:w="371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5"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13,000,500.00</w:t>
            </w: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26,001,000.00</w:t>
            </w:r>
          </w:p>
        </w:tc>
      </w:tr>
      <w:tr>
        <w:trPr>
          <w:trHeight w:val="414" w:hRule="exact"/>
        </w:trPr>
        <w:tc>
          <w:tcPr>
            <w:tcW w:w="371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5"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187,625,505.35</w:t>
            </w:r>
          </w:p>
        </w:tc>
        <w:tc>
          <w:tcPr>
            <w:tcW w:w="29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167,389,661.85</w:t>
            </w:r>
          </w:p>
        </w:tc>
      </w:tr>
    </w:tbl>
    <w:p>
      <w:pPr>
        <w:pStyle w:val="BodyText"/>
        <w:spacing w:line="408" w:lineRule="auto" w:before="63"/>
        <w:ind w:left="154" w:right="1478"/>
        <w:jc w:val="left"/>
      </w:pPr>
      <w:r>
        <w:rPr/>
        <w:t>调整期初未分配利润明细： </w:t>
      </w:r>
      <w:r>
        <w:rPr>
          <w:rFonts w:ascii="宋体" w:hAnsi="宋体" w:cs="宋体" w:eastAsia="宋体" w:hint="default"/>
        </w:rPr>
        <w:t>1)</w:t>
      </w:r>
      <w:r>
        <w:rPr/>
        <w:t>、由于《企业会计准则》及其相关新规定进行追溯调整，影响期初未分配利润</w:t>
      </w:r>
      <w:r>
        <w:rPr>
          <w:spacing w:val="-52"/>
        </w:rPr>
        <w:t> </w:t>
      </w:r>
      <w:r>
        <w:rPr>
          <w:rFonts w:ascii="宋体" w:hAnsi="宋体" w:cs="宋体" w:eastAsia="宋体" w:hint="default"/>
        </w:rPr>
        <w:t>0.00</w:t>
      </w:r>
      <w:r>
        <w:rPr>
          <w:rFonts w:ascii="宋体" w:hAnsi="宋体" w:cs="宋体" w:eastAsia="宋体" w:hint="default"/>
          <w:spacing w:val="-54"/>
        </w:rPr>
        <w:t> </w:t>
      </w:r>
      <w:r>
        <w:rPr/>
        <w:t>元。</w:t>
      </w:r>
    </w:p>
    <w:p>
      <w:pPr>
        <w:pStyle w:val="BodyText"/>
        <w:spacing w:line="240" w:lineRule="auto"/>
        <w:ind w:right="0"/>
        <w:jc w:val="left"/>
      </w:pPr>
      <w:r>
        <w:rPr>
          <w:rFonts w:ascii="宋体" w:hAnsi="宋体" w:cs="宋体" w:eastAsia="宋体" w:hint="default"/>
        </w:rPr>
        <w:t>2)</w:t>
      </w:r>
      <w:r>
        <w:rPr/>
        <w:t>、由于会计政策变更，影响期初未分配利润</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3)</w:t>
      </w:r>
      <w:r>
        <w:rPr/>
        <w:t>、由于重大会计差错更正，影响期初未分配利润</w:t>
      </w:r>
      <w:r>
        <w:rPr>
          <w:spacing w:val="-55"/>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4)</w:t>
      </w:r>
      <w:r>
        <w:rPr/>
        <w:t>、由于同一控制导致的合并范围变更，影响期初未分配利润</w:t>
      </w:r>
      <w:r>
        <w:rPr>
          <w:spacing w:val="-55"/>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5)</w:t>
      </w:r>
      <w:r>
        <w:rPr/>
        <w:t>、其他调整合计影响期初未分配利润</w:t>
      </w:r>
      <w:r>
        <w:rPr>
          <w:spacing w:val="-55"/>
        </w:rPr>
        <w:t> </w:t>
      </w:r>
      <w:r>
        <w:rPr>
          <w:rFonts w:ascii="宋体" w:hAnsi="宋体" w:cs="宋体" w:eastAsia="宋体" w:hint="default"/>
        </w:rPr>
        <w:t>0.00</w:t>
      </w:r>
      <w:r>
        <w:rPr>
          <w:rFonts w:ascii="宋体" w:hAnsi="宋体" w:cs="宋体" w:eastAsia="宋体" w:hint="default"/>
          <w:spacing w:val="-55"/>
        </w:rPr>
        <w:t> </w:t>
      </w:r>
      <w:r>
        <w:rPr/>
        <w:t>元。</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61、营业收入和营业成本" w:id="323"/>
      <w:bookmarkEnd w:id="323"/>
      <w:r>
        <w:rPr>
          <w:b w:val="0"/>
          <w:bCs w:val="0"/>
        </w:rPr>
      </w:r>
      <w:r>
        <w:rPr>
          <w:rFonts w:ascii="宋体" w:hAnsi="宋体" w:cs="宋体" w:eastAsia="宋体" w:hint="default"/>
        </w:rPr>
        <w:t>61</w:t>
      </w:r>
      <w:r>
        <w:rPr/>
        <w:t>、营业收入和营业成本</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13"/>
        <w:gridCol w:w="1917"/>
        <w:gridCol w:w="1914"/>
        <w:gridCol w:w="1914"/>
        <w:gridCol w:w="1913"/>
      </w:tblGrid>
      <w:tr>
        <w:trPr>
          <w:trHeight w:val="218" w:hRule="exact"/>
        </w:trPr>
        <w:tc>
          <w:tcPr>
            <w:tcW w:w="1913"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831"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6" w:space="0" w:color="000000"/>
              <w:bottom w:val="single" w:sz="6" w:space="0" w:color="000000"/>
              <w:right w:val="single" w:sz="6" w:space="0" w:color="000000"/>
            </w:tcBorders>
            <w:shd w:val="clear" w:color="auto" w:fill="D2D2D2"/>
          </w:tcPr>
          <w:p>
            <w:pPr/>
          </w:p>
        </w:tc>
        <w:tc>
          <w:tcPr>
            <w:tcW w:w="3828" w:type="dxa"/>
            <w:gridSpan w:val="2"/>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1913" w:type="dxa"/>
            <w:vMerge/>
            <w:tcBorders>
              <w:left w:val="single" w:sz="12" w:space="0" w:color="000000"/>
              <w:bottom w:val="nil" w:sz="6" w:space="0" w:color="auto"/>
              <w:right w:val="single" w:sz="6" w:space="0" w:color="000000"/>
            </w:tcBorders>
            <w:shd w:val="clear" w:color="auto" w:fill="D2D2D2"/>
          </w:tcPr>
          <w:p>
            <w:pPr/>
          </w:p>
        </w:tc>
        <w:tc>
          <w:tcPr>
            <w:tcW w:w="191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1" w:hRule="exact"/>
        </w:trPr>
        <w:tc>
          <w:tcPr>
            <w:tcW w:w="1913" w:type="dxa"/>
            <w:tcBorders>
              <w:top w:val="nil" w:sz="6" w:space="0" w:color="auto"/>
              <w:left w:val="single" w:sz="12" w:space="0" w:color="000000"/>
              <w:bottom w:val="single" w:sz="6" w:space="0" w:color="000000"/>
              <w:right w:val="single" w:sz="6" w:space="0" w:color="000000"/>
            </w:tcBorders>
            <w:shd w:val="clear" w:color="auto" w:fill="D2D2D2"/>
          </w:tcPr>
          <w:p>
            <w:pPr/>
          </w:p>
        </w:tc>
        <w:tc>
          <w:tcPr>
            <w:tcW w:w="1917"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4"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341,801,185.22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230,728,698.66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323,154,386.50</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213,712,760.61</w:t>
            </w:r>
          </w:p>
        </w:tc>
      </w:tr>
      <w:tr>
        <w:trPr>
          <w:trHeight w:val="407" w:hRule="exact"/>
        </w:trPr>
        <w:tc>
          <w:tcPr>
            <w:tcW w:w="19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1,545,710.75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1,113,369.06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285,941.88</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267,748.26</w:t>
            </w:r>
          </w:p>
        </w:tc>
      </w:tr>
      <w:tr>
        <w:trPr>
          <w:trHeight w:val="415" w:hRule="exact"/>
        </w:trPr>
        <w:tc>
          <w:tcPr>
            <w:tcW w:w="19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343,346,895.97</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231,842,067.72</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323,440,328.38</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213,980,508.87</w:t>
            </w:r>
          </w:p>
        </w:tc>
      </w:tr>
    </w:tbl>
    <w:p>
      <w:pPr>
        <w:spacing w:line="240" w:lineRule="auto" w:before="1"/>
        <w:rPr>
          <w:rFonts w:ascii="宋体" w:hAnsi="宋体" w:cs="宋体" w:eastAsia="宋体" w:hint="default"/>
          <w:sz w:val="14"/>
          <w:szCs w:val="14"/>
        </w:rPr>
      </w:pPr>
    </w:p>
    <w:p>
      <w:pPr>
        <w:pStyle w:val="Heading4"/>
        <w:spacing w:line="240" w:lineRule="auto" w:before="35"/>
        <w:ind w:right="0"/>
        <w:jc w:val="left"/>
        <w:rPr>
          <w:b w:val="0"/>
          <w:bCs w:val="0"/>
        </w:rPr>
      </w:pPr>
      <w:bookmarkStart w:name="62、营业税金及附加" w:id="324"/>
      <w:bookmarkEnd w:id="324"/>
      <w:r>
        <w:rPr>
          <w:b w:val="0"/>
          <w:bCs w:val="0"/>
        </w:rPr>
      </w:r>
      <w:r>
        <w:rPr>
          <w:rFonts w:ascii="宋体" w:hAnsi="宋体" w:cs="宋体" w:eastAsia="宋体" w:hint="default"/>
        </w:rPr>
        <w:t>62</w:t>
      </w:r>
      <w:r>
        <w:rPr/>
        <w:t>、营业税金及附加</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71"/>
        <w:gridCol w:w="3204"/>
        <w:gridCol w:w="3188"/>
      </w:tblGrid>
      <w:tr>
        <w:trPr>
          <w:trHeight w:val="413"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1,504,415.69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1,388,170.55</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950,419.91</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1,307,263.12</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680,782.85</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940,242.31</w:t>
            </w: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3,135,618.45</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3,635,675.98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3、销售费用" w:id="325"/>
      <w:bookmarkEnd w:id="325"/>
      <w:r>
        <w:rPr>
          <w:b w:val="0"/>
          <w:bCs w:val="0"/>
        </w:rPr>
      </w:r>
      <w:r>
        <w:rPr>
          <w:rFonts w:ascii="宋体" w:hAnsi="宋体" w:cs="宋体" w:eastAsia="宋体" w:hint="default"/>
        </w:rPr>
        <w:t>63</w:t>
      </w:r>
      <w:r>
        <w:rPr/>
        <w:t>、销售费用</w:t>
      </w:r>
      <w:r>
        <w:rPr>
          <w:b w:val="0"/>
          <w:bCs w:val="0"/>
        </w:rPr>
      </w:r>
    </w:p>
    <w:p>
      <w:pPr>
        <w:spacing w:line="240" w:lineRule="auto" w:before="4"/>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415"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2,309,213.60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1,693,213.38</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61,441.40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57,466.00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179,073.96</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215,244.95</w:t>
            </w: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41,827.91</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29,753.43</w:t>
            </w:r>
          </w:p>
        </w:tc>
      </w:tr>
    </w:tbl>
    <w:p>
      <w:pPr>
        <w:spacing w:after="0" w:line="240" w:lineRule="auto"/>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415" w:hRule="exact"/>
        </w:trPr>
        <w:tc>
          <w:tcPr>
            <w:tcW w:w="319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1,964,527.63</w:t>
            </w:r>
          </w:p>
        </w:tc>
        <w:tc>
          <w:tcPr>
            <w:tcW w:w="318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1,816,741.97</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228,883.81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128,437.49</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1,513,240.18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822,218.46</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零星耗材</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7,630.31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217,788.69</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823,137.71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972,386.13</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3,378,105.41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1,625,018.50</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咨询、中标服务费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4,234,348.05</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8,279,925.74</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978,304.04</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346,270.94</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房租物业水电</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1,346,039.47</w:t>
            </w:r>
          </w:p>
        </w:tc>
        <w:tc>
          <w:tcPr>
            <w:tcW w:w="3189"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17,065,773.48</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16,204,465.68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4、管理费用" w:id="326"/>
      <w:bookmarkEnd w:id="326"/>
      <w:r>
        <w:rPr>
          <w:b w:val="0"/>
          <w:bCs w:val="0"/>
        </w:rPr>
      </w:r>
      <w:r>
        <w:rPr>
          <w:rFonts w:ascii="宋体" w:hAnsi="宋体" w:cs="宋体" w:eastAsia="宋体" w:hint="default"/>
        </w:rPr>
        <w:t>64</w:t>
      </w:r>
      <w:r>
        <w:rPr/>
        <w:t>、管理费用</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413"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9,339,673.64</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6,538,907.54</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3,126,901.00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2,371,731.73</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714,697.06</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814,334.45</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452,204.82</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248,935.98</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1,607,167.10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851,487.34</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1,399,752.41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1,395,153.43</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1,848,142.35</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1,051,978.20</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5,450,458.38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5,359,086.01</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1,641,678.50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1,259,045.12</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1,911,598.93</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1,111,007.98</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540,419.00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315,879.00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房租物业水电</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3,064,933.00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760,034.43</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3,131,264.53</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1,784,409.42</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25,519,458.27</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21,525,210.30</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董事会会费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168,577.00</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162,811.13</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2,263,955.18</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1,469,921.95</w:t>
            </w: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62,180,881.17</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47,019,934.01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5、财务费用" w:id="327"/>
      <w:bookmarkEnd w:id="327"/>
      <w:r>
        <w:rPr>
          <w:b w:val="0"/>
          <w:bCs w:val="0"/>
        </w:rPr>
      </w:r>
      <w:r>
        <w:rPr>
          <w:rFonts w:ascii="宋体" w:hAnsi="宋体" w:cs="宋体" w:eastAsia="宋体" w:hint="default"/>
        </w:rPr>
        <w:t>65</w:t>
      </w:r>
      <w:r>
        <w:rPr/>
        <w:t>、财务费用</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191"/>
        <w:gridCol w:w="3190"/>
        <w:gridCol w:w="3189"/>
      </w:tblGrid>
      <w:tr>
        <w:trPr>
          <w:trHeight w:val="415" w:hRule="exact"/>
        </w:trPr>
        <w:tc>
          <w:tcPr>
            <w:tcW w:w="319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7,088,083.11</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533,622.26</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利息收入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7,213,743.82</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9,932,714.11</w:t>
            </w: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6" w:space="0" w:color="000000"/>
              <w:left w:val="single" w:sz="6" w:space="0" w:color="000000"/>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汇兑收益</w:t>
            </w:r>
          </w:p>
        </w:tc>
        <w:tc>
          <w:tcPr>
            <w:tcW w:w="3190" w:type="dxa"/>
            <w:tcBorders>
              <w:top w:val="single" w:sz="6" w:space="0" w:color="000000"/>
              <w:left w:val="single" w:sz="6" w:space="0" w:color="000000"/>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250,146.34</w:t>
            </w:r>
          </w:p>
        </w:tc>
        <w:tc>
          <w:tcPr>
            <w:tcW w:w="31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165,003.05</w:t>
            </w:r>
          </w:p>
        </w:tc>
      </w:tr>
      <w:tr>
        <w:trPr>
          <w:trHeight w:val="408" w:hRule="exact"/>
        </w:trPr>
        <w:tc>
          <w:tcPr>
            <w:tcW w:w="31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6" w:space="0" w:color="000000"/>
              <w:left w:val="single" w:sz="6" w:space="0" w:color="000000"/>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9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124,485.63</w:t>
            </w:r>
          </w:p>
        </w:tc>
        <w:tc>
          <w:tcPr>
            <w:tcW w:w="31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-9,234,088.80</w:t>
            </w:r>
          </w:p>
        </w:tc>
      </w:tr>
    </w:tbl>
    <w:p>
      <w:pPr>
        <w:pStyle w:val="BodyText"/>
        <w:spacing w:line="240" w:lineRule="auto" w:before="63"/>
        <w:ind w:left="154" w:right="0"/>
        <w:jc w:val="left"/>
      </w:pPr>
      <w:r>
        <w:rPr/>
        <w:t>其他说明：</w:t>
      </w:r>
    </w:p>
    <w:p>
      <w:pPr>
        <w:spacing w:line="240" w:lineRule="auto" w:before="10"/>
        <w:rPr>
          <w:rFonts w:ascii="宋体" w:hAnsi="宋体" w:cs="宋体" w:eastAsia="宋体" w:hint="default"/>
          <w:sz w:val="14"/>
          <w:szCs w:val="14"/>
        </w:rPr>
      </w:pPr>
    </w:p>
    <w:p>
      <w:pPr>
        <w:pStyle w:val="BodyText"/>
        <w:spacing w:line="604" w:lineRule="auto" w:before="0"/>
        <w:ind w:left="154" w:right="429"/>
        <w:jc w:val="left"/>
        <w:rPr>
          <w:rFonts w:ascii="宋体" w:hAnsi="宋体" w:cs="宋体" w:eastAsia="宋体" w:hint="default"/>
        </w:rPr>
      </w:pPr>
      <w:r>
        <w:rPr/>
        <w:t>财务费用本期比上期增加</w:t>
      </w:r>
      <w:r>
        <w:rPr>
          <w:spacing w:val="-53"/>
        </w:rPr>
        <w:t> </w:t>
      </w:r>
      <w:r>
        <w:rPr>
          <w:rFonts w:ascii="宋体" w:hAnsi="宋体" w:cs="宋体" w:eastAsia="宋体" w:hint="default"/>
        </w:rPr>
        <w:t>9,358,574.43</w:t>
      </w:r>
      <w:r>
        <w:rPr>
          <w:rFonts w:ascii="宋体" w:hAnsi="宋体" w:cs="宋体" w:eastAsia="宋体" w:hint="default"/>
          <w:spacing w:val="-54"/>
        </w:rPr>
        <w:t> </w:t>
      </w:r>
      <w:r>
        <w:rPr/>
        <w:t>元，主要原因为募集资金持续使用利息收入，贷款增加所致。 </w:t>
      </w:r>
      <w:bookmarkStart w:name="66、资产减值损失" w:id="328"/>
      <w:bookmarkEnd w:id="328"/>
      <w:r>
        <w:rPr/>
      </w:r>
      <w:r>
        <w:rPr>
          <w:rFonts w:ascii="宋体" w:hAnsi="宋体" w:cs="宋体" w:eastAsia="宋体" w:hint="default"/>
          <w:b/>
          <w:bCs/>
        </w:rPr>
        <w:t>66</w:t>
      </w:r>
      <w:r>
        <w:rPr>
          <w:rFonts w:ascii="宋体" w:hAnsi="宋体" w:cs="宋体" w:eastAsia="宋体" w:hint="default"/>
          <w:b/>
          <w:bCs/>
        </w:rPr>
        <w:t>、资产减值损失</w:t>
      </w:r>
      <w:r>
        <w:rPr>
          <w:rFonts w:ascii="宋体" w:hAnsi="宋体" w:cs="宋体" w:eastAsia="宋体" w:hint="default"/>
        </w:rPr>
      </w: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171"/>
        <w:gridCol w:w="3204"/>
        <w:gridCol w:w="3188"/>
      </w:tblGrid>
      <w:tr>
        <w:trPr>
          <w:trHeight w:val="415"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5,250,152.14</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4,512,471.35</w:t>
            </w:r>
          </w:p>
        </w:tc>
      </w:tr>
      <w:tr>
        <w:trPr>
          <w:trHeight w:val="407"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165,682.44</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5,415,834.58</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4,512,471.35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7、公允价值变动收益" w:id="329"/>
      <w:bookmarkEnd w:id="329"/>
      <w:r>
        <w:rPr>
          <w:b w:val="0"/>
          <w:bCs w:val="0"/>
        </w:rPr>
      </w:r>
      <w:r>
        <w:rPr>
          <w:rFonts w:ascii="宋体" w:hAnsi="宋体" w:cs="宋体" w:eastAsia="宋体" w:hint="default"/>
        </w:rPr>
        <w:t>67</w:t>
      </w:r>
      <w:r>
        <w:rPr/>
        <w:t>、公允价值变动收益</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71"/>
        <w:gridCol w:w="3204"/>
        <w:gridCol w:w="3188"/>
      </w:tblGrid>
      <w:tr>
        <w:trPr>
          <w:trHeight w:val="413" w:hRule="exact"/>
        </w:trPr>
        <w:tc>
          <w:tcPr>
            <w:tcW w:w="317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0" w:hRule="exact"/>
        </w:trPr>
        <w:tc>
          <w:tcPr>
            <w:tcW w:w="317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596.58</w:t>
            </w:r>
          </w:p>
        </w:tc>
        <w:tc>
          <w:tcPr>
            <w:tcW w:w="3188"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317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596.58</w:t>
            </w:r>
          </w:p>
        </w:tc>
        <w:tc>
          <w:tcPr>
            <w:tcW w:w="318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8、投资收益" w:id="330"/>
      <w:bookmarkEnd w:id="330"/>
      <w:r>
        <w:rPr>
          <w:b w:val="0"/>
          <w:bCs w:val="0"/>
        </w:rPr>
      </w:r>
      <w:r>
        <w:rPr>
          <w:rFonts w:ascii="宋体" w:hAnsi="宋体" w:cs="宋体" w:eastAsia="宋体" w:hint="default"/>
        </w:rPr>
        <w:t>68</w:t>
      </w:r>
      <w:r>
        <w:rPr/>
        <w:t>、投资收益</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444"/>
        <w:gridCol w:w="3201"/>
        <w:gridCol w:w="2917"/>
      </w:tblGrid>
      <w:tr>
        <w:trPr>
          <w:trHeight w:val="415" w:hRule="exact"/>
        </w:trPr>
        <w:tc>
          <w:tcPr>
            <w:tcW w:w="344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4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1" w:type="dxa"/>
            <w:tcBorders>
              <w:top w:val="single" w:sz="6" w:space="0" w:color="000000"/>
              <w:left w:val="single" w:sz="14" w:space="0" w:color="D2D2D2"/>
              <w:bottom w:val="single" w:sz="6" w:space="0" w:color="000000"/>
              <w:right w:val="single" w:sz="6" w:space="0" w:color="000000"/>
            </w:tcBorders>
          </w:tcPr>
          <w:p>
            <w:pPr/>
          </w:p>
        </w:tc>
        <w:tc>
          <w:tcPr>
            <w:tcW w:w="2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-2,686.52</w:t>
            </w:r>
          </w:p>
        </w:tc>
      </w:tr>
      <w:tr>
        <w:trPr>
          <w:trHeight w:val="407" w:hRule="exact"/>
        </w:trPr>
        <w:tc>
          <w:tcPr>
            <w:tcW w:w="344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1" w:type="dxa"/>
            <w:tcBorders>
              <w:top w:val="single" w:sz="6" w:space="0" w:color="000000"/>
              <w:left w:val="single" w:sz="14" w:space="0" w:color="D2D2D2"/>
              <w:bottom w:val="single" w:sz="6" w:space="0" w:color="000000"/>
              <w:right w:val="single" w:sz="6" w:space="0" w:color="000000"/>
            </w:tcBorders>
          </w:tcPr>
          <w:p>
            <w:pPr/>
          </w:p>
        </w:tc>
        <w:tc>
          <w:tcPr>
            <w:tcW w:w="29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312,835.59</w:t>
            </w:r>
          </w:p>
        </w:tc>
      </w:tr>
      <w:tr>
        <w:trPr>
          <w:trHeight w:val="415" w:hRule="exact"/>
        </w:trPr>
        <w:tc>
          <w:tcPr>
            <w:tcW w:w="344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6" w:space="0" w:color="000000"/>
              <w:left w:val="single" w:sz="14" w:space="0" w:color="D2D2D2"/>
              <w:bottom w:val="single" w:sz="12" w:space="0" w:color="000000"/>
              <w:right w:val="single" w:sz="6" w:space="0" w:color="000000"/>
            </w:tcBorders>
          </w:tcPr>
          <w:p>
            <w:pPr/>
          </w:p>
        </w:tc>
        <w:tc>
          <w:tcPr>
            <w:tcW w:w="29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310,149.07</w:t>
            </w:r>
          </w:p>
        </w:tc>
      </w:tr>
    </w:tbl>
    <w:p>
      <w:pPr>
        <w:pStyle w:val="Heading4"/>
        <w:spacing w:line="240" w:lineRule="auto" w:before="63"/>
        <w:ind w:right="0"/>
        <w:jc w:val="left"/>
        <w:rPr>
          <w:b w:val="0"/>
          <w:bCs w:val="0"/>
        </w:rPr>
      </w:pPr>
      <w:bookmarkStart w:name="69、营业外收入" w:id="331"/>
      <w:bookmarkEnd w:id="331"/>
      <w:r>
        <w:rPr>
          <w:b w:val="0"/>
          <w:bCs w:val="0"/>
        </w:rPr>
      </w:r>
      <w:r>
        <w:rPr>
          <w:rFonts w:ascii="宋体" w:hAnsi="宋体" w:cs="宋体" w:eastAsia="宋体" w:hint="default"/>
        </w:rPr>
        <w:t>69</w:t>
      </w:r>
      <w:r>
        <w:rPr/>
        <w:t>、营业外收入</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2390"/>
        <w:gridCol w:w="2396"/>
        <w:gridCol w:w="2392"/>
        <w:gridCol w:w="2391"/>
      </w:tblGrid>
      <w:tr>
        <w:trPr>
          <w:trHeight w:val="171" w:hRule="exact"/>
        </w:trPr>
        <w:tc>
          <w:tcPr>
            <w:tcW w:w="2390" w:type="dxa"/>
            <w:tcBorders>
              <w:top w:val="single" w:sz="12" w:space="0" w:color="000000"/>
              <w:left w:val="single" w:sz="12" w:space="0" w:color="000000"/>
              <w:bottom w:val="nil" w:sz="6" w:space="0" w:color="auto"/>
              <w:right w:val="single" w:sz="6" w:space="0" w:color="000000"/>
            </w:tcBorders>
            <w:shd w:val="clear" w:color="auto" w:fill="D2D2D2"/>
          </w:tcPr>
          <w:p>
            <w:pPr/>
          </w:p>
        </w:tc>
        <w:tc>
          <w:tcPr>
            <w:tcW w:w="2396" w:type="dxa"/>
            <w:tcBorders>
              <w:top w:val="single" w:sz="12" w:space="0" w:color="000000"/>
              <w:left w:val="single" w:sz="6" w:space="0" w:color="000000"/>
              <w:bottom w:val="nil" w:sz="6" w:space="0" w:color="auto"/>
              <w:right w:val="single" w:sz="6" w:space="0" w:color="000000"/>
            </w:tcBorders>
            <w:shd w:val="clear" w:color="auto" w:fill="D2D2D2"/>
          </w:tcPr>
          <w:p>
            <w:pPr/>
          </w:p>
        </w:tc>
        <w:tc>
          <w:tcPr>
            <w:tcW w:w="2392" w:type="dxa"/>
            <w:tcBorders>
              <w:top w:val="single" w:sz="12" w:space="0" w:color="000000"/>
              <w:left w:val="single" w:sz="6" w:space="0" w:color="000000"/>
              <w:bottom w:val="nil" w:sz="6" w:space="0" w:color="auto"/>
              <w:right w:val="single" w:sz="6" w:space="0" w:color="000000"/>
            </w:tcBorders>
            <w:shd w:val="clear" w:color="auto" w:fill="D2D2D2"/>
          </w:tcPr>
          <w:p>
            <w:pPr/>
          </w:p>
        </w:tc>
        <w:tc>
          <w:tcPr>
            <w:tcW w:w="2391" w:type="dxa"/>
            <w:vMerge w:val="restart"/>
            <w:tcBorders>
              <w:top w:val="single" w:sz="12" w:space="0" w:color="000000"/>
              <w:left w:val="single" w:sz="6" w:space="0" w:color="000000"/>
              <w:right w:val="single" w:sz="12" w:space="0" w:color="000000"/>
            </w:tcBorders>
            <w:shd w:val="clear" w:color="auto" w:fill="D2D2D2"/>
          </w:tcPr>
          <w:p>
            <w:pPr>
              <w:pStyle w:val="TableParagraph"/>
              <w:spacing w:line="316" w:lineRule="auto" w:before="51"/>
              <w:ind w:left="1097" w:right="98"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12" w:space="0" w:color="000000"/>
              <w:bottom w:val="nil" w:sz="6" w:space="0" w:color="auto"/>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6" w:space="0" w:color="000000"/>
              <w:right w:val="single" w:sz="12" w:space="0" w:color="000000"/>
            </w:tcBorders>
            <w:shd w:val="clear" w:color="auto" w:fill="D2D2D2"/>
          </w:tcPr>
          <w:p>
            <w:pPr/>
          </w:p>
        </w:tc>
      </w:tr>
      <w:tr>
        <w:trPr>
          <w:trHeight w:val="163" w:hRule="exact"/>
        </w:trPr>
        <w:tc>
          <w:tcPr>
            <w:tcW w:w="2390" w:type="dxa"/>
            <w:tcBorders>
              <w:top w:val="nil" w:sz="6" w:space="0" w:color="auto"/>
              <w:left w:val="single" w:sz="12" w:space="0" w:color="000000"/>
              <w:bottom w:val="single" w:sz="6" w:space="0" w:color="000000"/>
              <w:right w:val="single" w:sz="6" w:space="0" w:color="000000"/>
            </w:tcBorders>
            <w:shd w:val="clear" w:color="auto" w:fill="D2D2D2"/>
          </w:tcPr>
          <w:p>
            <w:pPr/>
          </w:p>
        </w:tc>
        <w:tc>
          <w:tcPr>
            <w:tcW w:w="2396" w:type="dxa"/>
            <w:tcBorders>
              <w:top w:val="nil" w:sz="6" w:space="0" w:color="auto"/>
              <w:left w:val="single" w:sz="6" w:space="0" w:color="000000"/>
              <w:bottom w:val="single" w:sz="6" w:space="0" w:color="000000"/>
              <w:right w:val="single" w:sz="6" w:space="0" w:color="000000"/>
            </w:tcBorders>
            <w:shd w:val="clear" w:color="auto" w:fill="D2D2D2"/>
          </w:tcPr>
          <w:p>
            <w:pPr/>
          </w:p>
        </w:tc>
        <w:tc>
          <w:tcPr>
            <w:tcW w:w="2392" w:type="dxa"/>
            <w:tcBorders>
              <w:top w:val="nil" w:sz="6" w:space="0" w:color="auto"/>
              <w:left w:val="single" w:sz="6" w:space="0" w:color="000000"/>
              <w:bottom w:val="single" w:sz="6" w:space="0" w:color="000000"/>
              <w:right w:val="single" w:sz="6" w:space="0" w:color="000000"/>
            </w:tcBorders>
            <w:shd w:val="clear" w:color="auto" w:fill="D2D2D2"/>
          </w:tcPr>
          <w:p>
            <w:pPr/>
          </w:p>
        </w:tc>
        <w:tc>
          <w:tcPr>
            <w:tcW w:w="2391"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3,080.34</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9,670.10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3,080.34</w:t>
            </w: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3,080.34</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9,670.10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3,080.34</w:t>
            </w: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9,949,303.00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2,588,400.00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9,949,303.00</w:t>
            </w: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4,786,093.15</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3,857,078.44</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77,027.23</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139,930.72</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77,027.23</w:t>
            </w:r>
          </w:p>
        </w:tc>
      </w:tr>
      <w:tr>
        <w:trPr>
          <w:trHeight w:val="416" w:hRule="exact"/>
        </w:trPr>
        <w:tc>
          <w:tcPr>
            <w:tcW w:w="239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14,815,503.72</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6,595,079.26</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10,029,410.57</w:t>
            </w:r>
          </w:p>
        </w:tc>
      </w:tr>
    </w:tbl>
    <w:p>
      <w:pPr>
        <w:spacing w:line="240" w:lineRule="auto" w:before="9"/>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390"/>
        <w:gridCol w:w="2396"/>
        <w:gridCol w:w="2392"/>
        <w:gridCol w:w="2391"/>
      </w:tblGrid>
      <w:tr>
        <w:trPr>
          <w:trHeight w:val="419" w:hRule="exact"/>
        </w:trPr>
        <w:tc>
          <w:tcPr>
            <w:tcW w:w="239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649"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647"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与收益相关</w:t>
            </w:r>
          </w:p>
        </w:tc>
      </w:tr>
      <w:tr>
        <w:trPr>
          <w:trHeight w:val="640"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3" w:right="192"/>
              <w:jc w:val="left"/>
              <w:rPr>
                <w:rFonts w:ascii="宋体" w:hAnsi="宋体" w:cs="宋体" w:eastAsia="宋体" w:hint="default"/>
                <w:sz w:val="18"/>
                <w:szCs w:val="18"/>
              </w:rPr>
            </w:pPr>
            <w:r>
              <w:rPr>
                <w:rFonts w:ascii="宋体" w:hAnsi="宋体" w:cs="宋体" w:eastAsia="宋体" w:hint="default"/>
                <w:sz w:val="18"/>
                <w:szCs w:val="18"/>
              </w:rPr>
              <w:t>用电量收益监测系统及信息 采集设备开发项目验收</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100,000.00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100,000.00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8"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192"/>
              <w:jc w:val="left"/>
              <w:rPr>
                <w:rFonts w:ascii="宋体" w:hAnsi="宋体" w:cs="宋体" w:eastAsia="宋体" w:hint="default"/>
                <w:sz w:val="18"/>
                <w:szCs w:val="18"/>
              </w:rPr>
            </w:pPr>
            <w:r>
              <w:rPr>
                <w:rFonts w:ascii="宋体" w:hAnsi="宋体" w:cs="宋体" w:eastAsia="宋体" w:hint="default"/>
                <w:sz w:val="18"/>
                <w:szCs w:val="18"/>
              </w:rPr>
              <w:t>面向智能电网的用电优化控 制与服务系统</w:t>
            </w:r>
          </w:p>
        </w:tc>
        <w:tc>
          <w:tcPr>
            <w:tcW w:w="2396" w:type="dxa"/>
            <w:tcBorders>
              <w:top w:val="single" w:sz="6" w:space="0" w:color="000000"/>
              <w:left w:val="single" w:sz="6" w:space="0" w:color="000000"/>
              <w:bottom w:val="single" w:sz="6" w:space="0" w:color="000000"/>
              <w:right w:val="single" w:sz="6" w:space="0" w:color="000000"/>
            </w:tcBorders>
          </w:tcPr>
          <w:p>
            <w:pP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80,000.00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40"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3" w:right="192"/>
              <w:jc w:val="left"/>
              <w:rPr>
                <w:rFonts w:ascii="宋体" w:hAnsi="宋体" w:cs="宋体" w:eastAsia="宋体" w:hint="default"/>
                <w:sz w:val="18"/>
                <w:szCs w:val="18"/>
              </w:rPr>
            </w:pPr>
            <w:r>
              <w:rPr>
                <w:rFonts w:ascii="宋体" w:hAnsi="宋体" w:cs="宋体" w:eastAsia="宋体" w:hint="default"/>
                <w:sz w:val="18"/>
                <w:szCs w:val="18"/>
              </w:rPr>
              <w:t>变压器台区用电信息实用采 集与在线监测管理系统</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2,000,000.00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2,000,000.00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2"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企业发展专项基金</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1,157,503.00</w:t>
            </w:r>
          </w:p>
        </w:tc>
        <w:tc>
          <w:tcPr>
            <w:tcW w:w="2392"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2"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江宁区纳税大户奖励</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9"/>
              <w:jc w:val="right"/>
              <w:rPr>
                <w:rFonts w:ascii="宋体" w:hAnsi="宋体" w:cs="宋体" w:eastAsia="宋体" w:hint="default"/>
                <w:sz w:val="18"/>
                <w:szCs w:val="18"/>
              </w:rPr>
            </w:pPr>
            <w:r>
              <w:rPr>
                <w:rFonts w:ascii="宋体"/>
                <w:sz w:val="18"/>
              </w:rPr>
              <w:t>20,000.00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8"/>
              <w:jc w:val="right"/>
              <w:rPr>
                <w:rFonts w:ascii="宋体" w:hAnsi="宋体" w:cs="宋体" w:eastAsia="宋体" w:hint="default"/>
                <w:sz w:val="18"/>
                <w:szCs w:val="18"/>
              </w:rPr>
            </w:pPr>
            <w:r>
              <w:rPr>
                <w:rFonts w:ascii="宋体"/>
                <w:sz w:val="18"/>
              </w:rPr>
              <w:t>20,000.00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3"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科技发展计划及科技经费</w:t>
            </w:r>
          </w:p>
        </w:tc>
        <w:tc>
          <w:tcPr>
            <w:tcW w:w="2396" w:type="dxa"/>
            <w:tcBorders>
              <w:top w:val="single" w:sz="6" w:space="0" w:color="000000"/>
              <w:left w:val="single" w:sz="6" w:space="0" w:color="000000"/>
              <w:bottom w:val="single" w:sz="6" w:space="0" w:color="000000"/>
              <w:right w:val="single" w:sz="6" w:space="0" w:color="000000"/>
            </w:tcBorders>
          </w:tcPr>
          <w:p>
            <w:pP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34,200.00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8"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192"/>
              <w:jc w:val="left"/>
              <w:rPr>
                <w:rFonts w:ascii="宋体" w:hAnsi="宋体" w:cs="宋体" w:eastAsia="宋体" w:hint="default"/>
                <w:sz w:val="18"/>
                <w:szCs w:val="18"/>
              </w:rPr>
            </w:pPr>
            <w:r>
              <w:rPr>
                <w:rFonts w:ascii="宋体" w:hAnsi="宋体" w:cs="宋体" w:eastAsia="宋体" w:hint="default"/>
                <w:sz w:val="18"/>
                <w:szCs w:val="18"/>
              </w:rPr>
              <w:t>南京市江宁区新兴产业引导 资金项目补助</w:t>
            </w:r>
          </w:p>
        </w:tc>
        <w:tc>
          <w:tcPr>
            <w:tcW w:w="2396" w:type="dxa"/>
            <w:tcBorders>
              <w:top w:val="single" w:sz="6" w:space="0" w:color="000000"/>
              <w:left w:val="single" w:sz="6" w:space="0" w:color="000000"/>
              <w:bottom w:val="single" w:sz="6" w:space="0" w:color="000000"/>
              <w:right w:val="single" w:sz="6" w:space="0" w:color="000000"/>
            </w:tcBorders>
          </w:tcPr>
          <w:p>
            <w:pP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300,000.00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40"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3" w:right="192"/>
              <w:jc w:val="left"/>
              <w:rPr>
                <w:rFonts w:ascii="宋体" w:hAnsi="宋体" w:cs="宋体" w:eastAsia="宋体" w:hint="default"/>
                <w:sz w:val="18"/>
                <w:szCs w:val="18"/>
              </w:rPr>
            </w:pPr>
            <w:r>
              <w:rPr>
                <w:rFonts w:ascii="宋体" w:hAnsi="宋体" w:cs="宋体" w:eastAsia="宋体" w:hint="default"/>
                <w:sz w:val="18"/>
                <w:szCs w:val="18"/>
              </w:rPr>
              <w:t>扶持中小微工业企业加快发 展经费</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10,000.00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20,000.00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2"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研发机构建设经费</w:t>
            </w:r>
          </w:p>
        </w:tc>
        <w:tc>
          <w:tcPr>
            <w:tcW w:w="2396" w:type="dxa"/>
            <w:tcBorders>
              <w:top w:val="single" w:sz="6" w:space="0" w:color="000000"/>
              <w:left w:val="single" w:sz="6" w:space="0" w:color="000000"/>
              <w:bottom w:val="single" w:sz="6" w:space="0" w:color="000000"/>
              <w:right w:val="single" w:sz="6" w:space="0" w:color="000000"/>
            </w:tcBorders>
          </w:tcPr>
          <w:p>
            <w:pP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34,200.00</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2"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南京专利申请资助经费</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7,800.00</w:t>
            </w:r>
          </w:p>
        </w:tc>
        <w:tc>
          <w:tcPr>
            <w:tcW w:w="2392"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3"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政府知识产权奖励资金</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4,000.00</w:t>
            </w:r>
          </w:p>
        </w:tc>
        <w:tc>
          <w:tcPr>
            <w:tcW w:w="2392"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8"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148"/>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年度软件政策项目补助 资金</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sz w:val="18"/>
              </w:rPr>
              <w:t>150,000.00</w:t>
            </w:r>
          </w:p>
        </w:tc>
        <w:tc>
          <w:tcPr>
            <w:tcW w:w="2392"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40"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3" w:right="148"/>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年度国家智能电网产业 集聚发展试点重点项目补助</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4,500,000.00</w:t>
            </w:r>
          </w:p>
        </w:tc>
        <w:tc>
          <w:tcPr>
            <w:tcW w:w="2392"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8" w:hRule="exact"/>
        </w:trPr>
        <w:tc>
          <w:tcPr>
            <w:tcW w:w="2390"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192"/>
              <w:jc w:val="left"/>
              <w:rPr>
                <w:rFonts w:ascii="宋体" w:hAnsi="宋体" w:cs="宋体" w:eastAsia="宋体" w:hint="default"/>
                <w:sz w:val="18"/>
                <w:szCs w:val="18"/>
              </w:rPr>
            </w:pPr>
            <w:r>
              <w:rPr>
                <w:rFonts w:ascii="宋体" w:hAnsi="宋体" w:cs="宋体" w:eastAsia="宋体" w:hint="default"/>
                <w:sz w:val="18"/>
                <w:szCs w:val="18"/>
              </w:rPr>
              <w:t>电力线载波专用芯片开发应 用项目资</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2,000,000.00</w:t>
            </w:r>
          </w:p>
        </w:tc>
        <w:tc>
          <w:tcPr>
            <w:tcW w:w="2392"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9" w:hRule="exact"/>
        </w:trPr>
        <w:tc>
          <w:tcPr>
            <w:tcW w:w="239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9,949,303.00</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2,588,400.00</w:t>
            </w:r>
          </w:p>
        </w:tc>
        <w:tc>
          <w:tcPr>
            <w:tcW w:w="2391"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sz w:val="18"/>
              </w:rPr>
              <w:t>--</w:t>
            </w:r>
          </w:p>
        </w:tc>
      </w:tr>
    </w:tbl>
    <w:p>
      <w:pPr>
        <w:pStyle w:val="BodyText"/>
        <w:spacing w:line="408" w:lineRule="auto" w:before="63"/>
        <w:ind w:right="218"/>
        <w:jc w:val="left"/>
      </w:pPr>
      <w:r>
        <w:rPr/>
        <w:t>其他说明： 营业外收入本年发生数比上年发生数增加</w:t>
      </w:r>
      <w:r>
        <w:rPr>
          <w:rFonts w:ascii="宋体" w:hAnsi="宋体" w:cs="宋体" w:eastAsia="宋体" w:hint="default"/>
        </w:rPr>
        <w:t>8,220,424.46</w:t>
      </w:r>
      <w:r>
        <w:rPr/>
        <w:t>元，增加比例为</w:t>
      </w:r>
      <w:r>
        <w:rPr>
          <w:rFonts w:ascii="宋体" w:hAnsi="宋体" w:cs="宋体" w:eastAsia="宋体" w:hint="default"/>
        </w:rPr>
        <w:t>124.64%</w:t>
      </w:r>
      <w:r>
        <w:rPr/>
        <w:t>，主要原因为报告期内确 认政府补助增加所致。</w:t>
      </w:r>
    </w:p>
    <w:p>
      <w:pPr>
        <w:spacing w:after="0" w:line="408"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53" w:right="0"/>
        <w:jc w:val="left"/>
        <w:rPr>
          <w:b w:val="0"/>
          <w:bCs w:val="0"/>
        </w:rPr>
      </w:pPr>
      <w:bookmarkStart w:name="70、营业外支出" w:id="332"/>
      <w:bookmarkEnd w:id="332"/>
      <w:r>
        <w:rPr>
          <w:b w:val="0"/>
          <w:bCs w:val="0"/>
        </w:rPr>
      </w:r>
      <w:r>
        <w:rPr>
          <w:rFonts w:ascii="宋体" w:hAnsi="宋体" w:cs="宋体" w:eastAsia="宋体" w:hint="default"/>
        </w:rPr>
        <w:t>70</w:t>
      </w:r>
      <w:r>
        <w:rPr/>
        <w:t>、营业外支出</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390"/>
        <w:gridCol w:w="2396"/>
        <w:gridCol w:w="2161"/>
        <w:gridCol w:w="2622"/>
      </w:tblGrid>
      <w:tr>
        <w:trPr>
          <w:trHeight w:val="369" w:hRule="exact"/>
        </w:trPr>
        <w:tc>
          <w:tcPr>
            <w:tcW w:w="2390"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62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134"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41" w:hRule="exact"/>
        </w:trPr>
        <w:tc>
          <w:tcPr>
            <w:tcW w:w="23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23" w:space="0" w:color="D2D2D2"/>
              <w:left w:val="single" w:sz="9" w:space="0" w:color="D2D2D2"/>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19,550.12</w:t>
            </w:r>
          </w:p>
        </w:tc>
        <w:tc>
          <w:tcPr>
            <w:tcW w:w="2161" w:type="dxa"/>
            <w:tcBorders>
              <w:top w:val="single" w:sz="23" w:space="0" w:color="D2D2D2"/>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107,016.67</w:t>
            </w:r>
          </w:p>
        </w:tc>
        <w:tc>
          <w:tcPr>
            <w:tcW w:w="2622" w:type="dxa"/>
            <w:tcBorders>
              <w:top w:val="single" w:sz="23" w:space="0" w:color="D2D2D2"/>
              <w:left w:val="single" w:sz="6" w:space="0" w:color="000000"/>
              <w:bottom w:val="single" w:sz="6" w:space="0" w:color="000000"/>
              <w:right w:val="single" w:sz="12" w:space="0" w:color="000000"/>
            </w:tcBorders>
          </w:tcPr>
          <w:p>
            <w:pPr/>
          </w:p>
        </w:tc>
      </w:tr>
      <w:tr>
        <w:trPr>
          <w:trHeight w:val="412" w:hRule="exact"/>
        </w:trPr>
        <w:tc>
          <w:tcPr>
            <w:tcW w:w="23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19,550.12</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107,016.67</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19,550.12</w:t>
            </w:r>
          </w:p>
        </w:tc>
      </w:tr>
      <w:tr>
        <w:trPr>
          <w:trHeight w:val="412" w:hRule="exact"/>
        </w:trPr>
        <w:tc>
          <w:tcPr>
            <w:tcW w:w="23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50,000.00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15,000.00</w:t>
            </w: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50,000.00</w:t>
            </w:r>
          </w:p>
        </w:tc>
      </w:tr>
      <w:tr>
        <w:trPr>
          <w:trHeight w:val="413" w:hRule="exact"/>
        </w:trPr>
        <w:tc>
          <w:tcPr>
            <w:tcW w:w="2390" w:type="dxa"/>
            <w:tcBorders>
              <w:top w:val="single" w:sz="23" w:space="0" w:color="D2D2D2"/>
              <w:left w:val="single" w:sz="12" w:space="0" w:color="000000"/>
              <w:bottom w:val="single" w:sz="6" w:space="0" w:color="000000"/>
              <w:right w:val="single" w:sz="6"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515.82</w:t>
            </w:r>
          </w:p>
        </w:tc>
        <w:tc>
          <w:tcPr>
            <w:tcW w:w="2161" w:type="dxa"/>
            <w:tcBorders>
              <w:top w:val="single" w:sz="6" w:space="0" w:color="000000"/>
              <w:left w:val="single" w:sz="6" w:space="0" w:color="000000"/>
              <w:bottom w:val="single" w:sz="6" w:space="0" w:color="000000"/>
              <w:right w:val="single" w:sz="6" w:space="0" w:color="000000"/>
            </w:tcBorders>
          </w:tcPr>
          <w:p>
            <w:pPr/>
          </w:p>
        </w:tc>
        <w:tc>
          <w:tcPr>
            <w:tcW w:w="26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515.82</w:t>
            </w:r>
          </w:p>
        </w:tc>
      </w:tr>
      <w:tr>
        <w:trPr>
          <w:trHeight w:val="419" w:hRule="exact"/>
        </w:trPr>
        <w:tc>
          <w:tcPr>
            <w:tcW w:w="239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70,065.94</w:t>
            </w:r>
          </w:p>
        </w:tc>
        <w:tc>
          <w:tcPr>
            <w:tcW w:w="21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122,016.67</w:t>
            </w:r>
          </w:p>
        </w:tc>
        <w:tc>
          <w:tcPr>
            <w:tcW w:w="26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70,065.94</w:t>
            </w:r>
          </w:p>
        </w:tc>
      </w:tr>
    </w:tbl>
    <w:p>
      <w:pPr>
        <w:pStyle w:val="BodyText"/>
        <w:spacing w:line="408" w:lineRule="auto" w:before="63"/>
        <w:ind w:right="428"/>
        <w:jc w:val="left"/>
      </w:pPr>
      <w:r>
        <w:rPr/>
        <w:t>其他说明： 本期营业外支出比上期减少</w:t>
      </w:r>
      <w:r>
        <w:rPr>
          <w:rFonts w:ascii="宋体" w:hAnsi="宋体" w:cs="宋体" w:eastAsia="宋体" w:hint="default"/>
        </w:rPr>
        <w:t>51,950.73</w:t>
      </w:r>
      <w:r>
        <w:rPr/>
        <w:t>元，减少比例为</w:t>
      </w:r>
      <w:r>
        <w:rPr>
          <w:rFonts w:ascii="宋体" w:hAnsi="宋体" w:cs="宋体" w:eastAsia="宋体" w:hint="default"/>
        </w:rPr>
        <w:t>42.58%</w:t>
      </w:r>
      <w:r>
        <w:rPr/>
        <w:t>，减少原因为上年同期处置固定资产损失 </w:t>
      </w:r>
      <w:r>
        <w:rPr>
          <w:rFonts w:ascii="宋体" w:hAnsi="宋体" w:cs="宋体" w:eastAsia="宋体" w:hint="default"/>
        </w:rPr>
        <w:t>107,016.67</w:t>
      </w:r>
      <w:r>
        <w:rPr/>
        <w:t>元所致。</w:t>
      </w:r>
    </w:p>
    <w:p>
      <w:pPr>
        <w:pStyle w:val="Heading4"/>
        <w:spacing w:line="240" w:lineRule="auto" w:before="46"/>
        <w:ind w:right="0"/>
        <w:jc w:val="left"/>
        <w:rPr>
          <w:b w:val="0"/>
          <w:bCs w:val="0"/>
        </w:rPr>
      </w:pPr>
      <w:bookmarkStart w:name="71、所得税费用" w:id="333"/>
      <w:bookmarkEnd w:id="333"/>
      <w:r>
        <w:rPr>
          <w:b w:val="0"/>
          <w:bCs w:val="0"/>
        </w:rPr>
      </w:r>
      <w:r>
        <w:rPr>
          <w:rFonts w:ascii="宋体" w:hAnsi="宋体" w:cs="宋体" w:eastAsia="宋体" w:hint="default"/>
        </w:rPr>
        <w:t>71</w:t>
      </w:r>
      <w:r>
        <w:rPr/>
        <w:t>、所得税费用</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0"/>
        <w:jc w:val="left"/>
        <w:rPr>
          <w:b w:val="0"/>
          <w:bCs w:val="0"/>
        </w:rPr>
      </w:pPr>
      <w:bookmarkStart w:name="（1）所得税费用表" w:id="334"/>
      <w:bookmarkEnd w:id="334"/>
      <w:r>
        <w:rPr>
          <w:b w:val="0"/>
          <w:bCs w:val="0"/>
        </w:rPr>
      </w:r>
      <w:r>
        <w:rPr/>
        <w:t>（</w:t>
      </w:r>
      <w:r>
        <w:rPr>
          <w:rFonts w:ascii="宋体" w:hAnsi="宋体" w:cs="宋体" w:eastAsia="宋体" w:hint="default"/>
        </w:rPr>
        <w:t>1</w:t>
      </w:r>
      <w:r>
        <w:rPr/>
        <w:t>）所得税费用表</w:t>
      </w:r>
      <w:r>
        <w:rPr>
          <w:b w:val="0"/>
          <w:bCs w:val="0"/>
        </w:rPr>
      </w:r>
    </w:p>
    <w:p>
      <w:pPr>
        <w:spacing w:line="240" w:lineRule="auto" w:before="11"/>
        <w:rPr>
          <w:rFonts w:ascii="宋体" w:hAnsi="宋体" w:cs="宋体" w:eastAsia="宋体" w:hint="default"/>
          <w:b/>
          <w:bCs/>
          <w:sz w:val="13"/>
          <w:szCs w:val="13"/>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370"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0" w:hRule="exact"/>
        </w:trPr>
        <w:tc>
          <w:tcPr>
            <w:tcW w:w="31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17" w:space="0" w:color="D2D2D2"/>
              <w:left w:val="single" w:sz="9" w:space="0" w:color="D2D2D2"/>
              <w:bottom w:val="single" w:sz="6" w:space="0" w:color="000000"/>
              <w:right w:val="single" w:sz="6" w:space="0" w:color="000000"/>
            </w:tcBorders>
          </w:tcPr>
          <w:p>
            <w:pPr>
              <w:pStyle w:val="TableParagraph"/>
              <w:spacing w:line="240" w:lineRule="auto" w:before="68"/>
              <w:ind w:right="19"/>
              <w:jc w:val="right"/>
              <w:rPr>
                <w:rFonts w:ascii="宋体" w:hAnsi="宋体" w:cs="宋体" w:eastAsia="宋体" w:hint="default"/>
                <w:sz w:val="18"/>
                <w:szCs w:val="18"/>
              </w:rPr>
            </w:pPr>
            <w:r>
              <w:rPr>
                <w:rFonts w:ascii="宋体"/>
                <w:sz w:val="18"/>
              </w:rPr>
              <w:t>9,809,086.13</w:t>
            </w:r>
          </w:p>
        </w:tc>
        <w:tc>
          <w:tcPr>
            <w:tcW w:w="3188"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7,443,243.43</w:t>
            </w:r>
          </w:p>
        </w:tc>
      </w:tr>
      <w:tr>
        <w:trPr>
          <w:trHeight w:val="412" w:hRule="exact"/>
        </w:trPr>
        <w:tc>
          <w:tcPr>
            <w:tcW w:w="3188"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4"/>
              <w:ind w:right="19"/>
              <w:jc w:val="right"/>
              <w:rPr>
                <w:rFonts w:ascii="宋体" w:hAnsi="宋体" w:cs="宋体" w:eastAsia="宋体" w:hint="default"/>
                <w:sz w:val="18"/>
                <w:szCs w:val="18"/>
              </w:rPr>
            </w:pPr>
            <w:r>
              <w:rPr>
                <w:rFonts w:ascii="宋体"/>
                <w:sz w:val="18"/>
              </w:rPr>
              <w:t>-824,352.33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-675,476.33</w:t>
            </w:r>
          </w:p>
        </w:tc>
      </w:tr>
      <w:tr>
        <w:trPr>
          <w:trHeight w:val="421"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8,984,733.80</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6,767,767.10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35"/>
      <w:bookmarkEnd w:id="335"/>
      <w:r>
        <w:rPr>
          <w:b w:val="0"/>
          <w:bCs w:val="0"/>
        </w:rPr>
      </w:r>
      <w:r>
        <w:rPr/>
        <w:t>（</w:t>
      </w:r>
      <w:r>
        <w:rPr>
          <w:rFonts w:ascii="宋体" w:hAnsi="宋体" w:cs="宋体" w:eastAsia="宋体" w:hint="default"/>
        </w:rPr>
        <w:t>2</w:t>
      </w:r>
      <w:r>
        <w:rPr/>
        <w:t>）会计利润与所得税费用调整过程</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4764"/>
        <w:gridCol w:w="4799"/>
      </w:tblGrid>
      <w:tr>
        <w:trPr>
          <w:trHeight w:val="415" w:hRule="exact"/>
        </w:trPr>
        <w:tc>
          <w:tcPr>
            <w:tcW w:w="476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38,328,269.30</w:t>
            </w:r>
          </w:p>
        </w:tc>
      </w:tr>
      <w:tr>
        <w:trPr>
          <w:trHeight w:val="407"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5,749,240.40</w:t>
            </w:r>
          </w:p>
        </w:tc>
      </w:tr>
      <w:tr>
        <w:trPr>
          <w:trHeight w:val="407"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2,251,943.25</w:t>
            </w:r>
          </w:p>
        </w:tc>
      </w:tr>
      <w:tr>
        <w:trPr>
          <w:trHeight w:val="407"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-1,344,733.57</w:t>
            </w:r>
          </w:p>
        </w:tc>
      </w:tr>
      <w:tr>
        <w:trPr>
          <w:trHeight w:val="720" w:hRule="exact"/>
        </w:trPr>
        <w:tc>
          <w:tcPr>
            <w:tcW w:w="4764"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9" w:type="dxa"/>
            <w:tcBorders>
              <w:top w:val="single" w:sz="6" w:space="0" w:color="000000"/>
              <w:left w:val="single" w:sz="14" w:space="0" w:color="D2D2D2"/>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2,328,283.73</w:t>
            </w:r>
          </w:p>
        </w:tc>
      </w:tr>
      <w:tr>
        <w:trPr>
          <w:trHeight w:val="414" w:hRule="exact"/>
        </w:trPr>
        <w:tc>
          <w:tcPr>
            <w:tcW w:w="476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9" w:type="dxa"/>
            <w:tcBorders>
              <w:top w:val="single" w:sz="6" w:space="0" w:color="000000"/>
              <w:left w:val="single" w:sz="14" w:space="0" w:color="D2D2D2"/>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8,984,733.80</w:t>
            </w:r>
          </w:p>
        </w:tc>
      </w:tr>
    </w:tbl>
    <w:p>
      <w:pPr>
        <w:pStyle w:val="Heading4"/>
        <w:spacing w:line="240" w:lineRule="auto" w:before="63"/>
        <w:ind w:right="0"/>
        <w:jc w:val="left"/>
        <w:rPr>
          <w:b w:val="0"/>
          <w:bCs w:val="0"/>
        </w:rPr>
      </w:pPr>
      <w:bookmarkStart w:name="72、其他综合收益" w:id="336"/>
      <w:bookmarkEnd w:id="336"/>
      <w:r>
        <w:rPr>
          <w:b w:val="0"/>
          <w:bCs w:val="0"/>
        </w:rPr>
      </w:r>
      <w:r>
        <w:rPr>
          <w:rFonts w:ascii="宋体" w:hAnsi="宋体" w:cs="宋体" w:eastAsia="宋体" w:hint="default"/>
        </w:rPr>
        <w:t>72</w:t>
      </w:r>
      <w:r>
        <w:rPr/>
        <w:t>、其他综合收益</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53" w:right="0"/>
        <w:jc w:val="left"/>
        <w:rPr>
          <w:b w:val="0"/>
          <w:bCs w:val="0"/>
        </w:rPr>
      </w:pPr>
      <w:bookmarkStart w:name="73、现金流量表项目" w:id="337"/>
      <w:bookmarkEnd w:id="337"/>
      <w:r>
        <w:rPr>
          <w:b w:val="0"/>
          <w:bCs w:val="0"/>
        </w:rPr>
      </w:r>
      <w:r>
        <w:rPr>
          <w:rFonts w:ascii="宋体" w:hAnsi="宋体" w:cs="宋体" w:eastAsia="宋体" w:hint="default"/>
        </w:rPr>
        <w:t>73</w:t>
      </w:r>
      <w:r>
        <w:rPr/>
        <w:t>、现金流量表项目</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53" w:right="0"/>
        <w:jc w:val="left"/>
        <w:rPr>
          <w:b w:val="0"/>
          <w:bCs w:val="0"/>
        </w:rPr>
      </w:pPr>
      <w:bookmarkStart w:name="（1）收到的其他与经营活动有关的现金" w:id="338"/>
      <w:bookmarkEnd w:id="338"/>
      <w:r>
        <w:rPr>
          <w:b w:val="0"/>
          <w:bCs w:val="0"/>
        </w:rPr>
      </w:r>
      <w:r>
        <w:rPr/>
        <w:t>（</w:t>
      </w:r>
      <w:r>
        <w:rPr>
          <w:rFonts w:ascii="宋体" w:hAnsi="宋体" w:cs="宋体" w:eastAsia="宋体" w:hint="default"/>
        </w:rPr>
        <w:t>1</w:t>
      </w:r>
      <w:r>
        <w:rPr/>
        <w:t>）收到的其他与经营活动有关的现金</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4"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25,291,800.00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2,408,400.00</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7,359,853.94</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9,206,921.77</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员工还款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9,951,306.34</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7,093,047.09</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收回投标、履约保证金</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17,546,148.68</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14,286,422.00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57,096,827.00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8,713,167.42</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117,245,935.96</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41,707,958.28</w:t>
            </w:r>
          </w:p>
        </w:tc>
      </w:tr>
    </w:tbl>
    <w:p>
      <w:pPr>
        <w:pStyle w:val="BodyText"/>
        <w:spacing w:line="408" w:lineRule="auto" w:before="63"/>
        <w:ind w:left="574" w:right="0"/>
        <w:jc w:val="left"/>
      </w:pPr>
      <w:r>
        <w:rPr/>
        <w:t>收到的其他与经营活动有关的现金说明： </w:t>
      </w:r>
      <w:r>
        <w:rPr>
          <w:spacing w:val="-1"/>
        </w:rPr>
        <w:t>本报告期收到的其他与经营活动有关的现金中的“其他”较上年同期有较大增长，主要是本期合并范</w:t>
      </w:r>
    </w:p>
    <w:p>
      <w:pPr>
        <w:pStyle w:val="BodyText"/>
        <w:spacing w:line="240" w:lineRule="auto"/>
        <w:ind w:right="0"/>
        <w:jc w:val="left"/>
        <w:rPr>
          <w:sz w:val="18"/>
          <w:szCs w:val="18"/>
        </w:rPr>
      </w:pPr>
      <w:r>
        <w:rPr/>
        <w:t>围内公司增多，且与外单位的资金往来较多所致</w:t>
      </w:r>
      <w:r>
        <w:rPr>
          <w:sz w:val="18"/>
          <w:szCs w:val="18"/>
        </w:rPr>
        <w:t>。</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支付的其他与经营活动有关的现金" w:id="339"/>
      <w:bookmarkEnd w:id="339"/>
      <w:r>
        <w:rPr>
          <w:b w:val="0"/>
          <w:bCs w:val="0"/>
        </w:rPr>
      </w:r>
      <w:r>
        <w:rPr/>
        <w:t>（</w:t>
      </w:r>
      <w:r>
        <w:rPr>
          <w:rFonts w:ascii="宋体" w:hAnsi="宋体" w:cs="宋体" w:eastAsia="宋体" w:hint="default"/>
        </w:rPr>
        <w:t>2</w:t>
      </w:r>
      <w:r>
        <w:rPr/>
        <w:t>）支付的其他与经营活动有关的现金</w:t>
      </w:r>
      <w:r>
        <w:rPr>
          <w:b w:val="0"/>
          <w:bCs w:val="0"/>
        </w:rPr>
      </w:r>
    </w:p>
    <w:p>
      <w:pPr>
        <w:spacing w:line="240" w:lineRule="auto" w:before="11"/>
        <w:rPr>
          <w:rFonts w:ascii="宋体" w:hAnsi="宋体" w:cs="宋体" w:eastAsia="宋体" w:hint="default"/>
          <w:b/>
          <w:bCs/>
          <w:sz w:val="13"/>
          <w:szCs w:val="13"/>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25,959,821.09</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21,033,114.96</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12,072,156.23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10,188,468.43</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250,146.34</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165,003.05</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7,349,663.87</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7,345,051.99</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投标、履约保证金</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16,476,808.53</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20,835,500.84</w:t>
            </w:r>
          </w:p>
        </w:tc>
      </w:tr>
      <w:tr>
        <w:trPr>
          <w:trHeight w:val="408"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50,000.00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15,000.00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49,332,631.00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61,580.00</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111,491,227.06</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59,643,719.27</w:t>
            </w:r>
          </w:p>
        </w:tc>
      </w:tr>
    </w:tbl>
    <w:p>
      <w:pPr>
        <w:pStyle w:val="BodyText"/>
        <w:spacing w:line="408" w:lineRule="auto" w:before="63"/>
        <w:ind w:left="574" w:right="0"/>
        <w:jc w:val="left"/>
      </w:pPr>
      <w:r>
        <w:rPr/>
        <w:t>支付的其他与经营活动有关的现金说明： </w:t>
      </w:r>
      <w:r>
        <w:rPr>
          <w:spacing w:val="-1"/>
        </w:rPr>
        <w:t>本报告期支付的其他与经营活动有关的现金中的“其他”较上年同期有较大增长，主要是本期合并范</w:t>
      </w:r>
    </w:p>
    <w:p>
      <w:pPr>
        <w:pStyle w:val="BodyText"/>
        <w:spacing w:line="240" w:lineRule="auto"/>
        <w:ind w:right="0"/>
        <w:jc w:val="left"/>
      </w:pPr>
      <w:r>
        <w:rPr/>
        <w:t>围内公司增多，且与外单位的资金往来较多所致。</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收到的其他与投资活动有关的现金" w:id="340"/>
      <w:bookmarkEnd w:id="340"/>
      <w:r>
        <w:rPr>
          <w:b w:val="0"/>
          <w:bCs w:val="0"/>
        </w:rPr>
      </w:r>
      <w:r>
        <w:rPr/>
        <w:t>（</w:t>
      </w:r>
      <w:r>
        <w:rPr>
          <w:rFonts w:ascii="宋体" w:hAnsi="宋体" w:cs="宋体" w:eastAsia="宋体" w:hint="default"/>
        </w:rPr>
        <w:t>3</w:t>
      </w:r>
      <w:r>
        <w:rPr/>
        <w:t>）收到的其他与投资活动有关的现金</w:t>
      </w:r>
      <w:r>
        <w:rPr>
          <w:b w:val="0"/>
          <w:bCs w:val="0"/>
        </w:rPr>
      </w:r>
    </w:p>
    <w:p>
      <w:pPr>
        <w:spacing w:line="240" w:lineRule="auto" w:before="11"/>
        <w:rPr>
          <w:rFonts w:ascii="宋体" w:hAnsi="宋体" w:cs="宋体" w:eastAsia="宋体" w:hint="default"/>
          <w:b/>
          <w:bCs/>
          <w:sz w:val="13"/>
          <w:szCs w:val="13"/>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前期购买固定资产多付款项的退回</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16,050.00</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购买子公司持有的现金及现金等价物</w:t>
            </w:r>
          </w:p>
        </w:tc>
        <w:tc>
          <w:tcPr>
            <w:tcW w:w="31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110,341,327.92</w:t>
            </w:r>
          </w:p>
        </w:tc>
        <w:tc>
          <w:tcPr>
            <w:tcW w:w="3188" w:type="dxa"/>
            <w:tcBorders>
              <w:top w:val="single" w:sz="12" w:space="0" w:color="000000"/>
              <w:left w:val="single" w:sz="6" w:space="0" w:color="000000"/>
              <w:bottom w:val="single" w:sz="6" w:space="0" w:color="000000"/>
              <w:right w:val="single" w:sz="12" w:space="0" w:color="000000"/>
            </w:tcBorders>
          </w:tcPr>
          <w:p>
            <w:pP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110,357,377.92</w:t>
            </w:r>
          </w:p>
        </w:tc>
        <w:tc>
          <w:tcPr>
            <w:tcW w:w="318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
        <w:rPr>
          <w:rFonts w:ascii="宋体" w:hAnsi="宋体" w:cs="宋体" w:eastAsia="宋体" w:hint="default"/>
          <w:sz w:val="14"/>
          <w:szCs w:val="14"/>
        </w:rPr>
      </w:pPr>
    </w:p>
    <w:p>
      <w:pPr>
        <w:pStyle w:val="Heading4"/>
        <w:spacing w:line="240" w:lineRule="auto" w:before="35"/>
        <w:ind w:right="0"/>
        <w:jc w:val="left"/>
        <w:rPr>
          <w:b w:val="0"/>
          <w:bCs w:val="0"/>
        </w:rPr>
      </w:pPr>
      <w:bookmarkStart w:name="（4）支付的其他与投资活动有关的现金" w:id="341"/>
      <w:bookmarkEnd w:id="341"/>
      <w:r>
        <w:rPr>
          <w:b w:val="0"/>
          <w:bCs w:val="0"/>
        </w:rPr>
      </w:r>
      <w:r>
        <w:rPr/>
        <w:t>（</w:t>
      </w:r>
      <w:r>
        <w:rPr>
          <w:rFonts w:ascii="宋体" w:hAnsi="宋体" w:cs="宋体" w:eastAsia="宋体" w:hint="default"/>
        </w:rPr>
        <w:t>4</w:t>
      </w:r>
      <w:r>
        <w:rPr/>
        <w:t>）支付的其他与投资活动有关的现金</w:t>
      </w:r>
      <w:r>
        <w:rPr>
          <w:b w:val="0"/>
          <w:bCs w:val="0"/>
        </w:rPr>
      </w:r>
    </w:p>
    <w:p>
      <w:pPr>
        <w:spacing w:line="240" w:lineRule="auto" w:before="7"/>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借款给子公司使用</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55,000,000.00</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4,160,000.00</w:t>
            </w:r>
          </w:p>
        </w:tc>
      </w:tr>
      <w:tr>
        <w:trPr>
          <w:trHeight w:val="416"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59,160,000.00</w:t>
            </w:r>
          </w:p>
        </w:tc>
      </w:tr>
    </w:tbl>
    <w:p>
      <w:pPr>
        <w:pStyle w:val="Heading4"/>
        <w:spacing w:line="240" w:lineRule="auto" w:before="63"/>
        <w:ind w:right="0"/>
        <w:jc w:val="left"/>
        <w:rPr>
          <w:b w:val="0"/>
          <w:bCs w:val="0"/>
        </w:rPr>
      </w:pPr>
      <w:bookmarkStart w:name="（5）收到的其他与筹资活动有关的现金" w:id="342"/>
      <w:bookmarkEnd w:id="342"/>
      <w:r>
        <w:rPr>
          <w:b w:val="0"/>
          <w:bCs w:val="0"/>
        </w:rPr>
      </w:r>
      <w:r>
        <w:rPr/>
        <w:t>（</w:t>
      </w:r>
      <w:r>
        <w:rPr>
          <w:rFonts w:ascii="宋体" w:hAnsi="宋体" w:cs="宋体" w:eastAsia="宋体" w:hint="default"/>
        </w:rPr>
        <w:t>5</w:t>
      </w:r>
      <w:r>
        <w:rPr/>
        <w:t>）收到的其他与筹资活动有关的现金</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6）支付的其他与筹资活动有关的现金" w:id="343"/>
      <w:bookmarkEnd w:id="343"/>
      <w:r>
        <w:rPr>
          <w:b w:val="0"/>
          <w:bCs w:val="0"/>
        </w:rPr>
      </w:r>
      <w:r>
        <w:rPr/>
        <w:t>（</w:t>
      </w:r>
      <w:r>
        <w:rPr>
          <w:rFonts w:ascii="宋体" w:hAnsi="宋体" w:cs="宋体" w:eastAsia="宋体" w:hint="default"/>
        </w:rPr>
        <w:t>6</w:t>
      </w:r>
      <w:r>
        <w:rPr/>
        <w:t>）支付的其他与筹资活动有关的现金</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4"/>
        <w:gridCol w:w="3188"/>
      </w:tblGrid>
      <w:tr>
        <w:trPr>
          <w:trHeight w:val="415" w:hRule="exact"/>
        </w:trPr>
        <w:tc>
          <w:tcPr>
            <w:tcW w:w="318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分红代扣手续费</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18,970.86</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61,822.38</w:t>
            </w:r>
          </w:p>
        </w:tc>
      </w:tr>
      <w:tr>
        <w:trPr>
          <w:trHeight w:val="407" w:hRule="exact"/>
        </w:trPr>
        <w:tc>
          <w:tcPr>
            <w:tcW w:w="31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上市中介服务费</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7,768,000.00</w:t>
            </w:r>
          </w:p>
        </w:tc>
        <w:tc>
          <w:tcPr>
            <w:tcW w:w="31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3,120,000.00</w:t>
            </w:r>
          </w:p>
        </w:tc>
      </w:tr>
      <w:tr>
        <w:trPr>
          <w:trHeight w:val="415" w:hRule="exact"/>
        </w:trPr>
        <w:tc>
          <w:tcPr>
            <w:tcW w:w="3188"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7,786,970.86</w:t>
            </w:r>
          </w:p>
        </w:tc>
        <w:tc>
          <w:tcPr>
            <w:tcW w:w="31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3,181,822.38</w:t>
            </w:r>
          </w:p>
        </w:tc>
      </w:tr>
    </w:tbl>
    <w:p>
      <w:pPr>
        <w:pStyle w:val="Heading4"/>
        <w:spacing w:line="240" w:lineRule="auto" w:before="63"/>
        <w:ind w:right="0"/>
        <w:jc w:val="left"/>
        <w:rPr>
          <w:b w:val="0"/>
          <w:bCs w:val="0"/>
        </w:rPr>
      </w:pPr>
      <w:bookmarkStart w:name="74、现金流量表补充资料" w:id="344"/>
      <w:bookmarkEnd w:id="344"/>
      <w:r>
        <w:rPr>
          <w:b w:val="0"/>
          <w:bCs w:val="0"/>
        </w:rPr>
      </w:r>
      <w:r>
        <w:rPr>
          <w:rFonts w:ascii="宋体" w:hAnsi="宋体" w:cs="宋体" w:eastAsia="宋体" w:hint="default"/>
        </w:rPr>
        <w:t>74</w:t>
      </w:r>
      <w:r>
        <w:rPr/>
        <w:t>、现金流量表补充资料</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53" w:right="0"/>
        <w:jc w:val="left"/>
        <w:rPr>
          <w:b w:val="0"/>
          <w:bCs w:val="0"/>
        </w:rPr>
      </w:pPr>
      <w:bookmarkStart w:name="（1）现金流量表补充资料" w:id="345"/>
      <w:bookmarkEnd w:id="345"/>
      <w:r>
        <w:rPr>
          <w:b w:val="0"/>
          <w:bCs w:val="0"/>
        </w:rPr>
      </w:r>
      <w:r>
        <w:rPr/>
        <w:t>（</w:t>
      </w:r>
      <w:r>
        <w:rPr>
          <w:rFonts w:ascii="宋体" w:hAnsi="宋体" w:cs="宋体" w:eastAsia="宋体" w:hint="default"/>
        </w:rPr>
        <w:t>1</w:t>
      </w:r>
      <w:r>
        <w:rPr/>
        <w:t>）现金流量表补充资料</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813"/>
        <w:gridCol w:w="2881"/>
        <w:gridCol w:w="2869"/>
      </w:tblGrid>
      <w:tr>
        <w:trPr>
          <w:trHeight w:val="415" w:hRule="exact"/>
        </w:trPr>
        <w:tc>
          <w:tcPr>
            <w:tcW w:w="38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88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86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8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sz w:val="18"/>
              </w:rPr>
              <w:t>--</w:t>
            </w:r>
          </w:p>
        </w:tc>
        <w:tc>
          <w:tcPr>
            <w:tcW w:w="286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sz w:val="18"/>
              </w:rPr>
              <w:t>--</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8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29,343,535.50</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47,336,805.85</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8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5,415,834.58</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4,512,471.35</w:t>
            </w:r>
          </w:p>
        </w:tc>
      </w:tr>
      <w:tr>
        <w:trPr>
          <w:trHeight w:val="719"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2"/>
              <w:ind w:left="6" w:right="1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 折旧</w:t>
            </w:r>
          </w:p>
        </w:tc>
        <w:tc>
          <w:tcPr>
            <w:tcW w:w="28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10,639,737.18</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7,948,752.74</w:t>
            </w:r>
          </w:p>
        </w:tc>
      </w:tr>
      <w:tr>
        <w:trPr>
          <w:trHeight w:val="408"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8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828,489.96</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811,323.40</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8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323,304.57</w:t>
            </w:r>
          </w:p>
        </w:tc>
        <w:tc>
          <w:tcPr>
            <w:tcW w:w="2869"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77"/>
              <w:ind w:left="6"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8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16,469.78</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97,346.57</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8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-596.58</w:t>
            </w:r>
          </w:p>
        </w:tc>
        <w:tc>
          <w:tcPr>
            <w:tcW w:w="286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8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7,088,083.11</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533,622.26</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881" w:type="dxa"/>
            <w:tcBorders>
              <w:top w:val="single" w:sz="6" w:space="0" w:color="000000"/>
              <w:left w:val="single" w:sz="14" w:space="0" w:color="D2D2D2"/>
              <w:bottom w:val="single" w:sz="6" w:space="0" w:color="000000"/>
              <w:right w:val="single" w:sz="6" w:space="0" w:color="000000"/>
            </w:tcBorders>
          </w:tcPr>
          <w:p>
            <w:pP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-310,149.07</w:t>
            </w:r>
          </w:p>
        </w:tc>
      </w:tr>
      <w:tr>
        <w:trPr>
          <w:trHeight w:val="415" w:hRule="exact"/>
        </w:trPr>
        <w:tc>
          <w:tcPr>
            <w:tcW w:w="38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88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-737,143.70</w:t>
            </w:r>
          </w:p>
        </w:tc>
        <w:tc>
          <w:tcPr>
            <w:tcW w:w="28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-675,476.33</w:t>
            </w:r>
          </w:p>
        </w:tc>
      </w:tr>
    </w:tbl>
    <w:p>
      <w:pPr>
        <w:spacing w:after="0" w:line="240" w:lineRule="auto"/>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45" w:type="dxa"/>
        <w:tblLayout w:type="fixed"/>
        <w:tblCellMar>
          <w:top w:w="0" w:type="dxa"/>
          <w:left w:w="0" w:type="dxa"/>
          <w:bottom w:w="0" w:type="dxa"/>
          <w:right w:w="0" w:type="dxa"/>
        </w:tblCellMar>
        <w:tblLook w:val="01E0"/>
      </w:tblPr>
      <w:tblGrid>
        <w:gridCol w:w="3813"/>
        <w:gridCol w:w="2881"/>
        <w:gridCol w:w="2869"/>
      </w:tblGrid>
      <w:tr>
        <w:trPr>
          <w:trHeight w:val="415" w:hRule="exact"/>
        </w:trPr>
        <w:tc>
          <w:tcPr>
            <w:tcW w:w="381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881" w:type="dxa"/>
            <w:tcBorders>
              <w:top w:val="single" w:sz="12"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-30,711,530.66</w:t>
            </w:r>
          </w:p>
        </w:tc>
        <w:tc>
          <w:tcPr>
            <w:tcW w:w="286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11,723,155.23</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8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-44,965,189.05</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-48,848,850.51</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8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10,791,945.83</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-2,701,451.72</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-11,967,059.48</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20,427,549.77</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8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346" w:right="0"/>
              <w:jc w:val="left"/>
              <w:rPr>
                <w:rFonts w:ascii="宋体" w:hAnsi="宋体" w:cs="宋体" w:eastAsia="宋体" w:hint="default"/>
                <w:sz w:val="18"/>
                <w:szCs w:val="18"/>
              </w:rPr>
            </w:pPr>
            <w:r>
              <w:rPr>
                <w:rFonts w:ascii="宋体"/>
                <w:sz w:val="18"/>
              </w:rPr>
              <w:t>--</w:t>
            </w:r>
          </w:p>
        </w:tc>
        <w:tc>
          <w:tcPr>
            <w:tcW w:w="286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1337" w:right="0"/>
              <w:jc w:val="left"/>
              <w:rPr>
                <w:rFonts w:ascii="宋体" w:hAnsi="宋体" w:cs="宋体" w:eastAsia="宋体" w:hint="default"/>
                <w:sz w:val="18"/>
                <w:szCs w:val="18"/>
              </w:rPr>
            </w:pPr>
            <w:r>
              <w:rPr>
                <w:rFonts w:ascii="宋体"/>
                <w:sz w:val="18"/>
              </w:rPr>
              <w:t>--</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8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346" w:right="0"/>
              <w:jc w:val="left"/>
              <w:rPr>
                <w:rFonts w:ascii="宋体" w:hAnsi="宋体" w:cs="宋体" w:eastAsia="宋体" w:hint="default"/>
                <w:sz w:val="18"/>
                <w:szCs w:val="18"/>
              </w:rPr>
            </w:pPr>
            <w:r>
              <w:rPr>
                <w:rFonts w:ascii="宋体"/>
                <w:sz w:val="18"/>
              </w:rPr>
              <w:t>--</w:t>
            </w:r>
          </w:p>
        </w:tc>
        <w:tc>
          <w:tcPr>
            <w:tcW w:w="286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1337" w:right="0"/>
              <w:jc w:val="left"/>
              <w:rPr>
                <w:rFonts w:ascii="宋体" w:hAnsi="宋体" w:cs="宋体" w:eastAsia="宋体" w:hint="default"/>
                <w:sz w:val="18"/>
                <w:szCs w:val="18"/>
              </w:rPr>
            </w:pPr>
            <w:r>
              <w:rPr>
                <w:rFonts w:ascii="宋体"/>
                <w:sz w:val="18"/>
              </w:rPr>
              <w:t>--</w:t>
            </w:r>
          </w:p>
        </w:tc>
      </w:tr>
      <w:tr>
        <w:trPr>
          <w:trHeight w:val="408"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8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354,576,465.03</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335,837,008.73</w:t>
            </w:r>
          </w:p>
        </w:tc>
      </w:tr>
      <w:tr>
        <w:trPr>
          <w:trHeight w:val="407" w:hRule="exact"/>
        </w:trPr>
        <w:tc>
          <w:tcPr>
            <w:tcW w:w="3813"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8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335,837,008.73</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455,506,356.75</w:t>
            </w:r>
          </w:p>
        </w:tc>
      </w:tr>
      <w:tr>
        <w:trPr>
          <w:trHeight w:val="414" w:hRule="exact"/>
        </w:trPr>
        <w:tc>
          <w:tcPr>
            <w:tcW w:w="3813"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88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18,739,456.30</w:t>
            </w:r>
          </w:p>
        </w:tc>
        <w:tc>
          <w:tcPr>
            <w:tcW w:w="28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11"/>
              <w:jc w:val="right"/>
              <w:rPr>
                <w:rFonts w:ascii="宋体" w:hAnsi="宋体" w:cs="宋体" w:eastAsia="宋体" w:hint="default"/>
                <w:sz w:val="18"/>
                <w:szCs w:val="18"/>
              </w:rPr>
            </w:pPr>
            <w:r>
              <w:rPr>
                <w:rFonts w:ascii="宋体"/>
                <w:sz w:val="18"/>
              </w:rPr>
              <w:t>-119,669,348.02</w:t>
            </w:r>
          </w:p>
        </w:tc>
      </w:tr>
    </w:tbl>
    <w:p>
      <w:pPr>
        <w:pStyle w:val="Heading4"/>
        <w:spacing w:line="240" w:lineRule="auto" w:before="63"/>
        <w:ind w:right="0"/>
        <w:jc w:val="left"/>
        <w:rPr>
          <w:b w:val="0"/>
          <w:bCs w:val="0"/>
        </w:rPr>
      </w:pPr>
      <w:bookmarkStart w:name="（2）本期支付的取得子公司的现金净额" w:id="346"/>
      <w:bookmarkEnd w:id="346"/>
      <w:r>
        <w:rPr>
          <w:b w:val="0"/>
          <w:bCs w:val="0"/>
        </w:rPr>
      </w:r>
      <w:r>
        <w:rPr/>
        <w:t>（</w:t>
      </w:r>
      <w:r>
        <w:rPr>
          <w:rFonts w:ascii="宋体" w:hAnsi="宋体" w:cs="宋体" w:eastAsia="宋体" w:hint="default"/>
        </w:rPr>
        <w:t>2</w:t>
      </w:r>
      <w:r>
        <w:rPr/>
        <w:t>）本期支付的取得子公司的现金净额</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53" w:right="0"/>
        <w:jc w:val="left"/>
        <w:rPr>
          <w:b w:val="0"/>
          <w:bCs w:val="0"/>
        </w:rPr>
      </w:pPr>
      <w:bookmarkStart w:name="（3）本期收到的处置子公司的现金净额" w:id="347"/>
      <w:bookmarkEnd w:id="347"/>
      <w:r>
        <w:rPr>
          <w:b w:val="0"/>
          <w:bCs w:val="0"/>
        </w:rPr>
      </w:r>
      <w:r>
        <w:rPr/>
        <w:t>（</w:t>
      </w:r>
      <w:r>
        <w:rPr>
          <w:rFonts w:ascii="宋体" w:hAnsi="宋体" w:cs="宋体" w:eastAsia="宋体" w:hint="default"/>
        </w:rPr>
        <w:t>3</w:t>
      </w:r>
      <w:r>
        <w:rPr/>
        <w:t>）本期收到的处置子公司的现金净额</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990"/>
        <w:gridCol w:w="4579"/>
      </w:tblGrid>
      <w:tr>
        <w:trPr>
          <w:trHeight w:val="369" w:hRule="exact"/>
        </w:trPr>
        <w:tc>
          <w:tcPr>
            <w:tcW w:w="4990"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457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70" w:hRule="exact"/>
        </w:trPr>
        <w:tc>
          <w:tcPr>
            <w:tcW w:w="49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79" w:type="dxa"/>
            <w:tcBorders>
              <w:top w:val="single" w:sz="17" w:space="0" w:color="D2D2D2"/>
              <w:left w:val="single" w:sz="14" w:space="0" w:color="D2D2D2"/>
              <w:bottom w:val="single" w:sz="23" w:space="0" w:color="D2D2D2"/>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11,250,000.00</w:t>
            </w:r>
          </w:p>
        </w:tc>
      </w:tr>
      <w:tr>
        <w:trPr>
          <w:trHeight w:val="355" w:hRule="exact"/>
        </w:trPr>
        <w:tc>
          <w:tcPr>
            <w:tcW w:w="49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25"/>
              <w:ind w:left="8" w:right="0"/>
              <w:jc w:val="center"/>
              <w:rPr>
                <w:rFonts w:ascii="宋体" w:hAnsi="宋体" w:cs="宋体" w:eastAsia="宋体" w:hint="default"/>
                <w:sz w:val="18"/>
                <w:szCs w:val="18"/>
              </w:rPr>
            </w:pPr>
            <w:r>
              <w:rPr>
                <w:rFonts w:ascii="宋体"/>
                <w:sz w:val="18"/>
              </w:rPr>
              <w:t>--</w:t>
            </w:r>
          </w:p>
        </w:tc>
      </w:tr>
      <w:tr>
        <w:trPr>
          <w:trHeight w:val="461" w:hRule="exact"/>
        </w:trPr>
        <w:tc>
          <w:tcPr>
            <w:tcW w:w="4990" w:type="dxa"/>
            <w:tcBorders>
              <w:top w:val="single" w:sz="23" w:space="0" w:color="D2D2D2"/>
              <w:left w:val="single" w:sz="12" w:space="0" w:color="000000"/>
              <w:bottom w:val="single" w:sz="17" w:space="0" w:color="D2D2D2"/>
              <w:right w:val="single" w:sz="6" w:space="0" w:color="000000"/>
            </w:tcBorders>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南京宇能仪表有限公司</w:t>
            </w:r>
          </w:p>
        </w:tc>
        <w:tc>
          <w:tcPr>
            <w:tcW w:w="4579"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11,250,000.00</w:t>
            </w:r>
          </w:p>
        </w:tc>
      </w:tr>
      <w:tr>
        <w:trPr>
          <w:trHeight w:val="420" w:hRule="exact"/>
        </w:trPr>
        <w:tc>
          <w:tcPr>
            <w:tcW w:w="49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79" w:type="dxa"/>
            <w:tcBorders>
              <w:top w:val="single" w:sz="6" w:space="0" w:color="000000"/>
              <w:left w:val="single" w:sz="14" w:space="0" w:color="D2D2D2"/>
              <w:bottom w:val="single" w:sz="23" w:space="0" w:color="D2D2D2"/>
              <w:right w:val="single" w:sz="12"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3,059,091.25</w:t>
            </w:r>
          </w:p>
        </w:tc>
      </w:tr>
      <w:tr>
        <w:trPr>
          <w:trHeight w:val="355" w:hRule="exact"/>
        </w:trPr>
        <w:tc>
          <w:tcPr>
            <w:tcW w:w="49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25"/>
              <w:ind w:left="8" w:right="0"/>
              <w:jc w:val="center"/>
              <w:rPr>
                <w:rFonts w:ascii="宋体" w:hAnsi="宋体" w:cs="宋体" w:eastAsia="宋体" w:hint="default"/>
                <w:sz w:val="18"/>
                <w:szCs w:val="18"/>
              </w:rPr>
            </w:pPr>
            <w:r>
              <w:rPr>
                <w:rFonts w:ascii="宋体"/>
                <w:sz w:val="18"/>
              </w:rPr>
              <w:t>--</w:t>
            </w:r>
          </w:p>
        </w:tc>
      </w:tr>
      <w:tr>
        <w:trPr>
          <w:trHeight w:val="469" w:hRule="exact"/>
        </w:trPr>
        <w:tc>
          <w:tcPr>
            <w:tcW w:w="4990" w:type="dxa"/>
            <w:tcBorders>
              <w:top w:val="single" w:sz="23" w:space="0" w:color="D2D2D2"/>
              <w:left w:val="single" w:sz="12" w:space="0" w:color="000000"/>
              <w:bottom w:val="single" w:sz="17" w:space="0" w:color="D2D2D2"/>
              <w:right w:val="single" w:sz="6" w:space="0" w:color="000000"/>
            </w:tcBorders>
          </w:tcPr>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南京宇能仪表有限公司</w:t>
            </w:r>
          </w:p>
        </w:tc>
        <w:tc>
          <w:tcPr>
            <w:tcW w:w="4579" w:type="dxa"/>
            <w:tcBorders>
              <w:top w:val="single" w:sz="23" w:space="0" w:color="D2D2D2"/>
              <w:left w:val="single" w:sz="6" w:space="0" w:color="000000"/>
              <w:bottom w:val="single" w:sz="17" w:space="0" w:color="D2D2D2"/>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3,059,091.25</w:t>
            </w:r>
          </w:p>
        </w:tc>
      </w:tr>
      <w:tr>
        <w:trPr>
          <w:trHeight w:val="355" w:hRule="exact"/>
        </w:trPr>
        <w:tc>
          <w:tcPr>
            <w:tcW w:w="4990"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24"/>
              <w:ind w:left="1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24"/>
              <w:ind w:left="8" w:right="0"/>
              <w:jc w:val="center"/>
              <w:rPr>
                <w:rFonts w:ascii="宋体" w:hAnsi="宋体" w:cs="宋体" w:eastAsia="宋体" w:hint="default"/>
                <w:sz w:val="18"/>
                <w:szCs w:val="18"/>
              </w:rPr>
            </w:pPr>
            <w:r>
              <w:rPr>
                <w:rFonts w:ascii="宋体"/>
                <w:sz w:val="18"/>
              </w:rPr>
              <w:t>--</w:t>
            </w:r>
          </w:p>
        </w:tc>
      </w:tr>
      <w:tr>
        <w:trPr>
          <w:trHeight w:val="448" w:hRule="exact"/>
        </w:trPr>
        <w:tc>
          <w:tcPr>
            <w:tcW w:w="4990"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79" w:type="dxa"/>
            <w:tcBorders>
              <w:top w:val="single" w:sz="17" w:space="0" w:color="D2D2D2"/>
              <w:left w:val="single" w:sz="14" w:space="0" w:color="D2D2D2"/>
              <w:bottom w:val="single" w:sz="12"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8,190,908.75</w:t>
            </w:r>
          </w:p>
        </w:tc>
      </w:tr>
    </w:tbl>
    <w:p>
      <w:pPr>
        <w:spacing w:line="240" w:lineRule="auto" w:before="1"/>
        <w:rPr>
          <w:rFonts w:ascii="宋体" w:hAnsi="宋体" w:cs="宋体" w:eastAsia="宋体" w:hint="default"/>
          <w:sz w:val="14"/>
          <w:szCs w:val="14"/>
        </w:rPr>
      </w:pPr>
    </w:p>
    <w:p>
      <w:pPr>
        <w:pStyle w:val="Heading4"/>
        <w:spacing w:line="240" w:lineRule="auto" w:before="35"/>
        <w:ind w:right="0"/>
        <w:jc w:val="left"/>
        <w:rPr>
          <w:b w:val="0"/>
          <w:bCs w:val="0"/>
        </w:rPr>
      </w:pPr>
      <w:bookmarkStart w:name="（4）现金和现金等价物的构成" w:id="348"/>
      <w:bookmarkEnd w:id="348"/>
      <w:r>
        <w:rPr>
          <w:b w:val="0"/>
          <w:bCs w:val="0"/>
        </w:rPr>
      </w:r>
      <w:r>
        <w:rPr/>
        <w:t>（</w:t>
      </w:r>
      <w:r>
        <w:rPr>
          <w:rFonts w:ascii="宋体" w:hAnsi="宋体" w:cs="宋体" w:eastAsia="宋体" w:hint="default"/>
        </w:rPr>
        <w:t>4</w:t>
      </w:r>
      <w:r>
        <w:rPr/>
        <w:t>）现金和现金等价物的构成</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311"/>
        <w:gridCol w:w="3068"/>
        <w:gridCol w:w="3183"/>
      </w:tblGrid>
      <w:tr>
        <w:trPr>
          <w:trHeight w:val="413" w:hRule="exact"/>
        </w:trPr>
        <w:tc>
          <w:tcPr>
            <w:tcW w:w="3311"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354,576,465.03</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335,837,008.73</w:t>
            </w:r>
          </w:p>
        </w:tc>
      </w:tr>
      <w:tr>
        <w:trPr>
          <w:trHeight w:val="407"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161,167.83</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96,158.73</w:t>
            </w:r>
          </w:p>
        </w:tc>
      </w:tr>
      <w:tr>
        <w:trPr>
          <w:trHeight w:val="407" w:hRule="exact"/>
        </w:trPr>
        <w:tc>
          <w:tcPr>
            <w:tcW w:w="3311"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354,415,297.20</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335,740,850.00</w:t>
            </w:r>
          </w:p>
        </w:tc>
      </w:tr>
      <w:tr>
        <w:trPr>
          <w:trHeight w:val="415" w:hRule="exact"/>
        </w:trPr>
        <w:tc>
          <w:tcPr>
            <w:tcW w:w="3311"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354,576,465.03</w:t>
            </w:r>
          </w:p>
        </w:tc>
        <w:tc>
          <w:tcPr>
            <w:tcW w:w="31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335,837,008.73</w:t>
            </w:r>
          </w:p>
        </w:tc>
      </w:tr>
    </w:tbl>
    <w:p>
      <w:pPr>
        <w:pStyle w:val="BodyText"/>
        <w:spacing w:line="408" w:lineRule="auto" w:before="63"/>
        <w:ind w:left="573" w:right="0"/>
        <w:jc w:val="left"/>
      </w:pPr>
      <w:r>
        <w:rPr/>
        <w:t>其他说明： </w:t>
      </w:r>
      <w:r>
        <w:rPr>
          <w:spacing w:val="-1"/>
        </w:rPr>
        <w:t>银行承兑汇票保证金和履约保函保证金存款的流动性受到限制，故未确认为现金和现金等价物，记入</w:t>
      </w:r>
    </w:p>
    <w:p>
      <w:pPr>
        <w:pStyle w:val="BodyText"/>
        <w:spacing w:line="240" w:lineRule="auto"/>
        <w:ind w:right="0"/>
        <w:jc w:val="left"/>
      </w:pPr>
      <w:r>
        <w:rPr/>
        <w:t>其他货币资金。</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日其他货币资金的余额为</w:t>
      </w:r>
      <w:r>
        <w:rPr>
          <w:spacing w:val="-53"/>
        </w:rPr>
        <w:t> </w:t>
      </w:r>
      <w:r>
        <w:rPr>
          <w:rFonts w:ascii="宋体" w:hAnsi="宋体" w:cs="宋体" w:eastAsia="宋体" w:hint="default"/>
        </w:rPr>
        <w:t>22,088,921.07</w:t>
      </w:r>
      <w:r>
        <w:rPr>
          <w:rFonts w:ascii="宋体" w:hAnsi="宋体" w:cs="宋体" w:eastAsia="宋体" w:hint="default"/>
          <w:spacing w:val="-54"/>
        </w:rPr>
        <w:t> </w:t>
      </w:r>
      <w:r>
        <w:rPr/>
        <w:t>元，</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日余额为</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25,540,363.56</w:t>
      </w:r>
      <w:r>
        <w:rPr>
          <w:rFonts w:ascii="宋体" w:hAnsi="宋体" w:cs="宋体" w:eastAsia="宋体" w:hint="default"/>
          <w:spacing w:val="-52"/>
        </w:rPr>
        <w:t> </w:t>
      </w:r>
      <w:r>
        <w:rPr/>
        <w:t>元。</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273" w:right="6322"/>
        <w:jc w:val="left"/>
        <w:rPr>
          <w:b w:val="0"/>
          <w:bCs w:val="0"/>
        </w:rPr>
      </w:pPr>
      <w:bookmarkStart w:name="75、所有者权益变动表项目注释" w:id="349"/>
      <w:bookmarkEnd w:id="349"/>
      <w:r>
        <w:rPr>
          <w:b w:val="0"/>
          <w:bCs w:val="0"/>
        </w:rPr>
      </w:r>
      <w:r>
        <w:rPr>
          <w:rFonts w:ascii="宋体" w:hAnsi="宋体" w:cs="宋体" w:eastAsia="宋体" w:hint="default"/>
        </w:rPr>
        <w:t>75</w:t>
      </w:r>
      <w:r>
        <w:rPr/>
        <w:t>、所有者权益变动表项目注释</w:t>
      </w:r>
      <w:r>
        <w:rPr>
          <w:b w:val="0"/>
          <w:bCs w:val="0"/>
        </w:rPr>
      </w:r>
    </w:p>
    <w:p>
      <w:pPr>
        <w:spacing w:line="240" w:lineRule="auto" w:before="10"/>
        <w:rPr>
          <w:rFonts w:ascii="宋体" w:hAnsi="宋体" w:cs="宋体" w:eastAsia="宋体" w:hint="default"/>
          <w:b/>
          <w:bCs/>
          <w:sz w:val="14"/>
          <w:szCs w:val="14"/>
        </w:rPr>
      </w:pPr>
    </w:p>
    <w:p>
      <w:pPr>
        <w:spacing w:line="408" w:lineRule="auto" w:before="0"/>
        <w:ind w:left="274" w:right="639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6、所有权或使用权受到限制的资产" w:id="350"/>
      <w:bookmarkEnd w:id="350"/>
      <w:r>
        <w:rPr>
          <w:rFonts w:ascii="宋体" w:hAnsi="宋体" w:cs="宋体" w:eastAsia="宋体" w:hint="default"/>
          <w:sz w:val="21"/>
          <w:szCs w:val="21"/>
        </w:rPr>
      </w:r>
      <w:r>
        <w:rPr>
          <w:rFonts w:ascii="宋体" w:hAnsi="宋体" w:cs="宋体" w:eastAsia="宋体"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3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9"/>
          <w:szCs w:val="9"/>
        </w:rPr>
      </w:pPr>
    </w:p>
    <w:tbl>
      <w:tblPr>
        <w:tblW w:w="0" w:type="auto"/>
        <w:jc w:val="left"/>
        <w:tblInd w:w="258" w:type="dxa"/>
        <w:tblLayout w:type="fixed"/>
        <w:tblCellMar>
          <w:top w:w="0" w:type="dxa"/>
          <w:left w:w="0" w:type="dxa"/>
          <w:bottom w:w="0" w:type="dxa"/>
          <w:right w:w="0" w:type="dxa"/>
        </w:tblCellMar>
        <w:tblLook w:val="01E0"/>
      </w:tblPr>
      <w:tblGrid>
        <w:gridCol w:w="3329"/>
        <w:gridCol w:w="3057"/>
        <w:gridCol w:w="3183"/>
      </w:tblGrid>
      <w:tr>
        <w:trPr>
          <w:trHeight w:val="369" w:hRule="exact"/>
        </w:trPr>
        <w:tc>
          <w:tcPr>
            <w:tcW w:w="332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98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7"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41" w:hRule="exact"/>
        </w:trPr>
        <w:tc>
          <w:tcPr>
            <w:tcW w:w="33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22,088,921.07</w:t>
            </w:r>
          </w:p>
        </w:tc>
        <w:tc>
          <w:tcPr>
            <w:tcW w:w="3183"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left="20" w:right="0"/>
              <w:jc w:val="left"/>
              <w:rPr>
                <w:rFonts w:ascii="宋体" w:hAnsi="宋体" w:cs="宋体" w:eastAsia="宋体" w:hint="default"/>
                <w:sz w:val="18"/>
                <w:szCs w:val="18"/>
              </w:rPr>
            </w:pPr>
            <w:r>
              <w:rPr>
                <w:rFonts w:ascii="宋体" w:hAnsi="宋体" w:cs="宋体" w:eastAsia="宋体" w:hint="default"/>
                <w:sz w:val="18"/>
                <w:szCs w:val="18"/>
              </w:rPr>
              <w:t>承兑汇票、保函、履约保证金</w:t>
            </w:r>
          </w:p>
        </w:tc>
      </w:tr>
      <w:tr>
        <w:trPr>
          <w:trHeight w:val="412" w:hRule="exact"/>
        </w:trPr>
        <w:tc>
          <w:tcPr>
            <w:tcW w:w="33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8,403,881.90</w:t>
            </w:r>
          </w:p>
        </w:tc>
        <w:tc>
          <w:tcPr>
            <w:tcW w:w="31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12" w:hRule="exact"/>
        </w:trPr>
        <w:tc>
          <w:tcPr>
            <w:tcW w:w="3329"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1,704,300.00</w:t>
            </w:r>
          </w:p>
        </w:tc>
        <w:tc>
          <w:tcPr>
            <w:tcW w:w="3183" w:type="dxa"/>
            <w:tcBorders>
              <w:top w:val="single" w:sz="6" w:space="0" w:color="000000"/>
              <w:left w:val="single" w:sz="6" w:space="0" w:color="000000"/>
              <w:bottom w:val="single" w:sz="17" w:space="0" w:color="D2D2D2"/>
              <w:right w:val="single" w:sz="12"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20" w:hRule="exact"/>
        </w:trPr>
        <w:tc>
          <w:tcPr>
            <w:tcW w:w="332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6" w:space="0" w:color="000000"/>
              <w:left w:val="single" w:sz="14" w:space="0" w:color="D2D2D2"/>
              <w:bottom w:val="single" w:sz="12" w:space="0" w:color="000000"/>
              <w:right w:val="single" w:sz="14" w:space="0" w:color="D2D2D2"/>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32,197,102.97</w:t>
            </w:r>
          </w:p>
        </w:tc>
        <w:tc>
          <w:tcPr>
            <w:tcW w:w="3183"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sz w:val="18"/>
              </w:rPr>
              <w:t>--</w:t>
            </w:r>
          </w:p>
        </w:tc>
      </w:tr>
    </w:tbl>
    <w:p>
      <w:pPr>
        <w:pStyle w:val="Heading4"/>
        <w:spacing w:line="240" w:lineRule="auto" w:before="63"/>
        <w:ind w:left="274" w:right="6322"/>
        <w:jc w:val="left"/>
        <w:rPr>
          <w:b w:val="0"/>
          <w:bCs w:val="0"/>
        </w:rPr>
      </w:pPr>
      <w:bookmarkStart w:name="77、外币货币性项目" w:id="351"/>
      <w:bookmarkEnd w:id="351"/>
      <w:r>
        <w:rPr>
          <w:b w:val="0"/>
          <w:bCs w:val="0"/>
        </w:rPr>
      </w:r>
      <w:r>
        <w:rPr>
          <w:rFonts w:ascii="宋体" w:hAnsi="宋体" w:cs="宋体" w:eastAsia="宋体" w:hint="default"/>
        </w:rPr>
        <w:t>77</w:t>
      </w:r>
      <w:r>
        <w:rPr/>
        <w:t>、外币货币性项目</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273" w:right="6322"/>
        <w:jc w:val="left"/>
        <w:rPr>
          <w:b w:val="0"/>
          <w:bCs w:val="0"/>
        </w:rPr>
      </w:pPr>
      <w:bookmarkStart w:name="（1）外币货币性项目" w:id="352"/>
      <w:bookmarkEnd w:id="352"/>
      <w:r>
        <w:rPr>
          <w:b w:val="0"/>
          <w:bCs w:val="0"/>
        </w:rPr>
      </w:r>
      <w:r>
        <w:rPr/>
        <w:t>（</w:t>
      </w:r>
      <w:r>
        <w:rPr>
          <w:rFonts w:ascii="宋体" w:hAnsi="宋体" w:cs="宋体" w:eastAsia="宋体" w:hint="default"/>
        </w:rPr>
        <w:t>1</w:t>
      </w:r>
      <w:r>
        <w:rPr/>
        <w:t>）外币货币性项目</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273" w:right="632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408" w:lineRule="auto"/>
        <w:ind w:left="274" w:right="0"/>
        <w:jc w:val="left"/>
        <w:rPr>
          <w:b w:val="0"/>
          <w:bCs w:val="0"/>
        </w:rPr>
      </w:pPr>
      <w:bookmarkStart w:name="（2）境外经营实体说明，包括对于重要的境外经营实体，应披露其境外主要经营地、记账" w:id="353"/>
      <w:bookmarkEnd w:id="353"/>
      <w:r>
        <w:rPr>
          <w:b w:val="0"/>
          <w:bCs w:val="0"/>
        </w:rPr>
      </w:r>
      <w:r>
        <w:rPr/>
        <w:t>（</w:t>
      </w:r>
      <w:r>
        <w:rPr>
          <w:rFonts w:ascii="宋体" w:hAnsi="宋体" w:cs="宋体" w:eastAsia="宋体"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408" w:lineRule="auto" w:before="46"/>
        <w:ind w:left="27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8、套期" w:id="354"/>
      <w:bookmarkEnd w:id="354"/>
      <w:r>
        <w:rPr>
          <w:rFonts w:ascii="宋体" w:hAnsi="宋体" w:cs="宋体" w:eastAsia="宋体" w:hint="default"/>
          <w:sz w:val="21"/>
          <w:szCs w:val="21"/>
        </w:rPr>
      </w:r>
      <w:r>
        <w:rPr>
          <w:rFonts w:ascii="宋体" w:hAnsi="宋体" w:cs="宋体" w:eastAsia="宋体" w:hint="default"/>
          <w:b/>
          <w:bCs/>
          <w:sz w:val="21"/>
          <w:szCs w:val="21"/>
        </w:rPr>
        <w:t>78</w:t>
      </w:r>
      <w:r>
        <w:rPr>
          <w:rFonts w:ascii="宋体" w:hAnsi="宋体" w:cs="宋体" w:eastAsia="宋体" w:hint="default"/>
          <w:b/>
          <w:bCs/>
          <w:sz w:val="21"/>
          <w:szCs w:val="21"/>
        </w:rPr>
        <w:t>、套期</w:t>
      </w:r>
      <w:r>
        <w:rPr>
          <w:rFonts w:ascii="宋体" w:hAnsi="宋体" w:cs="宋体" w:eastAsia="宋体" w:hint="default"/>
          <w:sz w:val="21"/>
          <w:szCs w:val="21"/>
        </w:rPr>
      </w:r>
    </w:p>
    <w:p>
      <w:pPr>
        <w:pStyle w:val="BodyText"/>
        <w:spacing w:line="408" w:lineRule="auto"/>
        <w:ind w:left="273" w:right="2633"/>
        <w:jc w:val="left"/>
        <w:rPr>
          <w:rFonts w:ascii="宋体" w:hAnsi="宋体" w:cs="宋体" w:eastAsia="宋体" w:hint="default"/>
        </w:rPr>
      </w:pPr>
      <w:r>
        <w:rPr/>
        <w:t>按照套期类别披露套期项目及相关套期工具、被套期风险的定性和定量信息： </w:t>
      </w:r>
      <w:bookmarkStart w:name="79、其他" w:id="355"/>
      <w:bookmarkEnd w:id="355"/>
      <w:r>
        <w:rPr/>
      </w:r>
      <w:r>
        <w:rPr>
          <w:rFonts w:ascii="宋体" w:hAnsi="宋体" w:cs="宋体" w:eastAsia="宋体" w:hint="default"/>
          <w:b/>
          <w:bCs/>
        </w:rPr>
        <w:t>79</w:t>
      </w:r>
      <w:r>
        <w:rPr>
          <w:rFonts w:ascii="宋体" w:hAnsi="宋体" w:cs="宋体" w:eastAsia="宋体" w:hint="default"/>
          <w:b/>
          <w:bCs/>
        </w:rPr>
        <w:t>、其他</w:t>
      </w:r>
      <w:r>
        <w:rPr>
          <w:rFonts w:ascii="宋体" w:hAnsi="宋体" w:cs="宋体" w:eastAsia="宋体" w:hint="default"/>
        </w:rPr>
      </w:r>
    </w:p>
    <w:p>
      <w:pPr>
        <w:spacing w:line="364" w:lineRule="auto" w:before="9"/>
        <w:ind w:left="273" w:right="734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八、合并范围的变更" w:id="356"/>
      <w:bookmarkEnd w:id="356"/>
      <w:r>
        <w:rPr>
          <w:rFonts w:ascii="宋体" w:hAnsi="宋体" w:cs="宋体" w:eastAsia="宋体" w:hint="default"/>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57"/>
      <w:bookmarkEnd w:id="357"/>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4"/>
        <w:ind w:left="273" w:right="0"/>
        <w:jc w:val="left"/>
        <w:rPr>
          <w:b w:val="0"/>
          <w:bCs w:val="0"/>
        </w:rPr>
      </w:pPr>
      <w:bookmarkStart w:name="（1）本期发生的非同一控制下企业合并" w:id="358"/>
      <w:bookmarkEnd w:id="358"/>
      <w:r>
        <w:rPr>
          <w:b w:val="0"/>
          <w:bCs w:val="0"/>
        </w:rPr>
      </w:r>
      <w:r>
        <w:rPr/>
        <w:t>（</w:t>
      </w:r>
      <w:r>
        <w:rPr>
          <w:rFonts w:ascii="宋体" w:hAnsi="宋体" w:cs="宋体" w:eastAsia="宋体" w:hint="default"/>
        </w:rPr>
        <w:t>1</w:t>
      </w:r>
      <w:r>
        <w:rPr/>
        <w:t>）本期发生的非同一控制下企业合并</w:t>
      </w:r>
      <w:r>
        <w:rPr>
          <w:b w:val="0"/>
          <w:bCs w:val="0"/>
        </w:rPr>
      </w:r>
    </w:p>
    <w:p>
      <w:pPr>
        <w:spacing w:line="240" w:lineRule="auto" w:before="11"/>
        <w:rPr>
          <w:rFonts w:ascii="宋体" w:hAnsi="宋体" w:cs="宋体" w:eastAsia="宋体" w:hint="default"/>
          <w:b/>
          <w:bCs/>
          <w:sz w:val="13"/>
          <w:szCs w:val="13"/>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418"/>
        <w:gridCol w:w="992"/>
        <w:gridCol w:w="1418"/>
        <w:gridCol w:w="710"/>
        <w:gridCol w:w="991"/>
        <w:gridCol w:w="851"/>
        <w:gridCol w:w="993"/>
        <w:gridCol w:w="1134"/>
        <w:gridCol w:w="1275"/>
      </w:tblGrid>
      <w:tr>
        <w:trPr>
          <w:trHeight w:val="958" w:hRule="exact"/>
        </w:trPr>
        <w:tc>
          <w:tcPr>
            <w:tcW w:w="1418"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99" w:right="36"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71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7" w:right="77"/>
              <w:jc w:val="left"/>
              <w:rPr>
                <w:rFonts w:ascii="宋体" w:hAnsi="宋体" w:cs="宋体" w:eastAsia="宋体" w:hint="default"/>
                <w:sz w:val="18"/>
                <w:szCs w:val="18"/>
              </w:rPr>
            </w:pPr>
            <w:r>
              <w:rPr>
                <w:rFonts w:ascii="宋体" w:hAnsi="宋体" w:cs="宋体" w:eastAsia="宋体" w:hint="default"/>
                <w:sz w:val="18"/>
                <w:szCs w:val="18"/>
              </w:rPr>
              <w:t>股权取 得比例</w:t>
            </w:r>
          </w:p>
        </w:tc>
        <w:tc>
          <w:tcPr>
            <w:tcW w:w="9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98" w:right="36"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85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8" w:right="39"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13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109" w:right="108"/>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27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10"/>
              <w:ind w:left="89" w:right="80"/>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952" w:hRule="exact"/>
        </w:trPr>
        <w:tc>
          <w:tcPr>
            <w:tcW w:w="14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3" w:right="20"/>
              <w:jc w:val="left"/>
              <w:rPr>
                <w:rFonts w:ascii="宋体" w:hAnsi="宋体" w:cs="宋体" w:eastAsia="宋体" w:hint="default"/>
                <w:sz w:val="18"/>
                <w:szCs w:val="18"/>
              </w:rPr>
            </w:pPr>
            <w:r>
              <w:rPr>
                <w:rFonts w:ascii="宋体" w:hAnsi="宋体" w:cs="宋体" w:eastAsia="宋体" w:hint="default"/>
                <w:spacing w:val="13"/>
                <w:sz w:val="18"/>
                <w:szCs w:val="18"/>
              </w:rPr>
              <w:t>湖北索瑞电气有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12</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724,031,776.16</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84.82%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发行股份、 支付现金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38" w:right="39"/>
              <w:jc w:val="both"/>
              <w:rPr>
                <w:rFonts w:ascii="宋体" w:hAnsi="宋体" w:cs="宋体" w:eastAsia="宋体" w:hint="default"/>
                <w:sz w:val="18"/>
                <w:szCs w:val="18"/>
              </w:rPr>
            </w:pPr>
            <w:r>
              <w:rPr>
                <w:rFonts w:ascii="宋体" w:hAnsi="宋体" w:cs="宋体" w:eastAsia="宋体" w:hint="default"/>
                <w:sz w:val="18"/>
                <w:szCs w:val="18"/>
              </w:rPr>
              <w:t>获得证监会 批文、办理 完工商变更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0.00</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18"/>
                <w:szCs w:val="18"/>
              </w:rPr>
            </w:pPr>
            <w:r>
              <w:rPr>
                <w:rFonts w:ascii="宋体"/>
                <w:sz w:val="18"/>
              </w:rPr>
              <w:t>0.00</w:t>
            </w:r>
          </w:p>
        </w:tc>
      </w:tr>
      <w:tr>
        <w:trPr>
          <w:trHeight w:val="647" w:hRule="exact"/>
        </w:trPr>
        <w:tc>
          <w:tcPr>
            <w:tcW w:w="1418" w:type="dxa"/>
            <w:tcBorders>
              <w:top w:val="single" w:sz="6" w:space="0" w:color="000000"/>
              <w:left w:val="single" w:sz="12" w:space="0" w:color="000000"/>
              <w:bottom w:val="single" w:sz="12" w:space="0" w:color="000000"/>
              <w:right w:val="single" w:sz="6" w:space="0" w:color="000000"/>
            </w:tcBorders>
          </w:tcPr>
          <w:p>
            <w:pPr>
              <w:pStyle w:val="TableParagraph"/>
              <w:spacing w:line="319" w:lineRule="auto" w:before="10"/>
              <w:ind w:left="13" w:right="20"/>
              <w:jc w:val="left"/>
              <w:rPr>
                <w:rFonts w:ascii="宋体" w:hAnsi="宋体" w:cs="宋体" w:eastAsia="宋体" w:hint="default"/>
                <w:sz w:val="18"/>
                <w:szCs w:val="18"/>
              </w:rPr>
            </w:pPr>
            <w:r>
              <w:rPr>
                <w:rFonts w:ascii="宋体" w:hAnsi="宋体" w:cs="宋体" w:eastAsia="宋体" w:hint="default"/>
                <w:spacing w:val="13"/>
                <w:sz w:val="18"/>
                <w:szCs w:val="18"/>
              </w:rPr>
              <w:t>南京云商天下信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息技术有限公司</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04</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11,440,000.00</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51.00%</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10"/>
              <w:ind w:left="308" w:right="39" w:hanging="270"/>
              <w:jc w:val="left"/>
              <w:rPr>
                <w:rFonts w:ascii="宋体" w:hAnsi="宋体" w:cs="宋体" w:eastAsia="宋体" w:hint="default"/>
                <w:sz w:val="18"/>
                <w:szCs w:val="18"/>
              </w:rPr>
            </w:pPr>
            <w:r>
              <w:rPr>
                <w:rFonts w:ascii="宋体" w:hAnsi="宋体" w:cs="宋体" w:eastAsia="宋体" w:hint="default"/>
                <w:sz w:val="18"/>
                <w:szCs w:val="18"/>
              </w:rPr>
              <w:t>办理完工商 变更</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-481,509.42</w:t>
            </w:r>
          </w:p>
        </w:tc>
        <w:tc>
          <w:tcPr>
            <w:tcW w:w="12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8"/>
                <w:szCs w:val="18"/>
              </w:rPr>
            </w:pPr>
            <w:r>
              <w:rPr>
                <w:rFonts w:ascii="宋体"/>
                <w:sz w:val="18"/>
              </w:rPr>
              <w:t>-1,284,237.88</w:t>
            </w:r>
          </w:p>
        </w:tc>
      </w:tr>
    </w:tbl>
    <w:p>
      <w:pPr>
        <w:spacing w:after="0" w:line="240" w:lineRule="auto"/>
        <w:jc w:val="center"/>
        <w:rPr>
          <w:rFonts w:ascii="宋体" w:hAnsi="宋体" w:cs="宋体" w:eastAsia="宋体" w:hint="default"/>
          <w:sz w:val="18"/>
          <w:szCs w:val="18"/>
        </w:rPr>
        <w:sectPr>
          <w:pgSz w:w="11910" w:h="16840"/>
          <w:pgMar w:header="747" w:footer="1000" w:top="1040" w:bottom="1180" w:left="860" w:right="980"/>
        </w:sectPr>
      </w:pPr>
    </w:p>
    <w:p>
      <w:pPr>
        <w:spacing w:line="240" w:lineRule="auto" w:before="7"/>
        <w:rPr>
          <w:rFonts w:ascii="宋体" w:hAnsi="宋体" w:cs="宋体" w:eastAsia="宋体" w:hint="default"/>
          <w:sz w:val="25"/>
          <w:szCs w:val="25"/>
        </w:rPr>
      </w:pPr>
    </w:p>
    <w:p>
      <w:pPr>
        <w:pStyle w:val="Heading4"/>
        <w:spacing w:line="240" w:lineRule="auto" w:before="35"/>
        <w:ind w:left="153" w:right="102"/>
        <w:jc w:val="left"/>
        <w:rPr>
          <w:b w:val="0"/>
          <w:bCs w:val="0"/>
        </w:rPr>
      </w:pPr>
      <w:bookmarkStart w:name="（2）合并成本及商誉" w:id="359"/>
      <w:bookmarkEnd w:id="359"/>
      <w:r>
        <w:rPr>
          <w:b w:val="0"/>
          <w:bCs w:val="0"/>
        </w:rPr>
      </w:r>
      <w:r>
        <w:rPr/>
        <w:t>（</w:t>
      </w:r>
      <w:r>
        <w:rPr>
          <w:rFonts w:ascii="宋体" w:hAnsi="宋体" w:cs="宋体" w:eastAsia="宋体" w:hint="default"/>
        </w:rPr>
        <w:t>2</w:t>
      </w:r>
      <w:r>
        <w:rPr/>
        <w:t>）合并成本及商誉</w:t>
      </w:r>
      <w:r>
        <w:rPr>
          <w:b w:val="0"/>
          <w:bCs w:val="0"/>
        </w:rPr>
      </w:r>
    </w:p>
    <w:p>
      <w:pPr>
        <w:spacing w:line="240" w:lineRule="auto" w:before="12"/>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3834"/>
        <w:gridCol w:w="2833"/>
        <w:gridCol w:w="2834"/>
      </w:tblGrid>
      <w:tr>
        <w:trPr>
          <w:trHeight w:val="355" w:hRule="exact"/>
        </w:trPr>
        <w:tc>
          <w:tcPr>
            <w:tcW w:w="383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8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508"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283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0"/>
              <w:ind w:left="147" w:right="0"/>
              <w:jc w:val="left"/>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r>
      <w:tr>
        <w:trPr>
          <w:trHeight w:val="347" w:hRule="exact"/>
        </w:trPr>
        <w:tc>
          <w:tcPr>
            <w:tcW w:w="38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105,604,800.00</w:t>
            </w:r>
          </w:p>
        </w:tc>
        <w:tc>
          <w:tcPr>
            <w:tcW w:w="28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11,440,000.00</w:t>
            </w:r>
          </w:p>
        </w:tc>
      </w:tr>
      <w:tr>
        <w:trPr>
          <w:trHeight w:val="347" w:hRule="exact"/>
        </w:trPr>
        <w:tc>
          <w:tcPr>
            <w:tcW w:w="38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非现金资产的公允价值</w:t>
            </w:r>
          </w:p>
        </w:tc>
        <w:tc>
          <w:tcPr>
            <w:tcW w:w="2833" w:type="dxa"/>
            <w:tcBorders>
              <w:top w:val="single" w:sz="6" w:space="0" w:color="000000"/>
              <w:left w:val="single" w:sz="6" w:space="0" w:color="000000"/>
              <w:bottom w:val="single" w:sz="6" w:space="0" w:color="000000"/>
              <w:right w:val="single" w:sz="6" w:space="0" w:color="000000"/>
            </w:tcBorders>
          </w:tcPr>
          <w:p>
            <w:pPr/>
          </w:p>
        </w:tc>
        <w:tc>
          <w:tcPr>
            <w:tcW w:w="2834" w:type="dxa"/>
            <w:tcBorders>
              <w:top w:val="single" w:sz="6" w:space="0" w:color="000000"/>
              <w:left w:val="single" w:sz="6" w:space="0" w:color="000000"/>
              <w:bottom w:val="single" w:sz="6" w:space="0" w:color="000000"/>
              <w:right w:val="single" w:sz="12" w:space="0" w:color="000000"/>
            </w:tcBorders>
          </w:tcPr>
          <w:p>
            <w:pPr/>
          </w:p>
        </w:tc>
      </w:tr>
      <w:tr>
        <w:trPr>
          <w:trHeight w:val="347" w:hRule="exact"/>
        </w:trPr>
        <w:tc>
          <w:tcPr>
            <w:tcW w:w="38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发行或承担的债务的公允价值</w:t>
            </w:r>
          </w:p>
        </w:tc>
        <w:tc>
          <w:tcPr>
            <w:tcW w:w="2833" w:type="dxa"/>
            <w:tcBorders>
              <w:top w:val="single" w:sz="6" w:space="0" w:color="000000"/>
              <w:left w:val="single" w:sz="6" w:space="0" w:color="000000"/>
              <w:bottom w:val="single" w:sz="6" w:space="0" w:color="000000"/>
              <w:right w:val="single" w:sz="6" w:space="0" w:color="000000"/>
            </w:tcBorders>
          </w:tcPr>
          <w:p>
            <w:pPr/>
          </w:p>
        </w:tc>
        <w:tc>
          <w:tcPr>
            <w:tcW w:w="2834" w:type="dxa"/>
            <w:tcBorders>
              <w:top w:val="single" w:sz="6" w:space="0" w:color="000000"/>
              <w:left w:val="single" w:sz="6" w:space="0" w:color="000000"/>
              <w:bottom w:val="single" w:sz="6" w:space="0" w:color="000000"/>
              <w:right w:val="single" w:sz="12" w:space="0" w:color="000000"/>
            </w:tcBorders>
          </w:tcPr>
          <w:p>
            <w:pPr/>
          </w:p>
        </w:tc>
      </w:tr>
      <w:tr>
        <w:trPr>
          <w:trHeight w:val="347" w:hRule="exact"/>
        </w:trPr>
        <w:tc>
          <w:tcPr>
            <w:tcW w:w="38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598,426,976.16</w:t>
            </w:r>
          </w:p>
        </w:tc>
        <w:tc>
          <w:tcPr>
            <w:tcW w:w="2834" w:type="dxa"/>
            <w:tcBorders>
              <w:top w:val="single" w:sz="6" w:space="0" w:color="000000"/>
              <w:left w:val="single" w:sz="6" w:space="0" w:color="000000"/>
              <w:bottom w:val="single" w:sz="6" w:space="0" w:color="000000"/>
              <w:right w:val="single" w:sz="12" w:space="0" w:color="000000"/>
            </w:tcBorders>
          </w:tcPr>
          <w:p>
            <w:pPr/>
          </w:p>
        </w:tc>
      </w:tr>
      <w:tr>
        <w:trPr>
          <w:trHeight w:val="348" w:hRule="exact"/>
        </w:trPr>
        <w:tc>
          <w:tcPr>
            <w:tcW w:w="38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20,000,000.00</w:t>
            </w:r>
          </w:p>
        </w:tc>
        <w:tc>
          <w:tcPr>
            <w:tcW w:w="2834" w:type="dxa"/>
            <w:tcBorders>
              <w:top w:val="single" w:sz="6" w:space="0" w:color="000000"/>
              <w:left w:val="single" w:sz="6" w:space="0" w:color="000000"/>
              <w:bottom w:val="single" w:sz="6" w:space="0" w:color="000000"/>
              <w:right w:val="single" w:sz="12" w:space="0" w:color="000000"/>
            </w:tcBorders>
          </w:tcPr>
          <w:p>
            <w:pPr/>
          </w:p>
        </w:tc>
      </w:tr>
      <w:tr>
        <w:trPr>
          <w:trHeight w:val="347" w:hRule="exact"/>
        </w:trPr>
        <w:tc>
          <w:tcPr>
            <w:tcW w:w="38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购买日之前持有的股权于购买日的公允价值</w:t>
            </w:r>
          </w:p>
        </w:tc>
        <w:tc>
          <w:tcPr>
            <w:tcW w:w="2833" w:type="dxa"/>
            <w:tcBorders>
              <w:top w:val="single" w:sz="6" w:space="0" w:color="000000"/>
              <w:left w:val="single" w:sz="6" w:space="0" w:color="000000"/>
              <w:bottom w:val="single" w:sz="6" w:space="0" w:color="000000"/>
              <w:right w:val="single" w:sz="6" w:space="0" w:color="000000"/>
            </w:tcBorders>
          </w:tcPr>
          <w:p>
            <w:pPr/>
          </w:p>
        </w:tc>
        <w:tc>
          <w:tcPr>
            <w:tcW w:w="2834" w:type="dxa"/>
            <w:tcBorders>
              <w:top w:val="single" w:sz="6" w:space="0" w:color="000000"/>
              <w:left w:val="single" w:sz="6" w:space="0" w:color="000000"/>
              <w:bottom w:val="single" w:sz="6" w:space="0" w:color="000000"/>
              <w:right w:val="single" w:sz="12" w:space="0" w:color="000000"/>
            </w:tcBorders>
          </w:tcPr>
          <w:p>
            <w:pPr/>
          </w:p>
        </w:tc>
      </w:tr>
      <w:tr>
        <w:trPr>
          <w:trHeight w:val="347" w:hRule="exact"/>
        </w:trPr>
        <w:tc>
          <w:tcPr>
            <w:tcW w:w="38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3" w:type="dxa"/>
            <w:tcBorders>
              <w:top w:val="single" w:sz="6" w:space="0" w:color="000000"/>
              <w:left w:val="single" w:sz="6" w:space="0" w:color="000000"/>
              <w:bottom w:val="single" w:sz="6" w:space="0" w:color="000000"/>
              <w:right w:val="single" w:sz="6" w:space="0" w:color="000000"/>
            </w:tcBorders>
          </w:tcPr>
          <w:p>
            <w:pPr/>
          </w:p>
        </w:tc>
        <w:tc>
          <w:tcPr>
            <w:tcW w:w="2834" w:type="dxa"/>
            <w:tcBorders>
              <w:top w:val="single" w:sz="6" w:space="0" w:color="000000"/>
              <w:left w:val="single" w:sz="6" w:space="0" w:color="000000"/>
              <w:bottom w:val="single" w:sz="6" w:space="0" w:color="000000"/>
              <w:right w:val="single" w:sz="12" w:space="0" w:color="000000"/>
            </w:tcBorders>
          </w:tcPr>
          <w:p>
            <w:pPr/>
          </w:p>
        </w:tc>
      </w:tr>
      <w:tr>
        <w:trPr>
          <w:trHeight w:val="347" w:hRule="exact"/>
        </w:trPr>
        <w:tc>
          <w:tcPr>
            <w:tcW w:w="38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724,031,776.16</w:t>
            </w:r>
          </w:p>
        </w:tc>
        <w:tc>
          <w:tcPr>
            <w:tcW w:w="28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11,440,000.00</w:t>
            </w:r>
          </w:p>
        </w:tc>
      </w:tr>
      <w:tr>
        <w:trPr>
          <w:trHeight w:val="347" w:hRule="exact"/>
        </w:trPr>
        <w:tc>
          <w:tcPr>
            <w:tcW w:w="383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404,553,882.81</w:t>
            </w:r>
          </w:p>
        </w:tc>
        <w:tc>
          <w:tcPr>
            <w:tcW w:w="28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7,611,926.25</w:t>
            </w:r>
          </w:p>
        </w:tc>
      </w:tr>
      <w:tr>
        <w:trPr>
          <w:trHeight w:val="355" w:hRule="exact"/>
        </w:trPr>
        <w:tc>
          <w:tcPr>
            <w:tcW w:w="383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8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319,477,893.35</w:t>
            </w:r>
          </w:p>
        </w:tc>
        <w:tc>
          <w:tcPr>
            <w:tcW w:w="283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3,828,073.75</w:t>
            </w:r>
          </w:p>
        </w:tc>
      </w:tr>
    </w:tbl>
    <w:p>
      <w:pPr>
        <w:spacing w:line="240" w:lineRule="auto" w:before="3"/>
        <w:rPr>
          <w:rFonts w:ascii="宋体" w:hAnsi="宋体" w:cs="宋体" w:eastAsia="宋体" w:hint="default"/>
          <w:b/>
          <w:bCs/>
          <w:sz w:val="5"/>
          <w:szCs w:val="5"/>
        </w:rPr>
      </w:pPr>
    </w:p>
    <w:p>
      <w:pPr>
        <w:pStyle w:val="BodyText"/>
        <w:spacing w:line="444" w:lineRule="auto" w:before="35"/>
        <w:ind w:left="574" w:right="199" w:hanging="420"/>
        <w:jc w:val="left"/>
        <w:rPr>
          <w:rFonts w:ascii="宋体" w:hAnsi="宋体" w:cs="宋体" w:eastAsia="宋体" w:hint="default"/>
        </w:rPr>
      </w:pPr>
      <w:r>
        <w:rPr/>
        <w:t>合并成本公允价值的确定方法、或有对价及其变动的说明： 湖北索瑞电气有限公司（以下简称索瑞电气）合并成本公允价值依据坤元资产评估有限公司</w:t>
      </w:r>
      <w:r>
        <w:rPr>
          <w:spacing w:val="-79"/>
        </w:rPr>
        <w:t> </w:t>
      </w:r>
      <w:r>
        <w:rPr>
          <w:rFonts w:ascii="宋体" w:hAnsi="宋体" w:cs="宋体" w:eastAsia="宋体" w:hint="default"/>
        </w:rPr>
        <w:t>2014</w:t>
      </w:r>
      <w:r>
        <w:rPr>
          <w:rFonts w:ascii="宋体" w:hAnsi="宋体" w:cs="宋体" w:eastAsia="宋体" w:hint="default"/>
          <w:spacing w:val="-79"/>
        </w:rPr>
        <w:t> </w:t>
      </w:r>
      <w:r>
        <w:rPr/>
        <w:t>年</w:t>
      </w:r>
      <w:r>
        <w:rPr>
          <w:spacing w:val="-79"/>
        </w:rPr>
        <w:t> </w:t>
      </w:r>
      <w:r>
        <w:rPr>
          <w:rFonts w:ascii="宋体" w:hAnsi="宋体" w:cs="宋体" w:eastAsia="宋体" w:hint="default"/>
        </w:rPr>
        <w:t>8</w:t>
      </w:r>
    </w:p>
    <w:p>
      <w:pPr>
        <w:pStyle w:val="BodyText"/>
        <w:spacing w:line="408" w:lineRule="auto" w:before="14"/>
        <w:ind w:left="154" w:right="100"/>
        <w:jc w:val="left"/>
      </w:pPr>
      <w:r>
        <w:rPr/>
        <w:t>月</w:t>
      </w:r>
      <w:r>
        <w:rPr>
          <w:spacing w:val="-56"/>
        </w:rPr>
        <w:t> </w:t>
      </w:r>
      <w:r>
        <w:rPr>
          <w:rFonts w:ascii="宋体" w:hAnsi="宋体" w:cs="宋体" w:eastAsia="宋体" w:hint="default"/>
        </w:rPr>
        <w:t>18</w:t>
      </w:r>
      <w:r>
        <w:rPr>
          <w:rFonts w:ascii="宋体" w:hAnsi="宋体" w:cs="宋体" w:eastAsia="宋体" w:hint="default"/>
          <w:spacing w:val="-55"/>
        </w:rPr>
        <w:t> </w:t>
      </w:r>
      <w:r>
        <w:rPr/>
        <w:t>日出具的以</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4</w:t>
      </w:r>
      <w:r>
        <w:rPr>
          <w:rFonts w:ascii="宋体" w:hAnsi="宋体" w:cs="宋体" w:eastAsia="宋体" w:hint="default"/>
          <w:spacing w:val="-55"/>
        </w:rPr>
        <w:t> </w:t>
      </w:r>
      <w:r>
        <w:rPr/>
        <w:t>月</w:t>
      </w:r>
      <w:r>
        <w:rPr>
          <w:spacing w:val="-57"/>
        </w:rPr>
        <w:t> </w:t>
      </w:r>
      <w:r>
        <w:rPr>
          <w:rFonts w:ascii="宋体" w:hAnsi="宋体" w:cs="宋体" w:eastAsia="宋体" w:hint="default"/>
        </w:rPr>
        <w:t>30</w:t>
      </w:r>
      <w:r>
        <w:rPr>
          <w:rFonts w:ascii="宋体" w:hAnsi="宋体" w:cs="宋体" w:eastAsia="宋体" w:hint="default"/>
          <w:spacing w:val="-55"/>
        </w:rPr>
        <w:t> </w:t>
      </w:r>
      <w:r>
        <w:rPr>
          <w:spacing w:val="-3"/>
        </w:rPr>
        <w:t>日为基准日的坤元评报【</w:t>
      </w:r>
      <w:r>
        <w:rPr>
          <w:rFonts w:ascii="宋体" w:hAnsi="宋体" w:cs="宋体" w:eastAsia="宋体" w:hint="default"/>
          <w:spacing w:val="-3"/>
        </w:rPr>
        <w:t>2014</w:t>
      </w:r>
      <w:r>
        <w:rPr>
          <w:spacing w:val="-3"/>
        </w:rPr>
        <w:t>】</w:t>
      </w:r>
      <w:r>
        <w:rPr>
          <w:rFonts w:ascii="宋体" w:hAnsi="宋体" w:cs="宋体" w:eastAsia="宋体" w:hint="default"/>
          <w:spacing w:val="-3"/>
        </w:rPr>
        <w:t>289</w:t>
      </w:r>
      <w:r>
        <w:rPr>
          <w:rFonts w:ascii="宋体" w:hAnsi="宋体" w:cs="宋体" w:eastAsia="宋体" w:hint="default"/>
          <w:spacing w:val="-55"/>
        </w:rPr>
        <w:t> </w:t>
      </w:r>
      <w:r>
        <w:rPr/>
        <w:t>号。评估分别采取了收益法和基础资 产法对索瑞电气</w:t>
      </w:r>
      <w:r>
        <w:rPr>
          <w:spacing w:val="-23"/>
        </w:rPr>
        <w:t> </w:t>
      </w:r>
      <w:r>
        <w:rPr>
          <w:rFonts w:ascii="宋体" w:hAnsi="宋体" w:cs="宋体" w:eastAsia="宋体" w:hint="default"/>
          <w:spacing w:val="-10"/>
        </w:rPr>
        <w:t>100%</w:t>
      </w:r>
      <w:r>
        <w:rPr>
          <w:spacing w:val="-10"/>
        </w:rPr>
        <w:t>股权进行评估，并最终选用收益法评估结果作为最终评估结果。根据《资产评估报告》，</w:t>
      </w:r>
      <w:r>
        <w:rPr>
          <w:spacing w:val="-99"/>
        </w:rPr>
        <w:t> </w:t>
      </w:r>
      <w:r>
        <w:rPr>
          <w:spacing w:val="-99"/>
        </w:rPr>
      </w:r>
      <w:r>
        <w:rPr/>
        <w:t>截至评估基准日</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日，在持续经营前提下，索瑞电气</w:t>
      </w:r>
      <w:r>
        <w:rPr>
          <w:spacing w:val="-54"/>
        </w:rPr>
        <w:t> </w:t>
      </w:r>
      <w:r>
        <w:rPr>
          <w:rFonts w:ascii="宋体" w:hAnsi="宋体" w:cs="宋体" w:eastAsia="宋体" w:hint="default"/>
        </w:rPr>
        <w:t>100%</w:t>
      </w:r>
      <w:r>
        <w:rPr/>
        <w:t>股权的评估值为</w:t>
      </w:r>
      <w:r>
        <w:rPr>
          <w:spacing w:val="-53"/>
        </w:rPr>
        <w:t> </w:t>
      </w:r>
      <w:r>
        <w:rPr>
          <w:rFonts w:ascii="宋体" w:hAnsi="宋体" w:cs="宋体" w:eastAsia="宋体" w:hint="default"/>
        </w:rPr>
        <w:t>83,000.00</w:t>
      </w:r>
      <w:r>
        <w:rPr>
          <w:rFonts w:ascii="宋体" w:hAnsi="宋体" w:cs="宋体" w:eastAsia="宋体" w:hint="default"/>
          <w:spacing w:val="-53"/>
        </w:rPr>
        <w:t> </w:t>
      </w:r>
      <w:r>
        <w:rPr/>
        <w:t>万元。</w:t>
      </w:r>
    </w:p>
    <w:p>
      <w:pPr>
        <w:pStyle w:val="BodyText"/>
        <w:spacing w:line="240" w:lineRule="auto"/>
        <w:ind w:right="0"/>
        <w:jc w:val="left"/>
      </w:pPr>
      <w:r>
        <w:rPr/>
        <w:t>经交易各方协商确认</w:t>
      </w:r>
      <w:r>
        <w:rPr>
          <w:spacing w:val="-91"/>
        </w:rPr>
        <w:t>，</w:t>
      </w:r>
      <w:r>
        <w:rPr/>
        <w:t>索瑞电气</w:t>
      </w:r>
      <w:r>
        <w:rPr>
          <w:spacing w:val="-53"/>
        </w:rPr>
        <w:t> </w:t>
      </w:r>
      <w:r>
        <w:rPr>
          <w:rFonts w:ascii="宋体" w:hAnsi="宋体" w:cs="宋体" w:eastAsia="宋体" w:hint="default"/>
        </w:rPr>
        <w:t>100%</w:t>
      </w:r>
      <w:r>
        <w:rPr/>
        <w:t>股权的作价为</w:t>
      </w:r>
      <w:r>
        <w:rPr>
          <w:spacing w:val="-52"/>
        </w:rPr>
        <w:t> </w:t>
      </w:r>
      <w:r>
        <w:rPr>
          <w:rFonts w:ascii="宋体" w:hAnsi="宋体" w:cs="宋体" w:eastAsia="宋体" w:hint="default"/>
        </w:rPr>
        <w:t>83,000.00</w:t>
      </w:r>
      <w:r>
        <w:rPr>
          <w:rFonts w:ascii="宋体" w:hAnsi="宋体" w:cs="宋体" w:eastAsia="宋体" w:hint="default"/>
          <w:spacing w:val="-52"/>
        </w:rPr>
        <w:t> </w:t>
      </w:r>
      <w:r>
        <w:rPr/>
        <w:t>万元</w:t>
      </w:r>
      <w:r>
        <w:rPr>
          <w:spacing w:val="-90"/>
        </w:rPr>
        <w:t>，</w:t>
      </w:r>
      <w:r>
        <w:rPr>
          <w:rFonts w:ascii="宋体" w:hAnsi="宋体" w:cs="宋体" w:eastAsia="宋体" w:hint="default"/>
        </w:rPr>
        <w:t>84.82%</w:t>
      </w:r>
      <w:r>
        <w:rPr/>
        <w:t>股权交易</w:t>
      </w:r>
      <w:r>
        <w:rPr>
          <w:spacing w:val="-2"/>
        </w:rPr>
        <w:t>作</w:t>
      </w:r>
      <w:r>
        <w:rPr/>
        <w:t>价</w:t>
      </w:r>
      <w:r>
        <w:rPr>
          <w:spacing w:val="-52"/>
        </w:rPr>
        <w:t> </w:t>
      </w:r>
      <w:r>
        <w:rPr>
          <w:rFonts w:ascii="宋体" w:hAnsi="宋体" w:cs="宋体" w:eastAsia="宋体" w:hint="default"/>
        </w:rPr>
        <w:t>70,403.20</w:t>
      </w:r>
      <w:r>
        <w:rPr>
          <w:rFonts w:ascii="宋体" w:hAnsi="宋体" w:cs="宋体" w:eastAsia="宋体" w:hint="default"/>
          <w:spacing w:val="-52"/>
        </w:rPr>
        <w:t> </w:t>
      </w:r>
      <w:r>
        <w:rPr/>
        <w:t>万元。</w:t>
      </w:r>
    </w:p>
    <w:p>
      <w:pPr>
        <w:spacing w:line="240" w:lineRule="auto" w:before="10"/>
        <w:rPr>
          <w:rFonts w:ascii="宋体" w:hAnsi="宋体" w:cs="宋体" w:eastAsia="宋体" w:hint="default"/>
          <w:sz w:val="14"/>
          <w:szCs w:val="14"/>
        </w:rPr>
      </w:pPr>
    </w:p>
    <w:p>
      <w:pPr>
        <w:pStyle w:val="BodyText"/>
        <w:spacing w:line="240" w:lineRule="auto" w:before="0"/>
        <w:ind w:left="573" w:right="102"/>
        <w:jc w:val="left"/>
      </w:pPr>
      <w:r>
        <w:rPr/>
        <w:t>本公司于</w:t>
      </w:r>
      <w:r>
        <w:rPr>
          <w:spacing w:val="-49"/>
        </w:rPr>
        <w:t> </w:t>
      </w:r>
      <w:r>
        <w:rPr>
          <w:rFonts w:ascii="宋体" w:hAnsi="宋体" w:cs="宋体" w:eastAsia="宋体" w:hint="default"/>
        </w:rPr>
        <w:t>2014</w:t>
      </w:r>
      <w:r>
        <w:rPr>
          <w:rFonts w:ascii="宋体" w:hAnsi="宋体" w:cs="宋体" w:eastAsia="宋体" w:hint="default"/>
          <w:spacing w:val="6"/>
        </w:rPr>
        <w:t> </w:t>
      </w:r>
      <w:r>
        <w:rPr/>
        <w:t>年</w:t>
      </w:r>
      <w:r>
        <w:rPr>
          <w:spacing w:val="-51"/>
        </w:rPr>
        <w:t> </w:t>
      </w:r>
      <w:r>
        <w:rPr>
          <w:rFonts w:ascii="宋体" w:hAnsi="宋体" w:cs="宋体" w:eastAsia="宋体" w:hint="default"/>
        </w:rPr>
        <w:t>8</w:t>
      </w:r>
      <w:r>
        <w:rPr>
          <w:rFonts w:ascii="宋体" w:hAnsi="宋体" w:cs="宋体" w:eastAsia="宋体" w:hint="default"/>
          <w:spacing w:val="-49"/>
        </w:rPr>
        <w:t> </w:t>
      </w:r>
      <w:r>
        <w:rPr/>
        <w:t>月</w:t>
      </w:r>
      <w:r>
        <w:rPr>
          <w:spacing w:val="-51"/>
        </w:rPr>
        <w:t> </w:t>
      </w:r>
      <w:r>
        <w:rPr>
          <w:rFonts w:ascii="宋体" w:hAnsi="宋体" w:cs="宋体" w:eastAsia="宋体" w:hint="default"/>
        </w:rPr>
        <w:t>18</w:t>
      </w:r>
      <w:r>
        <w:rPr>
          <w:rFonts w:ascii="宋体" w:hAnsi="宋体" w:cs="宋体" w:eastAsia="宋体" w:hint="default"/>
          <w:spacing w:val="-50"/>
        </w:rPr>
        <w:t> </w:t>
      </w:r>
      <w:r>
        <w:rPr>
          <w:spacing w:val="-3"/>
        </w:rPr>
        <w:t>日召开第二届董事会第十二次会议，审议通过了《发行股份及支付现金购买</w:t>
      </w:r>
    </w:p>
    <w:p>
      <w:pPr>
        <w:spacing w:line="240" w:lineRule="auto" w:before="10"/>
        <w:rPr>
          <w:rFonts w:ascii="宋体" w:hAnsi="宋体" w:cs="宋体" w:eastAsia="宋体" w:hint="default"/>
          <w:sz w:val="14"/>
          <w:szCs w:val="14"/>
        </w:rPr>
      </w:pPr>
    </w:p>
    <w:p>
      <w:pPr>
        <w:pStyle w:val="BodyText"/>
        <w:spacing w:line="408" w:lineRule="auto" w:before="0"/>
        <w:ind w:right="210"/>
        <w:jc w:val="both"/>
      </w:pPr>
      <w:r>
        <w:rPr/>
        <w:t>资产协议》。本次交易的方案为：公司拟通过向任昌兆等 </w:t>
      </w:r>
      <w:r>
        <w:rPr>
          <w:rFonts w:ascii="宋体" w:hAnsi="宋体" w:cs="宋体" w:eastAsia="宋体" w:hint="default"/>
        </w:rPr>
        <w:t>27</w:t>
      </w:r>
      <w:r>
        <w:rPr>
          <w:rFonts w:ascii="宋体" w:hAnsi="宋体" w:cs="宋体" w:eastAsia="宋体" w:hint="default"/>
          <w:spacing w:val="-24"/>
        </w:rPr>
        <w:t> </w:t>
      </w:r>
      <w:r>
        <w:rPr/>
        <w:t>名自然人及湖北乾瀚投资有限公司、公安县 </w:t>
      </w:r>
      <w:r>
        <w:rPr>
          <w:spacing w:val="-1"/>
        </w:rPr>
        <w:t>鑫旺投资有限公司、湖北中鑫安源投资管理有限责任公司发行股份及支付现金的方式，购买其持有的索瑞</w:t>
      </w:r>
      <w:r>
        <w:rPr>
          <w:spacing w:val="-81"/>
        </w:rPr>
        <w:t> </w:t>
      </w:r>
      <w:r>
        <w:rPr>
          <w:spacing w:val="-81"/>
        </w:rPr>
      </w:r>
      <w:r>
        <w:rPr/>
        <w:t>电气</w:t>
      </w:r>
      <w:r>
        <w:rPr>
          <w:spacing w:val="-44"/>
        </w:rPr>
        <w:t> </w:t>
      </w:r>
      <w:r>
        <w:rPr>
          <w:rFonts w:ascii="宋体" w:hAnsi="宋体" w:cs="宋体" w:eastAsia="宋体" w:hint="default"/>
        </w:rPr>
        <w:t>84.82%</w:t>
      </w:r>
      <w:r>
        <w:rPr/>
        <w:t>股权。根据协议</w:t>
      </w:r>
      <w:r>
        <w:rPr>
          <w:spacing w:val="-44"/>
        </w:rPr>
        <w:t> </w:t>
      </w:r>
      <w:r>
        <w:rPr>
          <w:rFonts w:ascii="宋体" w:hAnsi="宋体" w:cs="宋体" w:eastAsia="宋体" w:hint="default"/>
        </w:rPr>
        <w:t>10.2</w:t>
      </w:r>
      <w:r>
        <w:rPr>
          <w:rFonts w:ascii="宋体" w:hAnsi="宋体" w:cs="宋体" w:eastAsia="宋体" w:hint="default"/>
          <w:spacing w:val="-44"/>
        </w:rPr>
        <w:t> </w:t>
      </w:r>
      <w:r>
        <w:rPr/>
        <w:t>的规定：“如果承诺期索瑞电气实际实现的净利润总和超出盈利承诺期 承诺净利润总和，各方同意将超出部分的</w:t>
      </w:r>
      <w:r>
        <w:rPr>
          <w:spacing w:val="-43"/>
        </w:rPr>
        <w:t> </w:t>
      </w:r>
      <w:r>
        <w:rPr>
          <w:rFonts w:ascii="宋体" w:hAnsi="宋体" w:cs="宋体" w:eastAsia="宋体" w:hint="default"/>
        </w:rPr>
        <w:t>50%</w:t>
      </w:r>
      <w:r>
        <w:rPr/>
        <w:t>奖励给任昌兆先生，奖励对价总额不超过</w:t>
      </w:r>
      <w:r>
        <w:rPr>
          <w:spacing w:val="-44"/>
        </w:rPr>
        <w:t> </w:t>
      </w:r>
      <w:r>
        <w:rPr>
          <w:rFonts w:ascii="宋体" w:hAnsi="宋体" w:cs="宋体" w:eastAsia="宋体" w:hint="default"/>
        </w:rPr>
        <w:t>2,000</w:t>
      </w:r>
      <w:r>
        <w:rPr>
          <w:rFonts w:ascii="宋体" w:hAnsi="宋体" w:cs="宋体" w:eastAsia="宋体" w:hint="default"/>
          <w:spacing w:val="-45"/>
        </w:rPr>
        <w:t> </w:t>
      </w:r>
      <w:r>
        <w:rPr/>
        <w:t>万元。任昌 兆先生可自主决定将上述奖励对价支付给索瑞电气截至</w:t>
      </w:r>
      <w:r>
        <w:rPr>
          <w:spacing w:val="-39"/>
        </w:rPr>
        <w:t> </w:t>
      </w:r>
      <w:r>
        <w:rPr>
          <w:rFonts w:ascii="宋体" w:hAnsi="宋体" w:cs="宋体" w:eastAsia="宋体" w:hint="default"/>
        </w:rPr>
        <w:t>2016</w:t>
      </w:r>
      <w:r>
        <w:rPr>
          <w:rFonts w:ascii="宋体" w:hAnsi="宋体" w:cs="宋体" w:eastAsia="宋体" w:hint="default"/>
          <w:spacing w:val="-39"/>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31</w:t>
      </w:r>
      <w:r>
        <w:rPr>
          <w:rFonts w:ascii="宋体" w:hAnsi="宋体" w:cs="宋体" w:eastAsia="宋体" w:hint="default"/>
          <w:spacing w:val="-39"/>
        </w:rPr>
        <w:t> </w:t>
      </w:r>
      <w:r>
        <w:rPr/>
        <w:t>日在职的管理层。上述奖励对价</w:t>
      </w:r>
    </w:p>
    <w:p>
      <w:pPr>
        <w:pStyle w:val="BodyText"/>
        <w:spacing w:line="444" w:lineRule="auto"/>
        <w:ind w:left="154" w:right="95"/>
        <w:jc w:val="left"/>
      </w:pPr>
      <w:r>
        <w:rPr>
          <w:spacing w:val="-4"/>
        </w:rPr>
        <w:t>是本次交易对价的一部分，属于或有对价而非对管理层股东发放的奖金”。因此确认预计负债</w:t>
      </w:r>
      <w:r>
        <w:rPr>
          <w:spacing w:val="-37"/>
        </w:rPr>
        <w:t> </w:t>
      </w:r>
      <w:r>
        <w:rPr>
          <w:rFonts w:ascii="宋体" w:hAnsi="宋体" w:cs="宋体" w:eastAsia="宋体" w:hint="default"/>
        </w:rPr>
        <w:t>2,000</w:t>
      </w:r>
      <w:r>
        <w:rPr>
          <w:rFonts w:ascii="宋体" w:hAnsi="宋体" w:cs="宋体" w:eastAsia="宋体" w:hint="default"/>
          <w:spacing w:val="-37"/>
        </w:rPr>
        <w:t> </w:t>
      </w:r>
      <w:r>
        <w:rPr/>
        <w:t>万元。</w:t>
      </w:r>
      <w:r>
        <w:rPr>
          <w:spacing w:val="-103"/>
        </w:rPr>
        <w:t> </w:t>
      </w:r>
      <w:r>
        <w:rPr>
          <w:spacing w:val="-103"/>
        </w:rPr>
      </w:r>
      <w:r>
        <w:rPr/>
        <w:t>大额商誉形成的主要原因：</w:t>
      </w:r>
    </w:p>
    <w:p>
      <w:pPr>
        <w:pStyle w:val="Heading4"/>
        <w:spacing w:line="240" w:lineRule="auto" w:before="54"/>
        <w:ind w:right="102"/>
        <w:jc w:val="left"/>
        <w:rPr>
          <w:b w:val="0"/>
          <w:bCs w:val="0"/>
        </w:rPr>
      </w:pPr>
      <w:bookmarkStart w:name="（3）被购买方于购买日可辨认资产、负债" w:id="360"/>
      <w:bookmarkEnd w:id="360"/>
      <w:r>
        <w:rPr>
          <w:b w:val="0"/>
          <w:bCs w:val="0"/>
        </w:rPr>
      </w:r>
      <w:r>
        <w:rPr/>
        <w:t>（</w:t>
      </w:r>
      <w:r>
        <w:rPr>
          <w:rFonts w:ascii="宋体" w:hAnsi="宋体" w:cs="宋体" w:eastAsia="宋体" w:hint="default"/>
        </w:rPr>
        <w:t>3</w:t>
      </w:r>
      <w:r>
        <w:rPr/>
        <w:t>）被购买方于购买日可辨认资产、负债</w:t>
      </w:r>
      <w:r>
        <w:rPr>
          <w:b w:val="0"/>
          <w:bCs w:val="0"/>
        </w:rPr>
      </w:r>
    </w:p>
    <w:p>
      <w:pPr>
        <w:spacing w:line="240" w:lineRule="auto" w:before="12"/>
        <w:rPr>
          <w:rFonts w:ascii="宋体" w:hAnsi="宋体" w:cs="宋体" w:eastAsia="宋体" w:hint="default"/>
          <w:b/>
          <w:bCs/>
          <w:sz w:val="9"/>
          <w:szCs w:val="9"/>
        </w:rPr>
      </w:pPr>
    </w:p>
    <w:tbl>
      <w:tblPr>
        <w:tblW w:w="0" w:type="auto"/>
        <w:jc w:val="left"/>
        <w:tblInd w:w="133" w:type="dxa"/>
        <w:tblLayout w:type="fixed"/>
        <w:tblCellMar>
          <w:top w:w="0" w:type="dxa"/>
          <w:left w:w="0" w:type="dxa"/>
          <w:bottom w:w="0" w:type="dxa"/>
          <w:right w:w="0" w:type="dxa"/>
        </w:tblCellMar>
        <w:tblLook w:val="01E0"/>
      </w:tblPr>
      <w:tblGrid>
        <w:gridCol w:w="2558"/>
        <w:gridCol w:w="1701"/>
        <w:gridCol w:w="1702"/>
        <w:gridCol w:w="1842"/>
        <w:gridCol w:w="1701"/>
      </w:tblGrid>
      <w:tr>
        <w:trPr>
          <w:trHeight w:val="353" w:hRule="exact"/>
        </w:trPr>
        <w:tc>
          <w:tcPr>
            <w:tcW w:w="2558" w:type="dxa"/>
            <w:vMerge w:val="restart"/>
            <w:tcBorders>
              <w:top w:val="single" w:sz="12" w:space="0" w:color="000000"/>
              <w:left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793"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3543"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0"/>
              <w:ind w:left="502" w:right="0"/>
              <w:jc w:val="left"/>
              <w:rPr>
                <w:rFonts w:ascii="宋体" w:hAnsi="宋体" w:cs="宋体" w:eastAsia="宋体" w:hint="default"/>
                <w:sz w:val="18"/>
                <w:szCs w:val="18"/>
              </w:rPr>
            </w:pPr>
            <w:r>
              <w:rPr>
                <w:rFonts w:ascii="宋体" w:hAnsi="宋体" w:cs="宋体" w:eastAsia="宋体" w:hint="default"/>
                <w:sz w:val="18"/>
                <w:szCs w:val="18"/>
              </w:rPr>
              <w:t>南京云商天下信息技术有限公司</w:t>
            </w:r>
          </w:p>
        </w:tc>
      </w:tr>
      <w:tr>
        <w:trPr>
          <w:trHeight w:val="347" w:hRule="exact"/>
        </w:trPr>
        <w:tc>
          <w:tcPr>
            <w:tcW w:w="2558" w:type="dxa"/>
            <w:vMerge/>
            <w:tcBorders>
              <w:left w:val="single" w:sz="12"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8"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12" w:space="0" w:color="000000"/>
            </w:tcBorders>
          </w:tcPr>
          <w:p>
            <w:pPr/>
          </w:p>
        </w:tc>
      </w:tr>
      <w:tr>
        <w:trPr>
          <w:trHeight w:val="347"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535,163,964.09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535,163,964.09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3"/>
              <w:jc w:val="right"/>
              <w:rPr>
                <w:rFonts w:ascii="宋体" w:hAnsi="宋体" w:cs="宋体" w:eastAsia="宋体" w:hint="default"/>
                <w:sz w:val="18"/>
                <w:szCs w:val="18"/>
              </w:rPr>
            </w:pPr>
            <w:r>
              <w:rPr>
                <w:rFonts w:ascii="宋体"/>
                <w:sz w:val="18"/>
              </w:rPr>
              <w:t>14,507,956.17</w:t>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29"/>
              <w:jc w:val="right"/>
              <w:rPr>
                <w:rFonts w:ascii="宋体" w:hAnsi="宋体" w:cs="宋体" w:eastAsia="宋体" w:hint="default"/>
                <w:sz w:val="18"/>
                <w:szCs w:val="18"/>
              </w:rPr>
            </w:pPr>
            <w:r>
              <w:rPr>
                <w:rFonts w:ascii="宋体"/>
                <w:sz w:val="18"/>
              </w:rPr>
              <w:t>14,507,956.17</w:t>
            </w:r>
          </w:p>
        </w:tc>
      </w:tr>
      <w:tr>
        <w:trPr>
          <w:trHeight w:val="347"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197,513,145.13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110,736,013.85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3"/>
              <w:jc w:val="right"/>
              <w:rPr>
                <w:rFonts w:ascii="宋体" w:hAnsi="宋体" w:cs="宋体" w:eastAsia="宋体" w:hint="default"/>
                <w:sz w:val="18"/>
                <w:szCs w:val="18"/>
              </w:rPr>
            </w:pPr>
            <w:r>
              <w:rPr>
                <w:rFonts w:ascii="宋体"/>
                <w:sz w:val="18"/>
              </w:rPr>
              <w:t>222,627.25</w:t>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29"/>
              <w:jc w:val="right"/>
              <w:rPr>
                <w:rFonts w:ascii="宋体" w:hAnsi="宋体" w:cs="宋体" w:eastAsia="宋体" w:hint="default"/>
                <w:sz w:val="18"/>
                <w:szCs w:val="18"/>
              </w:rPr>
            </w:pPr>
            <w:r>
              <w:rPr>
                <w:rFonts w:ascii="宋体"/>
                <w:sz w:val="18"/>
              </w:rPr>
              <w:t>222,627.25</w:t>
            </w:r>
          </w:p>
        </w:tc>
      </w:tr>
      <w:tr>
        <w:trPr>
          <w:trHeight w:val="355" w:hRule="exact"/>
        </w:trPr>
        <w:tc>
          <w:tcPr>
            <w:tcW w:w="255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701"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
        </w:tc>
        <w:tc>
          <w:tcPr>
            <w:tcW w:w="1842" w:type="dxa"/>
            <w:tcBorders>
              <w:top w:val="single" w:sz="6" w:space="0" w:color="000000"/>
              <w:left w:val="single" w:sz="6" w:space="0" w:color="000000"/>
              <w:bottom w:val="single" w:sz="12" w:space="0" w:color="000000"/>
              <w:right w:val="single" w:sz="6" w:space="0" w:color="000000"/>
            </w:tcBorders>
          </w:tcPr>
          <w:p>
            <w:pPr/>
          </w:p>
        </w:tc>
        <w:tc>
          <w:tcPr>
            <w:tcW w:w="170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20"/>
        </w:sectPr>
      </w:pPr>
    </w:p>
    <w:p>
      <w:pPr>
        <w:spacing w:line="240" w:lineRule="auto" w:before="3"/>
        <w:rPr>
          <w:rFonts w:ascii="宋体" w:hAnsi="宋体" w:cs="宋体" w:eastAsia="宋体" w:hint="default"/>
          <w:b/>
          <w:bCs/>
          <w:sz w:val="29"/>
          <w:szCs w:val="29"/>
        </w:rPr>
      </w:pPr>
    </w:p>
    <w:tbl>
      <w:tblPr>
        <w:tblW w:w="0" w:type="auto"/>
        <w:jc w:val="left"/>
        <w:tblInd w:w="733" w:type="dxa"/>
        <w:tblLayout w:type="fixed"/>
        <w:tblCellMar>
          <w:top w:w="0" w:type="dxa"/>
          <w:left w:w="0" w:type="dxa"/>
          <w:bottom w:w="0" w:type="dxa"/>
          <w:right w:w="0" w:type="dxa"/>
        </w:tblCellMar>
        <w:tblLook w:val="01E0"/>
      </w:tblPr>
      <w:tblGrid>
        <w:gridCol w:w="2558"/>
        <w:gridCol w:w="1701"/>
        <w:gridCol w:w="1702"/>
        <w:gridCol w:w="1842"/>
        <w:gridCol w:w="1701"/>
      </w:tblGrid>
      <w:tr>
        <w:trPr>
          <w:trHeight w:val="355" w:hRule="exact"/>
        </w:trPr>
        <w:tc>
          <w:tcPr>
            <w:tcW w:w="255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243,819,395.62</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243,819,395.62</w:t>
            </w:r>
          </w:p>
        </w:tc>
        <w:tc>
          <w:tcPr>
            <w:tcW w:w="18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33"/>
              <w:jc w:val="right"/>
              <w:rPr>
                <w:rFonts w:ascii="宋体" w:hAnsi="宋体" w:cs="宋体" w:eastAsia="宋体" w:hint="default"/>
                <w:sz w:val="18"/>
                <w:szCs w:val="18"/>
              </w:rPr>
            </w:pPr>
            <w:r>
              <w:rPr>
                <w:rFonts w:ascii="宋体"/>
                <w:sz w:val="18"/>
              </w:rPr>
              <w:t>194,762.16</w:t>
            </w:r>
          </w:p>
        </w:tc>
        <w:tc>
          <w:tcPr>
            <w:tcW w:w="170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0"/>
              <w:ind w:right="29"/>
              <w:jc w:val="right"/>
              <w:rPr>
                <w:rFonts w:ascii="宋体" w:hAnsi="宋体" w:cs="宋体" w:eastAsia="宋体" w:hint="default"/>
                <w:sz w:val="18"/>
                <w:szCs w:val="18"/>
              </w:rPr>
            </w:pPr>
            <w:r>
              <w:rPr>
                <w:rFonts w:ascii="宋体"/>
                <w:sz w:val="18"/>
              </w:rPr>
              <w:t>194,762.16</w:t>
            </w:r>
          </w:p>
        </w:tc>
      </w:tr>
      <w:tr>
        <w:trPr>
          <w:trHeight w:val="347"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11,901,945.14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4,450,000.00</w:t>
            </w:r>
          </w:p>
        </w:tc>
        <w:tc>
          <w:tcPr>
            <w:tcW w:w="1842"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12" w:space="0" w:color="000000"/>
            </w:tcBorders>
          </w:tcPr>
          <w:p>
            <w:pPr/>
          </w:p>
        </w:tc>
      </w:tr>
      <w:tr>
        <w:trPr>
          <w:trHeight w:val="347"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476,955,768.46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397,630,582.32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3"/>
              <w:jc w:val="right"/>
              <w:rPr>
                <w:rFonts w:ascii="宋体" w:hAnsi="宋体" w:cs="宋体" w:eastAsia="宋体" w:hint="default"/>
                <w:sz w:val="18"/>
                <w:szCs w:val="18"/>
              </w:rPr>
            </w:pPr>
            <w:r>
              <w:rPr>
                <w:rFonts w:ascii="宋体"/>
                <w:sz w:val="18"/>
              </w:rPr>
              <w:t>14,925,345.58</w:t>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29"/>
              <w:jc w:val="right"/>
              <w:rPr>
                <w:rFonts w:ascii="宋体" w:hAnsi="宋体" w:cs="宋体" w:eastAsia="宋体" w:hint="default"/>
                <w:sz w:val="18"/>
                <w:szCs w:val="18"/>
              </w:rPr>
            </w:pPr>
            <w:r>
              <w:rPr>
                <w:rFonts w:ascii="宋体"/>
                <w:sz w:val="18"/>
              </w:rPr>
              <w:t>14,925,345.58</w:t>
            </w:r>
          </w:p>
        </w:tc>
      </w:tr>
      <w:tr>
        <w:trPr>
          <w:trHeight w:val="347"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72,401,885.65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60,360,322.40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3"/>
              <w:jc w:val="right"/>
              <w:rPr>
                <w:rFonts w:ascii="宋体" w:hAnsi="宋体" w:cs="宋体" w:eastAsia="宋体" w:hint="default"/>
                <w:sz w:val="18"/>
                <w:szCs w:val="18"/>
              </w:rPr>
            </w:pPr>
            <w:r>
              <w:rPr>
                <w:rFonts w:ascii="宋体"/>
                <w:sz w:val="18"/>
              </w:rPr>
              <w:t>7,313,419.33</w:t>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29"/>
              <w:jc w:val="right"/>
              <w:rPr>
                <w:rFonts w:ascii="宋体" w:hAnsi="宋体" w:cs="宋体" w:eastAsia="宋体" w:hint="default"/>
                <w:sz w:val="18"/>
                <w:szCs w:val="18"/>
              </w:rPr>
            </w:pPr>
            <w:r>
              <w:rPr>
                <w:rFonts w:ascii="宋体"/>
                <w:sz w:val="18"/>
              </w:rPr>
              <w:t>7,313,419.33</w:t>
            </w:r>
          </w:p>
        </w:tc>
      </w:tr>
      <w:tr>
        <w:trPr>
          <w:trHeight w:val="355" w:hRule="exact"/>
        </w:trPr>
        <w:tc>
          <w:tcPr>
            <w:tcW w:w="255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404,553,882.81</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337,270,259.92</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33"/>
              <w:jc w:val="right"/>
              <w:rPr>
                <w:rFonts w:ascii="宋体" w:hAnsi="宋体" w:cs="宋体" w:eastAsia="宋体" w:hint="default"/>
                <w:sz w:val="18"/>
                <w:szCs w:val="18"/>
              </w:rPr>
            </w:pPr>
            <w:r>
              <w:rPr>
                <w:rFonts w:ascii="宋体"/>
                <w:sz w:val="18"/>
              </w:rPr>
              <w:t>7,611,926.25</w:t>
            </w:r>
          </w:p>
        </w:tc>
        <w:tc>
          <w:tcPr>
            <w:tcW w:w="17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right="29"/>
              <w:jc w:val="right"/>
              <w:rPr>
                <w:rFonts w:ascii="宋体" w:hAnsi="宋体" w:cs="宋体" w:eastAsia="宋体" w:hint="default"/>
                <w:sz w:val="18"/>
                <w:szCs w:val="18"/>
              </w:rPr>
            </w:pPr>
            <w:r>
              <w:rPr>
                <w:rFonts w:ascii="宋体"/>
                <w:sz w:val="18"/>
              </w:rPr>
              <w:t>7,611,926.25</w:t>
            </w:r>
          </w:p>
        </w:tc>
      </w:tr>
    </w:tbl>
    <w:p>
      <w:pPr>
        <w:spacing w:line="408" w:lineRule="auto" w:before="63"/>
        <w:ind w:left="754" w:right="3652" w:firstLine="0"/>
        <w:jc w:val="left"/>
        <w:rPr>
          <w:rFonts w:ascii="宋体" w:hAnsi="宋体" w:cs="宋体" w:eastAsia="宋体" w:hint="default"/>
          <w:sz w:val="21"/>
          <w:szCs w:val="21"/>
        </w:rPr>
      </w:pPr>
      <w:bookmarkStart w:name="（4）购买日之前持有的股权按照公允价值重新计量产生的利得或损失" w:id="361"/>
      <w:bookmarkEnd w:id="361"/>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99"/>
          <w:sz w:val="21"/>
          <w:szCs w:val="21"/>
        </w:rPr>
        <w:t> </w:t>
      </w:r>
      <w:r>
        <w:rPr>
          <w:rFonts w:ascii="宋体" w:hAnsi="宋体" w:cs="宋体" w:eastAsia="宋体" w:hint="default"/>
          <w:sz w:val="21"/>
          <w:szCs w:val="21"/>
        </w:rPr>
        <w:t>是否存在通过多次交易分步实现企业合并且在报告期内取得控制权的交易</w:t>
      </w:r>
    </w:p>
    <w:p>
      <w:pPr>
        <w:pStyle w:val="BodyText"/>
        <w:spacing w:line="240" w:lineRule="auto"/>
        <w:ind w:left="754" w:right="3652"/>
        <w:jc w:val="left"/>
      </w:pPr>
      <w:r>
        <w:rPr/>
        <w:t>□ 是 √</w:t>
      </w:r>
      <w:r>
        <w:rPr>
          <w:spacing w:val="-1"/>
        </w:rPr>
        <w:t> </w:t>
      </w:r>
      <w:r>
        <w:rPr/>
        <w:t>否</w:t>
      </w:r>
    </w:p>
    <w:p>
      <w:pPr>
        <w:spacing w:line="240" w:lineRule="auto" w:before="10"/>
        <w:rPr>
          <w:rFonts w:ascii="宋体" w:hAnsi="宋体" w:cs="宋体" w:eastAsia="宋体" w:hint="default"/>
          <w:sz w:val="14"/>
          <w:szCs w:val="14"/>
        </w:rPr>
      </w:pPr>
    </w:p>
    <w:p>
      <w:pPr>
        <w:pStyle w:val="Heading4"/>
        <w:spacing w:line="240" w:lineRule="auto"/>
        <w:ind w:left="754" w:right="643"/>
        <w:jc w:val="left"/>
        <w:rPr>
          <w:b w:val="0"/>
          <w:bCs w:val="0"/>
        </w:rPr>
      </w:pPr>
      <w:bookmarkStart w:name="（5）购买日或合并当期期末无法合理确定合并对价或被购买方可辨认资产、负债公允价值" w:id="362"/>
      <w:bookmarkEnd w:id="362"/>
      <w:r>
        <w:rPr>
          <w:b w:val="0"/>
          <w:bCs w:val="0"/>
        </w:rPr>
      </w:r>
      <w:r>
        <w:rPr/>
        <w:t>（</w:t>
      </w:r>
      <w:r>
        <w:rPr>
          <w:rFonts w:ascii="宋体" w:hAnsi="宋体" w:cs="宋体" w:eastAsia="宋体"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754" w:right="365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left="754" w:right="3652"/>
        <w:jc w:val="left"/>
        <w:rPr>
          <w:b w:val="0"/>
          <w:bCs w:val="0"/>
        </w:rPr>
      </w:pPr>
      <w:bookmarkStart w:name="（6）其他说明" w:id="363"/>
      <w:bookmarkEnd w:id="363"/>
      <w:r>
        <w:rPr>
          <w:b w:val="0"/>
          <w:bCs w:val="0"/>
        </w:rPr>
      </w:r>
      <w:r>
        <w:rPr/>
        <w:t>（</w:t>
      </w:r>
      <w:r>
        <w:rPr>
          <w:rFonts w:ascii="宋体" w:hAnsi="宋体" w:cs="宋体" w:eastAsia="宋体" w:hint="default"/>
        </w:rPr>
        <w:t>6</w:t>
      </w:r>
      <w:r>
        <w:rPr/>
        <w:t>）其他说明</w:t>
      </w:r>
      <w:r>
        <w:rPr>
          <w:b w:val="0"/>
          <w:bCs w:val="0"/>
        </w:rPr>
      </w:r>
    </w:p>
    <w:p>
      <w:pPr>
        <w:spacing w:line="240" w:lineRule="auto" w:before="10"/>
        <w:rPr>
          <w:rFonts w:ascii="宋体" w:hAnsi="宋体" w:cs="宋体" w:eastAsia="宋体" w:hint="default"/>
          <w:b/>
          <w:bCs/>
          <w:sz w:val="14"/>
          <w:szCs w:val="14"/>
        </w:rPr>
      </w:pPr>
    </w:p>
    <w:p>
      <w:pPr>
        <w:spacing w:line="408" w:lineRule="auto" w:before="0"/>
        <w:ind w:left="754" w:right="815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同一控制下企业合并" w:id="364"/>
      <w:bookmarkEnd w:id="364"/>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pStyle w:val="Heading4"/>
        <w:spacing w:line="240" w:lineRule="auto" w:before="46"/>
        <w:ind w:left="754" w:right="3652"/>
        <w:jc w:val="left"/>
        <w:rPr>
          <w:b w:val="0"/>
          <w:bCs w:val="0"/>
        </w:rPr>
      </w:pPr>
      <w:bookmarkStart w:name="（1）本期发生的同一控制下企业合并" w:id="365"/>
      <w:bookmarkEnd w:id="365"/>
      <w:r>
        <w:rPr>
          <w:b w:val="0"/>
          <w:bCs w:val="0"/>
        </w:rPr>
      </w:r>
      <w:r>
        <w:rPr/>
        <w:t>（</w:t>
      </w:r>
      <w:r>
        <w:rPr>
          <w:rFonts w:ascii="宋体" w:hAnsi="宋体" w:cs="宋体" w:eastAsia="宋体" w:hint="default"/>
        </w:rPr>
        <w:t>1</w:t>
      </w:r>
      <w:r>
        <w:rPr/>
        <w:t>）本期发生的同一控制下企业合并</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754" w:right="365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left="754" w:right="3652"/>
        <w:jc w:val="left"/>
        <w:rPr>
          <w:b w:val="0"/>
          <w:bCs w:val="0"/>
        </w:rPr>
      </w:pPr>
      <w:bookmarkStart w:name="（2）合并成本" w:id="366"/>
      <w:bookmarkEnd w:id="366"/>
      <w:r>
        <w:rPr>
          <w:b w:val="0"/>
          <w:bCs w:val="0"/>
        </w:rPr>
      </w:r>
      <w:r>
        <w:rPr/>
        <w:t>（</w:t>
      </w:r>
      <w:r>
        <w:rPr>
          <w:rFonts w:ascii="宋体" w:hAnsi="宋体" w:cs="宋体" w:eastAsia="宋体" w:hint="default"/>
        </w:rPr>
        <w:t>2</w:t>
      </w:r>
      <w:r>
        <w:rPr/>
        <w:t>）合并成本</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754" w:right="365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left="754" w:right="3652"/>
        <w:jc w:val="left"/>
        <w:rPr>
          <w:b w:val="0"/>
          <w:bCs w:val="0"/>
        </w:rPr>
      </w:pPr>
      <w:bookmarkStart w:name="（3）合并日被合并方资产、负债的账面价值" w:id="367"/>
      <w:bookmarkEnd w:id="367"/>
      <w:r>
        <w:rPr>
          <w:b w:val="0"/>
          <w:bCs w:val="0"/>
        </w:rPr>
      </w:r>
      <w:r>
        <w:rPr/>
        <w:t>（</w:t>
      </w:r>
      <w:r>
        <w:rPr>
          <w:rFonts w:ascii="宋体" w:hAnsi="宋体" w:cs="宋体" w:eastAsia="宋体" w:hint="default"/>
        </w:rPr>
        <w:t>3</w:t>
      </w:r>
      <w:r>
        <w:rPr/>
        <w:t>）合并日被合并方资产、负债的账面价值</w:t>
      </w:r>
      <w:r>
        <w:rPr>
          <w:b w:val="0"/>
          <w:bCs w:val="0"/>
        </w:rPr>
      </w:r>
    </w:p>
    <w:p>
      <w:pPr>
        <w:spacing w:line="240" w:lineRule="auto" w:before="10"/>
        <w:rPr>
          <w:rFonts w:ascii="宋体" w:hAnsi="宋体" w:cs="宋体" w:eastAsia="宋体" w:hint="default"/>
          <w:b/>
          <w:bCs/>
          <w:sz w:val="14"/>
          <w:szCs w:val="14"/>
        </w:rPr>
      </w:pPr>
    </w:p>
    <w:p>
      <w:pPr>
        <w:spacing w:line="408" w:lineRule="auto" w:before="0"/>
        <w:ind w:left="754" w:right="85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反向购买" w:id="368"/>
      <w:bookmarkEnd w:id="368"/>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408" w:lineRule="auto" w:before="46"/>
        <w:ind w:left="754" w:right="85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处置子公司" w:id="369"/>
      <w:bookmarkEnd w:id="369"/>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pStyle w:val="BodyText"/>
        <w:spacing w:line="240" w:lineRule="auto"/>
        <w:ind w:left="754" w:right="3652"/>
        <w:jc w:val="left"/>
      </w:pPr>
      <w:r>
        <w:rPr/>
        <w:t>是否存在单次处置对子公司投资即丧失控制权的情形</w:t>
      </w:r>
    </w:p>
    <w:p>
      <w:pPr>
        <w:spacing w:line="240" w:lineRule="auto" w:before="10"/>
        <w:rPr>
          <w:rFonts w:ascii="宋体" w:hAnsi="宋体" w:cs="宋体" w:eastAsia="宋体" w:hint="default"/>
          <w:sz w:val="14"/>
          <w:szCs w:val="14"/>
        </w:rPr>
      </w:pPr>
    </w:p>
    <w:p>
      <w:pPr>
        <w:pStyle w:val="BodyText"/>
        <w:spacing w:line="240" w:lineRule="auto" w:before="0"/>
        <w:ind w:left="754" w:right="3652"/>
        <w:jc w:val="left"/>
      </w:pPr>
      <w:r>
        <w:rPr/>
        <w:t>√ 是 □</w:t>
      </w:r>
      <w:r>
        <w:rPr>
          <w:spacing w:val="-1"/>
        </w:rPr>
        <w:t> </w:t>
      </w:r>
      <w:r>
        <w:rPr/>
        <w:t>否</w:t>
      </w:r>
    </w:p>
    <w:p>
      <w:pPr>
        <w:spacing w:line="240" w:lineRule="auto" w:before="9"/>
        <w:rPr>
          <w:rFonts w:ascii="宋体" w:hAnsi="宋体" w:cs="宋体" w:eastAsia="宋体" w:hint="default"/>
          <w:sz w:val="16"/>
          <w:szCs w:val="16"/>
        </w:rPr>
      </w:pPr>
    </w:p>
    <w:p>
      <w:pPr>
        <w:spacing w:before="0"/>
        <w:ind w:left="0" w:right="7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736"/>
        <w:gridCol w:w="1250"/>
        <w:gridCol w:w="709"/>
        <w:gridCol w:w="566"/>
        <w:gridCol w:w="708"/>
        <w:gridCol w:w="710"/>
        <w:gridCol w:w="1276"/>
        <w:gridCol w:w="709"/>
        <w:gridCol w:w="568"/>
        <w:gridCol w:w="708"/>
        <w:gridCol w:w="851"/>
        <w:gridCol w:w="1134"/>
        <w:gridCol w:w="992"/>
      </w:tblGrid>
      <w:tr>
        <w:trPr>
          <w:trHeight w:val="2507"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9"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79" w:right="78"/>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98" w:right="96"/>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78" w:right="78"/>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处置价款与处 置投资对应的 合并财务报表 层面享有该子 公司净资产份 额的差额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98" w:right="97"/>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账面 价值</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79" w:right="77"/>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61" w:right="59"/>
              <w:jc w:val="center"/>
              <w:rPr>
                <w:rFonts w:ascii="宋体" w:hAnsi="宋体" w:cs="宋体" w:eastAsia="宋体" w:hint="default"/>
                <w:sz w:val="18"/>
                <w:szCs w:val="18"/>
              </w:rPr>
            </w:pPr>
            <w:r>
              <w:rPr>
                <w:rFonts w:ascii="宋体" w:hAnsi="宋体" w:cs="宋体" w:eastAsia="宋体" w:hint="default"/>
                <w:sz w:val="18"/>
                <w:szCs w:val="18"/>
              </w:rPr>
              <w:t>按照公允 价值重新 计量剩余 股权产生 的利得或 损失</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9" w:lineRule="auto"/>
              <w:ind w:left="111" w:right="110"/>
              <w:jc w:val="both"/>
              <w:rPr>
                <w:rFonts w:ascii="宋体" w:hAnsi="宋体" w:cs="宋体" w:eastAsia="宋体" w:hint="default"/>
                <w:sz w:val="18"/>
                <w:szCs w:val="18"/>
              </w:rPr>
            </w:pPr>
            <w:r>
              <w:rPr>
                <w:rFonts w:ascii="宋体" w:hAnsi="宋体" w:cs="宋体" w:eastAsia="宋体" w:hint="default"/>
                <w:sz w:val="18"/>
                <w:szCs w:val="18"/>
              </w:rPr>
              <w:t>丧失控制权 之日剩余股 权公允价值 的确定方法 及主要假设</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40" w:right="39"/>
              <w:jc w:val="center"/>
              <w:rPr>
                <w:rFonts w:ascii="宋体" w:hAnsi="宋体" w:cs="宋体" w:eastAsia="宋体" w:hint="default"/>
                <w:sz w:val="18"/>
                <w:szCs w:val="18"/>
              </w:rPr>
            </w:pPr>
            <w:r>
              <w:rPr>
                <w:rFonts w:ascii="宋体" w:hAnsi="宋体" w:cs="宋体" w:eastAsia="宋体" w:hint="default"/>
                <w:sz w:val="18"/>
                <w:szCs w:val="18"/>
              </w:rPr>
              <w:t>与原子公司 股权投资相 关的其他综 合收益转入 投资损益的 金额</w:t>
            </w:r>
          </w:p>
        </w:tc>
      </w:tr>
    </w:tbl>
    <w:p>
      <w:pPr>
        <w:spacing w:after="0" w:line="316" w:lineRule="auto"/>
        <w:jc w:val="center"/>
        <w:rPr>
          <w:rFonts w:ascii="宋体" w:hAnsi="宋体" w:cs="宋体" w:eastAsia="宋体" w:hint="default"/>
          <w:sz w:val="18"/>
          <w:szCs w:val="18"/>
        </w:rPr>
        <w:sectPr>
          <w:pgSz w:w="11910" w:h="16840"/>
          <w:pgMar w:header="747" w:footer="1000" w:top="1040" w:bottom="1180" w:left="380" w:right="380"/>
        </w:sectPr>
      </w:pPr>
    </w:p>
    <w:p>
      <w:pPr>
        <w:spacing w:line="240" w:lineRule="auto" w:before="3"/>
        <w:rPr>
          <w:rFonts w:ascii="宋体" w:hAnsi="宋体" w:cs="宋体" w:eastAsia="宋体" w:hint="default"/>
          <w:sz w:val="29"/>
          <w:szCs w:val="29"/>
        </w:rPr>
      </w:pPr>
      <w:r>
        <w:rPr/>
        <w:pict>
          <v:shape style="position:absolute;margin-left:358.880005pt;margin-top:580.785583pt;width:65.7pt;height:27.9pt;mso-position-horizontal-relative:page;mso-position-vertical-relative:page;z-index:-91292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应用、</w:t>
                  </w:r>
                </w:p>
              </w:txbxContent>
            </v:textbox>
            <w10:wrap type="none"/>
          </v:shape>
        </w:pict>
      </w:r>
      <w:r>
        <w:rPr/>
        <w:pict>
          <v:group style="position:absolute;margin-left:383.140015pt;margin-top:585.279968pt;width:41.45pt;height:23.4pt;mso-position-horizontal-relative:page;mso-position-vertical-relative:page;z-index:-912904" coordorigin="7663,11706" coordsize="829,468">
            <v:shape style="position:absolute;left:7663;top:11706;width:829;height:468" coordorigin="7663,11706" coordsize="829,468" path="m7663,12174l8491,12174,8491,11706,7663,11706,7663,12174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739"/>
        <w:gridCol w:w="1250"/>
        <w:gridCol w:w="709"/>
        <w:gridCol w:w="566"/>
        <w:gridCol w:w="708"/>
        <w:gridCol w:w="710"/>
        <w:gridCol w:w="1276"/>
        <w:gridCol w:w="709"/>
        <w:gridCol w:w="568"/>
        <w:gridCol w:w="708"/>
        <w:gridCol w:w="851"/>
        <w:gridCol w:w="1134"/>
        <w:gridCol w:w="992"/>
      </w:tblGrid>
      <w:tr>
        <w:trPr>
          <w:trHeight w:val="1259"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63"/>
              <w:jc w:val="both"/>
              <w:rPr>
                <w:rFonts w:ascii="宋体" w:hAnsi="宋体" w:cs="宋体" w:eastAsia="宋体" w:hint="default"/>
                <w:sz w:val="18"/>
                <w:szCs w:val="18"/>
              </w:rPr>
            </w:pPr>
            <w:r>
              <w:rPr>
                <w:rFonts w:ascii="宋体" w:hAnsi="宋体" w:cs="宋体" w:eastAsia="宋体" w:hint="default"/>
                <w:sz w:val="18"/>
                <w:szCs w:val="18"/>
              </w:rPr>
              <w:t>南京宇 能仪表 有限公 司</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sz w:val="18"/>
              </w:rPr>
              <w:t>2,250,000.00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sz w:val="18"/>
              </w:rPr>
              <w:t>55.00%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无法实 际控制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sz w:val="18"/>
              </w:rPr>
              <w:t>7,282,171.69</w:t>
            </w: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8" w:lineRule="auto" w:before="63"/>
        <w:ind w:left="753" w:right="3653"/>
        <w:jc w:val="left"/>
      </w:pPr>
      <w:r>
        <w:rPr/>
        <w:t>其他说明： 是否存在通过多次交易分步处置对子公司投资且在本期丧失控制权的情形</w:t>
      </w:r>
    </w:p>
    <w:p>
      <w:pPr>
        <w:spacing w:line="408" w:lineRule="auto" w:before="46"/>
        <w:ind w:left="753" w:right="7737" w:firstLine="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1"/>
          <w:sz w:val="21"/>
          <w:szCs w:val="21"/>
        </w:rPr>
        <w:t> </w:t>
      </w:r>
      <w:r>
        <w:rPr>
          <w:rFonts w:ascii="宋体" w:hAnsi="宋体" w:cs="宋体" w:eastAsia="宋体" w:hint="default"/>
          <w:sz w:val="21"/>
          <w:szCs w:val="21"/>
        </w:rPr>
        <w:t>否</w:t>
      </w:r>
      <w:r>
        <w:rPr>
          <w:rFonts w:ascii="宋体" w:hAnsi="宋体" w:cs="宋体" w:eastAsia="宋体" w:hint="default"/>
          <w:sz w:val="21"/>
          <w:szCs w:val="21"/>
        </w:rPr>
        <w:t> </w:t>
      </w:r>
      <w:bookmarkStart w:name="5、其他原因的合并范围变动" w:id="370"/>
      <w:bookmarkEnd w:id="370"/>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pStyle w:val="BodyText"/>
        <w:spacing w:line="240" w:lineRule="auto"/>
        <w:ind w:left="753" w:right="643"/>
        <w:jc w:val="left"/>
      </w:pPr>
      <w:r>
        <w:rPr/>
        <w:t>说明其他原因导致的合并范围变动（如，新设子公司、清算子公司等）及其相关情况：</w:t>
      </w:r>
    </w:p>
    <w:p>
      <w:pPr>
        <w:spacing w:line="240" w:lineRule="auto" w:before="10"/>
        <w:rPr>
          <w:rFonts w:ascii="宋体" w:hAnsi="宋体" w:cs="宋体" w:eastAsia="宋体" w:hint="default"/>
          <w:sz w:val="14"/>
          <w:szCs w:val="14"/>
        </w:rPr>
      </w:pPr>
    </w:p>
    <w:p>
      <w:pPr>
        <w:pStyle w:val="BodyText"/>
        <w:spacing w:line="408" w:lineRule="auto" w:before="0"/>
        <w:ind w:left="754" w:right="643"/>
        <w:jc w:val="left"/>
      </w:pPr>
      <w:r>
        <w:rPr/>
        <w:t>本公司于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02</w:t>
      </w:r>
      <w:r>
        <w:rPr>
          <w:rFonts w:ascii="宋体" w:hAnsi="宋体" w:cs="宋体" w:eastAsia="宋体" w:hint="default"/>
          <w:spacing w:val="-54"/>
        </w:rPr>
        <w:t> </w:t>
      </w:r>
      <w:r>
        <w:rPr/>
        <w:t>日投资设立南京智友尚云信息技术有限公司，注册资本</w:t>
      </w:r>
      <w:r>
        <w:rPr>
          <w:spacing w:val="-53"/>
        </w:rPr>
        <w:t> </w:t>
      </w:r>
      <w:r>
        <w:rPr>
          <w:rFonts w:ascii="宋体" w:hAnsi="宋体" w:cs="宋体" w:eastAsia="宋体" w:hint="default"/>
        </w:rPr>
        <w:t>500</w:t>
      </w:r>
      <w:r>
        <w:rPr>
          <w:rFonts w:ascii="宋体" w:hAnsi="宋体" w:cs="宋体" w:eastAsia="宋体" w:hint="default"/>
          <w:spacing w:val="-53"/>
        </w:rPr>
        <w:t> </w:t>
      </w:r>
      <w:r>
        <w:rPr/>
        <w:t>万元，经营范围： </w:t>
      </w:r>
      <w:r>
        <w:rPr>
          <w:spacing w:val="-3"/>
        </w:rPr>
        <w:t>信息技术的开发、服务；计算机软硬件技术、产品的开发、设计、技术服务、技术推广及相关产品的生产、</w:t>
      </w:r>
      <w:r>
        <w:rPr>
          <w:spacing w:val="-94"/>
        </w:rPr>
        <w:t> </w:t>
      </w:r>
      <w:r>
        <w:rPr>
          <w:spacing w:val="-94"/>
        </w:rPr>
      </w:r>
      <w:r>
        <w:rPr>
          <w:spacing w:val="-3"/>
        </w:rPr>
        <w:t>销售；物联网技术、互联网技术的开发、设计、技术服务、技术推广及相关产品的生产、销售；数据处理、</w:t>
      </w:r>
      <w:r>
        <w:rPr>
          <w:spacing w:val="-97"/>
        </w:rPr>
        <w:t> </w:t>
      </w:r>
      <w:r>
        <w:rPr>
          <w:spacing w:val="-97"/>
        </w:rPr>
      </w:r>
      <w:r>
        <w:rPr/>
        <w:t>存储服务。</w:t>
      </w:r>
    </w:p>
    <w:p>
      <w:pPr>
        <w:pStyle w:val="Heading2"/>
        <w:spacing w:line="240" w:lineRule="auto" w:before="23"/>
        <w:ind w:left="754" w:right="3652"/>
        <w:jc w:val="left"/>
        <w:rPr>
          <w:b w:val="0"/>
          <w:bCs w:val="0"/>
        </w:rPr>
      </w:pPr>
      <w:bookmarkStart w:name="九、在其他主体中的权益" w:id="371"/>
      <w:bookmarkEnd w:id="371"/>
      <w:r>
        <w:rPr>
          <w:b w:val="0"/>
          <w:bCs w:val="0"/>
        </w:rPr>
      </w:r>
      <w:r>
        <w:rPr/>
        <w:t>九、在其他主体中的权益</w:t>
      </w:r>
      <w:r>
        <w:rPr>
          <w:b w:val="0"/>
          <w:bCs w:val="0"/>
        </w:rPr>
      </w:r>
    </w:p>
    <w:p>
      <w:pPr>
        <w:pStyle w:val="Heading4"/>
        <w:spacing w:line="240" w:lineRule="auto" w:before="177"/>
        <w:ind w:left="754" w:right="3652"/>
        <w:jc w:val="left"/>
        <w:rPr>
          <w:b w:val="0"/>
          <w:bCs w:val="0"/>
        </w:rPr>
      </w:pPr>
      <w:bookmarkStart w:name="1、在子公司中的权益" w:id="372"/>
      <w:bookmarkEnd w:id="372"/>
      <w:r>
        <w:rPr>
          <w:b w:val="0"/>
          <w:bCs w:val="0"/>
        </w:rPr>
      </w:r>
      <w:r>
        <w:rPr>
          <w:rFonts w:ascii="宋体" w:hAnsi="宋体" w:cs="宋体" w:eastAsia="宋体" w:hint="default"/>
        </w:rPr>
        <w:t>1</w:t>
      </w:r>
      <w:r>
        <w:rPr/>
        <w:t>、在子公司中的权益</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754" w:right="3652"/>
        <w:jc w:val="left"/>
        <w:rPr>
          <w:b w:val="0"/>
          <w:bCs w:val="0"/>
        </w:rPr>
      </w:pPr>
      <w:bookmarkStart w:name="（1）企业集团的构成" w:id="373"/>
      <w:bookmarkEnd w:id="373"/>
      <w:r>
        <w:rPr>
          <w:b w:val="0"/>
          <w:bCs w:val="0"/>
        </w:rPr>
      </w: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9"/>
          <w:szCs w:val="9"/>
        </w:rPr>
      </w:pPr>
    </w:p>
    <w:tbl>
      <w:tblPr>
        <w:tblW w:w="0" w:type="auto"/>
        <w:jc w:val="left"/>
        <w:tblInd w:w="738" w:type="dxa"/>
        <w:tblLayout w:type="fixed"/>
        <w:tblCellMar>
          <w:top w:w="0" w:type="dxa"/>
          <w:left w:w="0" w:type="dxa"/>
          <w:bottom w:w="0" w:type="dxa"/>
          <w:right w:w="0" w:type="dxa"/>
        </w:tblCellMar>
        <w:tblLook w:val="01E0"/>
      </w:tblPr>
      <w:tblGrid>
        <w:gridCol w:w="1373"/>
        <w:gridCol w:w="1038"/>
        <w:gridCol w:w="852"/>
        <w:gridCol w:w="3260"/>
        <w:gridCol w:w="168"/>
        <w:gridCol w:w="674"/>
        <w:gridCol w:w="842"/>
        <w:gridCol w:w="1365"/>
      </w:tblGrid>
      <w:tr>
        <w:trPr>
          <w:trHeight w:val="335" w:hRule="exact"/>
        </w:trPr>
        <w:tc>
          <w:tcPr>
            <w:tcW w:w="1373"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38"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2"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260"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685" w:type="dxa"/>
            <w:gridSpan w:val="3"/>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left="47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5" w:type="dxa"/>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6" w:hRule="exact"/>
        </w:trPr>
        <w:tc>
          <w:tcPr>
            <w:tcW w:w="1373" w:type="dxa"/>
            <w:vMerge/>
            <w:tcBorders>
              <w:left w:val="single" w:sz="12" w:space="0" w:color="000000"/>
              <w:bottom w:val="single" w:sz="6" w:space="0" w:color="000000"/>
              <w:right w:val="single" w:sz="6" w:space="0" w:color="000000"/>
            </w:tcBorders>
            <w:shd w:val="clear" w:color="auto" w:fill="D2D2D2"/>
          </w:tcPr>
          <w:p>
            <w:pPr/>
          </w:p>
        </w:tc>
        <w:tc>
          <w:tcPr>
            <w:tcW w:w="1038" w:type="dxa"/>
            <w:vMerge/>
            <w:tcBorders>
              <w:left w:val="single" w:sz="6" w:space="0" w:color="000000"/>
              <w:bottom w:val="single" w:sz="6" w:space="0" w:color="000000"/>
              <w:right w:val="single" w:sz="6" w:space="0" w:color="000000"/>
            </w:tcBorders>
            <w:shd w:val="clear" w:color="auto" w:fill="D2D2D2"/>
          </w:tcPr>
          <w:p>
            <w:pPr/>
          </w:p>
        </w:tc>
        <w:tc>
          <w:tcPr>
            <w:tcW w:w="852" w:type="dxa"/>
            <w:vMerge/>
            <w:tcBorders>
              <w:left w:val="single" w:sz="6" w:space="0" w:color="000000"/>
              <w:bottom w:val="single" w:sz="6" w:space="0" w:color="000000"/>
              <w:right w:val="single" w:sz="6" w:space="0" w:color="000000"/>
            </w:tcBorders>
            <w:shd w:val="clear" w:color="auto" w:fill="D2D2D2"/>
          </w:tcPr>
          <w:p>
            <w:pPr/>
          </w:p>
        </w:tc>
        <w:tc>
          <w:tcPr>
            <w:tcW w:w="3260" w:type="dxa"/>
            <w:vMerge/>
            <w:tcBorders>
              <w:left w:val="single" w:sz="6" w:space="0" w:color="000000"/>
              <w:bottom w:val="single" w:sz="6" w:space="0" w:color="000000"/>
              <w:right w:val="single" w:sz="6" w:space="0" w:color="000000"/>
            </w:tcBorders>
            <w:shd w:val="clear" w:color="auto" w:fill="D2D2D2"/>
          </w:tcPr>
          <w:p>
            <w:pPr/>
          </w:p>
        </w:tc>
        <w:tc>
          <w:tcPr>
            <w:tcW w:w="84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5" w:type="dxa"/>
            <w:vMerge/>
            <w:tcBorders>
              <w:left w:val="single" w:sz="6" w:space="0" w:color="000000"/>
              <w:bottom w:val="single" w:sz="6" w:space="0" w:color="000000"/>
              <w:right w:val="single" w:sz="12" w:space="0" w:color="000000"/>
            </w:tcBorders>
            <w:shd w:val="clear" w:color="auto" w:fill="D2D2D2"/>
          </w:tcPr>
          <w:p>
            <w:pPr/>
          </w:p>
        </w:tc>
      </w:tr>
      <w:tr>
        <w:trPr>
          <w:trHeight w:val="640"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3" w:right="75"/>
              <w:jc w:val="left"/>
              <w:rPr>
                <w:rFonts w:ascii="宋体" w:hAnsi="宋体" w:cs="宋体" w:eastAsia="宋体" w:hint="default"/>
                <w:sz w:val="18"/>
                <w:szCs w:val="18"/>
              </w:rPr>
            </w:pPr>
            <w:r>
              <w:rPr>
                <w:rFonts w:ascii="宋体" w:hAnsi="宋体" w:cs="宋体" w:eastAsia="宋体" w:hint="default"/>
                <w:sz w:val="18"/>
                <w:szCs w:val="18"/>
              </w:rPr>
              <w:t>江苏苏源光一科 技有限公司</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江苏南京</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电子计算机软件系统开发、生产和销售</w:t>
            </w:r>
          </w:p>
        </w:tc>
        <w:tc>
          <w:tcPr>
            <w:tcW w:w="8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77" w:right="0"/>
              <w:jc w:val="left"/>
              <w:rPr>
                <w:rFonts w:ascii="宋体" w:hAnsi="宋体" w:cs="宋体" w:eastAsia="宋体" w:hint="default"/>
                <w:sz w:val="18"/>
                <w:szCs w:val="18"/>
              </w:rPr>
            </w:pPr>
            <w:r>
              <w:rPr>
                <w:rFonts w:ascii="宋体"/>
                <w:sz w:val="18"/>
              </w:rPr>
              <w:t>100.00%</w:t>
            </w:r>
          </w:p>
        </w:tc>
        <w:tc>
          <w:tcPr>
            <w:tcW w:w="842"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38"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75"/>
              <w:jc w:val="left"/>
              <w:rPr>
                <w:rFonts w:ascii="宋体" w:hAnsi="宋体" w:cs="宋体" w:eastAsia="宋体" w:hint="default"/>
                <w:sz w:val="18"/>
                <w:szCs w:val="18"/>
              </w:rPr>
            </w:pPr>
            <w:r>
              <w:rPr>
                <w:rFonts w:ascii="宋体" w:hAnsi="宋体" w:cs="宋体" w:eastAsia="宋体" w:hint="default"/>
                <w:sz w:val="18"/>
                <w:szCs w:val="18"/>
              </w:rPr>
              <w:t>南京云商天下信 息技术有限公司</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江苏南京</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0" w:right="18"/>
              <w:jc w:val="left"/>
              <w:rPr>
                <w:rFonts w:ascii="宋体" w:hAnsi="宋体" w:cs="宋体" w:eastAsia="宋体" w:hint="default"/>
                <w:sz w:val="18"/>
                <w:szCs w:val="18"/>
              </w:rPr>
            </w:pPr>
            <w:r>
              <w:rPr>
                <w:rFonts w:ascii="宋体" w:hAnsi="宋体" w:cs="宋体" w:eastAsia="宋体" w:hint="default"/>
                <w:spacing w:val="-3"/>
                <w:sz w:val="18"/>
                <w:szCs w:val="18"/>
              </w:rPr>
              <w:t>电子产品开发、销售、技术咨询、技术咨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询、技术转让；</w:t>
            </w:r>
          </w:p>
        </w:tc>
        <w:tc>
          <w:tcPr>
            <w:tcW w:w="8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67" w:right="0"/>
              <w:jc w:val="left"/>
              <w:rPr>
                <w:rFonts w:ascii="宋体" w:hAnsi="宋体" w:cs="宋体" w:eastAsia="宋体" w:hint="default"/>
                <w:sz w:val="18"/>
                <w:szCs w:val="18"/>
              </w:rPr>
            </w:pPr>
            <w:r>
              <w:rPr>
                <w:rFonts w:ascii="宋体"/>
                <w:sz w:val="18"/>
              </w:rPr>
              <w:t>51.00%</w:t>
            </w:r>
          </w:p>
        </w:tc>
        <w:tc>
          <w:tcPr>
            <w:tcW w:w="842"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0"/>
              <w:ind w:left="20" w:right="1"/>
              <w:jc w:val="left"/>
              <w:rPr>
                <w:rFonts w:ascii="宋体" w:hAnsi="宋体" w:cs="宋体" w:eastAsia="宋体" w:hint="default"/>
                <w:sz w:val="18"/>
                <w:szCs w:val="18"/>
              </w:rPr>
            </w:pPr>
            <w:r>
              <w:rPr>
                <w:rFonts w:ascii="宋体" w:hAnsi="宋体" w:cs="宋体" w:eastAsia="宋体" w:hint="default"/>
                <w:spacing w:val="8"/>
                <w:sz w:val="18"/>
                <w:szCs w:val="18"/>
              </w:rPr>
              <w:t>非同一控制下企 </w:t>
            </w:r>
            <w:r>
              <w:rPr>
                <w:rFonts w:ascii="宋体" w:hAnsi="宋体" w:cs="宋体" w:eastAsia="宋体" w:hint="default"/>
                <w:sz w:val="18"/>
                <w:szCs w:val="18"/>
              </w:rPr>
              <w:t>业合并</w:t>
            </w:r>
          </w:p>
        </w:tc>
      </w:tr>
      <w:tr>
        <w:trPr>
          <w:trHeight w:val="640"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3" w:right="75"/>
              <w:jc w:val="left"/>
              <w:rPr>
                <w:rFonts w:ascii="宋体" w:hAnsi="宋体" w:cs="宋体" w:eastAsia="宋体" w:hint="default"/>
                <w:sz w:val="18"/>
                <w:szCs w:val="18"/>
              </w:rPr>
            </w:pPr>
            <w:r>
              <w:rPr>
                <w:rFonts w:ascii="宋体" w:hAnsi="宋体" w:cs="宋体" w:eastAsia="宋体" w:hint="default"/>
                <w:sz w:val="18"/>
                <w:szCs w:val="18"/>
              </w:rPr>
              <w:t>南京智友尚云信 息技术有限公司</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江苏南京</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信息技术的开发、服务</w:t>
            </w:r>
          </w:p>
        </w:tc>
        <w:tc>
          <w:tcPr>
            <w:tcW w:w="8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77" w:right="0"/>
              <w:jc w:val="left"/>
              <w:rPr>
                <w:rFonts w:ascii="宋体" w:hAnsi="宋体" w:cs="宋体" w:eastAsia="宋体" w:hint="default"/>
                <w:sz w:val="18"/>
                <w:szCs w:val="18"/>
              </w:rPr>
            </w:pPr>
            <w:r>
              <w:rPr>
                <w:rFonts w:ascii="宋体"/>
                <w:sz w:val="18"/>
              </w:rPr>
              <w:t>100.00%</w:t>
            </w:r>
          </w:p>
        </w:tc>
        <w:tc>
          <w:tcPr>
            <w:tcW w:w="842"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262"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13" w:right="75"/>
              <w:jc w:val="left"/>
              <w:rPr>
                <w:rFonts w:ascii="宋体" w:hAnsi="宋体" w:cs="宋体" w:eastAsia="宋体" w:hint="default"/>
                <w:sz w:val="18"/>
                <w:szCs w:val="18"/>
              </w:rPr>
            </w:pPr>
            <w:r>
              <w:rPr>
                <w:rFonts w:ascii="宋体" w:hAnsi="宋体" w:cs="宋体" w:eastAsia="宋体" w:hint="default"/>
                <w:sz w:val="18"/>
                <w:szCs w:val="18"/>
              </w:rPr>
              <w:t>湖北索瑞电气有 限公司</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湖北荆州</w:t>
            </w:r>
          </w:p>
        </w:tc>
        <w:tc>
          <w:tcPr>
            <w:tcW w:w="3260" w:type="dxa"/>
            <w:tcBorders>
              <w:top w:val="single" w:sz="6" w:space="0" w:color="000000"/>
              <w:left w:val="single" w:sz="6" w:space="0" w:color="000000"/>
              <w:bottom w:val="single" w:sz="6" w:space="0" w:color="000000"/>
              <w:right w:val="single" w:sz="9" w:space="0" w:color="FFFFFF"/>
            </w:tcBorders>
          </w:tcPr>
          <w:p>
            <w:pPr>
              <w:pStyle w:val="TableParagraph"/>
              <w:spacing w:line="316" w:lineRule="auto" w:before="10"/>
              <w:ind w:left="20" w:right="15"/>
              <w:jc w:val="left"/>
              <w:rPr>
                <w:rFonts w:ascii="宋体" w:hAnsi="宋体" w:cs="宋体" w:eastAsia="宋体" w:hint="default"/>
                <w:sz w:val="18"/>
                <w:szCs w:val="18"/>
              </w:rPr>
            </w:pPr>
            <w:r>
              <w:rPr>
                <w:rFonts w:ascii="宋体" w:hAnsi="宋体" w:cs="宋体" w:eastAsia="宋体" w:hint="default"/>
                <w:spacing w:val="-2"/>
                <w:sz w:val="18"/>
                <w:szCs w:val="18"/>
              </w:rPr>
              <w:t>电能计量箱的设计、生产和销售，高低压</w:t>
            </w:r>
            <w:r>
              <w:rPr>
                <w:rFonts w:ascii="宋体" w:hAnsi="宋体" w:cs="宋体" w:eastAsia="宋体" w:hint="default"/>
                <w:sz w:val="18"/>
                <w:szCs w:val="18"/>
              </w:rPr>
              <w:t> </w:t>
            </w:r>
            <w:r>
              <w:rPr>
                <w:rFonts w:ascii="宋体" w:hAnsi="宋体" w:cs="宋体" w:eastAsia="宋体" w:hint="default"/>
                <w:spacing w:val="-2"/>
                <w:sz w:val="18"/>
                <w:szCs w:val="18"/>
              </w:rPr>
              <w:t>电气成套开关设备及控制设备的设计、生</w:t>
            </w:r>
            <w:r>
              <w:rPr>
                <w:rFonts w:ascii="宋体" w:hAnsi="宋体" w:cs="宋体" w:eastAsia="宋体" w:hint="default"/>
                <w:sz w:val="18"/>
                <w:szCs w:val="18"/>
              </w:rPr>
              <w:t> </w:t>
            </w:r>
            <w:r>
              <w:rPr>
                <w:rFonts w:ascii="宋体" w:hAnsi="宋体" w:cs="宋体" w:eastAsia="宋体" w:hint="default"/>
                <w:spacing w:val="-4"/>
                <w:sz w:val="18"/>
                <w:szCs w:val="18"/>
              </w:rPr>
              <w:t>产和销售，电力电子产品技术开发、</w:t>
            </w:r>
            <w:r>
              <w:rPr>
                <w:rFonts w:ascii="宋体" w:hAnsi="宋体" w:cs="宋体" w:eastAsia="宋体" w:hint="default"/>
                <w:sz w:val="18"/>
                <w:szCs w:val="18"/>
              </w:rPr>
              <w:t> 销售，电力工程安装服务</w:t>
            </w:r>
          </w:p>
        </w:tc>
        <w:tc>
          <w:tcPr>
            <w:tcW w:w="168" w:type="dxa"/>
            <w:tcBorders>
              <w:top w:val="single" w:sz="6" w:space="0" w:color="000000"/>
              <w:left w:val="single" w:sz="9" w:space="0" w:color="FFFFFF"/>
              <w:bottom w:val="single" w:sz="6" w:space="0" w:color="000000"/>
              <w:right w:val="nil" w:sz="6" w:space="0" w:color="auto"/>
            </w:tcBorders>
          </w:tcPr>
          <w:p>
            <w:pPr/>
          </w:p>
        </w:tc>
        <w:tc>
          <w:tcPr>
            <w:tcW w:w="67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6" w:right="0"/>
              <w:jc w:val="left"/>
              <w:rPr>
                <w:rFonts w:ascii="宋体" w:hAnsi="宋体" w:cs="宋体" w:eastAsia="宋体" w:hint="default"/>
                <w:sz w:val="18"/>
                <w:szCs w:val="18"/>
              </w:rPr>
            </w:pPr>
            <w:r>
              <w:rPr>
                <w:rFonts w:ascii="宋体"/>
                <w:sz w:val="18"/>
              </w:rPr>
              <w:t>84.82%</w:t>
            </w:r>
          </w:p>
        </w:tc>
        <w:tc>
          <w:tcPr>
            <w:tcW w:w="842"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20" w:right="1"/>
              <w:jc w:val="left"/>
              <w:rPr>
                <w:rFonts w:ascii="宋体" w:hAnsi="宋体" w:cs="宋体" w:eastAsia="宋体" w:hint="default"/>
                <w:sz w:val="18"/>
                <w:szCs w:val="18"/>
              </w:rPr>
            </w:pPr>
            <w:r>
              <w:rPr>
                <w:rFonts w:ascii="宋体" w:hAnsi="宋体" w:cs="宋体" w:eastAsia="宋体" w:hint="default"/>
                <w:spacing w:val="8"/>
                <w:sz w:val="18"/>
                <w:szCs w:val="18"/>
              </w:rPr>
              <w:t>非同一控制下企 </w:t>
            </w:r>
            <w:r>
              <w:rPr>
                <w:rFonts w:ascii="宋体" w:hAnsi="宋体" w:cs="宋体" w:eastAsia="宋体" w:hint="default"/>
                <w:sz w:val="18"/>
                <w:szCs w:val="18"/>
              </w:rPr>
              <w:t>业合并</w:t>
            </w:r>
          </w:p>
        </w:tc>
      </w:tr>
      <w:tr>
        <w:trPr>
          <w:trHeight w:val="952"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13" w:right="75"/>
              <w:jc w:val="left"/>
              <w:rPr>
                <w:rFonts w:ascii="宋体" w:hAnsi="宋体" w:cs="宋体" w:eastAsia="宋体" w:hint="default"/>
                <w:sz w:val="18"/>
                <w:szCs w:val="18"/>
              </w:rPr>
            </w:pPr>
            <w:r>
              <w:rPr>
                <w:rFonts w:ascii="宋体" w:hAnsi="宋体" w:cs="宋体" w:eastAsia="宋体" w:hint="default"/>
                <w:sz w:val="18"/>
                <w:szCs w:val="18"/>
              </w:rPr>
              <w:t>湖北鼎瑞科技有 限公司</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湖北荆州</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0" w:right="18"/>
              <w:jc w:val="left"/>
              <w:rPr>
                <w:rFonts w:ascii="宋体" w:hAnsi="宋体" w:cs="宋体" w:eastAsia="宋体" w:hint="default"/>
                <w:sz w:val="18"/>
                <w:szCs w:val="18"/>
              </w:rPr>
            </w:pPr>
            <w:r>
              <w:rPr>
                <w:rFonts w:ascii="宋体" w:hAnsi="宋体" w:cs="宋体" w:eastAsia="宋体" w:hint="default"/>
                <w:sz w:val="18"/>
                <w:szCs w:val="18"/>
              </w:rPr>
              <w:t>高低压电器及成套设备、塑料制品的生 </w:t>
            </w:r>
            <w:r>
              <w:rPr>
                <w:rFonts w:ascii="宋体" w:hAnsi="宋体" w:cs="宋体" w:eastAsia="宋体" w:hint="default"/>
                <w:spacing w:val="-3"/>
                <w:sz w:val="18"/>
                <w:szCs w:val="18"/>
              </w:rPr>
              <w:t>产、销售；电力系统技术开发及应用；电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力产品技术开发和销售</w:t>
            </w:r>
          </w:p>
        </w:tc>
        <w:tc>
          <w:tcPr>
            <w:tcW w:w="843" w:type="dxa"/>
            <w:gridSpan w:val="2"/>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76" w:right="0"/>
              <w:jc w:val="left"/>
              <w:rPr>
                <w:rFonts w:ascii="宋体" w:hAnsi="宋体" w:cs="宋体" w:eastAsia="宋体" w:hint="default"/>
                <w:sz w:val="18"/>
                <w:szCs w:val="18"/>
              </w:rPr>
            </w:pPr>
            <w:r>
              <w:rPr>
                <w:rFonts w:ascii="宋体"/>
                <w:sz w:val="18"/>
              </w:rPr>
              <w:t>100.00%</w:t>
            </w: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20" w:right="1"/>
              <w:jc w:val="left"/>
              <w:rPr>
                <w:rFonts w:ascii="宋体" w:hAnsi="宋体" w:cs="宋体" w:eastAsia="宋体" w:hint="default"/>
                <w:sz w:val="18"/>
                <w:szCs w:val="18"/>
              </w:rPr>
            </w:pPr>
            <w:r>
              <w:rPr>
                <w:rFonts w:ascii="宋体" w:hAnsi="宋体" w:cs="宋体" w:eastAsia="宋体" w:hint="default"/>
                <w:spacing w:val="8"/>
                <w:sz w:val="18"/>
                <w:szCs w:val="18"/>
              </w:rPr>
              <w:t>非同一控制下企 </w:t>
            </w:r>
            <w:r>
              <w:rPr>
                <w:rFonts w:ascii="宋体" w:hAnsi="宋体" w:cs="宋体" w:eastAsia="宋体" w:hint="default"/>
                <w:sz w:val="18"/>
                <w:szCs w:val="18"/>
              </w:rPr>
              <w:t>业合并</w:t>
            </w:r>
          </w:p>
        </w:tc>
      </w:tr>
      <w:tr>
        <w:trPr>
          <w:trHeight w:val="951"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13" w:right="75"/>
              <w:jc w:val="left"/>
              <w:rPr>
                <w:rFonts w:ascii="宋体" w:hAnsi="宋体" w:cs="宋体" w:eastAsia="宋体" w:hint="default"/>
                <w:sz w:val="18"/>
                <w:szCs w:val="18"/>
              </w:rPr>
            </w:pPr>
            <w:r>
              <w:rPr>
                <w:rFonts w:ascii="宋体" w:hAnsi="宋体" w:cs="宋体" w:eastAsia="宋体" w:hint="default"/>
                <w:sz w:val="18"/>
                <w:szCs w:val="18"/>
              </w:rPr>
              <w:t>武汉睿博电气有 限责任公司</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湖北武汉</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湖北武汉</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0" w:right="18"/>
              <w:jc w:val="left"/>
              <w:rPr>
                <w:rFonts w:ascii="宋体" w:hAnsi="宋体" w:cs="宋体" w:eastAsia="宋体" w:hint="default"/>
                <w:sz w:val="18"/>
                <w:szCs w:val="18"/>
              </w:rPr>
            </w:pPr>
            <w:r>
              <w:rPr>
                <w:rFonts w:ascii="宋体" w:hAnsi="宋体" w:cs="宋体" w:eastAsia="宋体" w:hint="default"/>
                <w:sz w:val="18"/>
                <w:szCs w:val="18"/>
              </w:rPr>
              <w:t>高低压电器及成套设备、塑料制品的生 </w:t>
            </w:r>
            <w:r>
              <w:rPr>
                <w:rFonts w:ascii="宋体" w:hAnsi="宋体" w:cs="宋体" w:eastAsia="宋体" w:hint="default"/>
                <w:spacing w:val="-3"/>
                <w:sz w:val="18"/>
                <w:szCs w:val="18"/>
              </w:rPr>
              <w:t>产、销售；电力系统技术开发及应用；电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力产品技术开发和销售</w:t>
            </w:r>
          </w:p>
        </w:tc>
        <w:tc>
          <w:tcPr>
            <w:tcW w:w="843" w:type="dxa"/>
            <w:gridSpan w:val="2"/>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76" w:right="0"/>
              <w:jc w:val="left"/>
              <w:rPr>
                <w:rFonts w:ascii="宋体" w:hAnsi="宋体" w:cs="宋体" w:eastAsia="宋体" w:hint="default"/>
                <w:sz w:val="18"/>
                <w:szCs w:val="18"/>
              </w:rPr>
            </w:pPr>
            <w:r>
              <w:rPr>
                <w:rFonts w:ascii="宋体"/>
                <w:sz w:val="18"/>
              </w:rPr>
              <w:t>100.00%</w:t>
            </w:r>
          </w:p>
        </w:tc>
        <w:tc>
          <w:tcPr>
            <w:tcW w:w="13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0" w:right="1"/>
              <w:jc w:val="left"/>
              <w:rPr>
                <w:rFonts w:ascii="宋体" w:hAnsi="宋体" w:cs="宋体" w:eastAsia="宋体" w:hint="default"/>
                <w:sz w:val="18"/>
                <w:szCs w:val="18"/>
              </w:rPr>
            </w:pPr>
            <w:r>
              <w:rPr>
                <w:rFonts w:ascii="宋体" w:hAnsi="宋体" w:cs="宋体" w:eastAsia="宋体" w:hint="default"/>
                <w:spacing w:val="8"/>
                <w:sz w:val="18"/>
                <w:szCs w:val="18"/>
              </w:rPr>
              <w:t>非同一控制下企 </w:t>
            </w:r>
            <w:r>
              <w:rPr>
                <w:rFonts w:ascii="宋体" w:hAnsi="宋体" w:cs="宋体" w:eastAsia="宋体" w:hint="default"/>
                <w:sz w:val="18"/>
                <w:szCs w:val="18"/>
              </w:rPr>
              <w:t>业合并</w:t>
            </w:r>
          </w:p>
        </w:tc>
      </w:tr>
      <w:tr>
        <w:trPr>
          <w:trHeight w:val="959" w:hRule="exact"/>
        </w:trPr>
        <w:tc>
          <w:tcPr>
            <w:tcW w:w="137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13" w:right="75"/>
              <w:jc w:val="left"/>
              <w:rPr>
                <w:rFonts w:ascii="宋体" w:hAnsi="宋体" w:cs="宋体" w:eastAsia="宋体" w:hint="default"/>
                <w:sz w:val="18"/>
                <w:szCs w:val="18"/>
              </w:rPr>
            </w:pPr>
            <w:r>
              <w:rPr>
                <w:rFonts w:ascii="宋体" w:hAnsi="宋体" w:cs="宋体" w:eastAsia="宋体" w:hint="default"/>
                <w:sz w:val="18"/>
                <w:szCs w:val="18"/>
              </w:rPr>
              <w:t>荆州市山源科技 有限公司</w:t>
            </w:r>
          </w:p>
        </w:tc>
        <w:tc>
          <w:tcPr>
            <w:tcW w:w="10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湖北荆州</w:t>
            </w:r>
          </w:p>
        </w:tc>
        <w:tc>
          <w:tcPr>
            <w:tcW w:w="326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1"/>
              <w:ind w:left="20" w:right="18"/>
              <w:jc w:val="left"/>
              <w:rPr>
                <w:rFonts w:ascii="宋体" w:hAnsi="宋体" w:cs="宋体" w:eastAsia="宋体" w:hint="default"/>
                <w:sz w:val="18"/>
                <w:szCs w:val="18"/>
              </w:rPr>
            </w:pPr>
            <w:r>
              <w:rPr>
                <w:rFonts w:ascii="宋体" w:hAnsi="宋体" w:cs="宋体" w:eastAsia="宋体" w:hint="default"/>
                <w:sz w:val="18"/>
                <w:szCs w:val="18"/>
              </w:rPr>
              <w:t>高低压电器及成套设备、塑料制品的生 </w:t>
            </w:r>
            <w:r>
              <w:rPr>
                <w:rFonts w:ascii="宋体" w:hAnsi="宋体" w:cs="宋体" w:eastAsia="宋体" w:hint="default"/>
                <w:spacing w:val="-3"/>
                <w:sz w:val="18"/>
                <w:szCs w:val="18"/>
              </w:rPr>
              <w:t>产、销售；电力系统技术开发及应用；电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力产品技术开发和销售</w:t>
            </w:r>
          </w:p>
        </w:tc>
        <w:tc>
          <w:tcPr>
            <w:tcW w:w="843" w:type="dxa"/>
            <w:gridSpan w:val="2"/>
            <w:tcBorders>
              <w:top w:val="single" w:sz="6" w:space="0" w:color="000000"/>
              <w:left w:val="single" w:sz="6" w:space="0" w:color="000000"/>
              <w:bottom w:val="single" w:sz="12" w:space="0" w:color="000000"/>
              <w:right w:val="single" w:sz="6" w:space="0" w:color="000000"/>
            </w:tcBorders>
          </w:tcPr>
          <w:p>
            <w:pPr/>
          </w:p>
        </w:tc>
        <w:tc>
          <w:tcPr>
            <w:tcW w:w="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76" w:right="0"/>
              <w:jc w:val="left"/>
              <w:rPr>
                <w:rFonts w:ascii="宋体" w:hAnsi="宋体" w:cs="宋体" w:eastAsia="宋体" w:hint="default"/>
                <w:sz w:val="18"/>
                <w:szCs w:val="18"/>
              </w:rPr>
            </w:pPr>
            <w:r>
              <w:rPr>
                <w:rFonts w:ascii="宋体"/>
                <w:sz w:val="18"/>
              </w:rPr>
              <w:t>100.00%</w:t>
            </w:r>
          </w:p>
        </w:tc>
        <w:tc>
          <w:tcPr>
            <w:tcW w:w="13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20" w:right="1"/>
              <w:jc w:val="left"/>
              <w:rPr>
                <w:rFonts w:ascii="宋体" w:hAnsi="宋体" w:cs="宋体" w:eastAsia="宋体" w:hint="default"/>
                <w:sz w:val="18"/>
                <w:szCs w:val="18"/>
              </w:rPr>
            </w:pPr>
            <w:r>
              <w:rPr>
                <w:rFonts w:ascii="宋体" w:hAnsi="宋体" w:cs="宋体" w:eastAsia="宋体" w:hint="default"/>
                <w:spacing w:val="8"/>
                <w:sz w:val="18"/>
                <w:szCs w:val="18"/>
              </w:rPr>
              <w:t>非同一控制下企 </w:t>
            </w:r>
            <w:r>
              <w:rPr>
                <w:rFonts w:ascii="宋体" w:hAnsi="宋体" w:cs="宋体" w:eastAsia="宋体" w:hint="default"/>
                <w:sz w:val="18"/>
                <w:szCs w:val="18"/>
              </w:rPr>
              <w:t>业合并</w:t>
            </w:r>
          </w:p>
        </w:tc>
      </w:tr>
    </w:tbl>
    <w:p>
      <w:pPr>
        <w:spacing w:after="0" w:line="316" w:lineRule="auto"/>
        <w:jc w:val="left"/>
        <w:rPr>
          <w:rFonts w:ascii="宋体" w:hAnsi="宋体" w:cs="宋体" w:eastAsia="宋体" w:hint="default"/>
          <w:sz w:val="18"/>
          <w:szCs w:val="18"/>
        </w:rPr>
        <w:sectPr>
          <w:pgSz w:w="11910" w:h="16840"/>
          <w:pgMar w:header="747" w:footer="1000" w:top="1040" w:bottom="1180" w:left="380" w:right="38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Heading4"/>
        <w:spacing w:line="240" w:lineRule="auto"/>
        <w:ind w:left="153" w:right="0"/>
        <w:jc w:val="left"/>
        <w:rPr>
          <w:b w:val="0"/>
          <w:bCs w:val="0"/>
        </w:rPr>
      </w:pPr>
      <w:bookmarkStart w:name="（2）重要的非全资子公司" w:id="374"/>
      <w:bookmarkEnd w:id="374"/>
      <w:r>
        <w:rPr>
          <w:b w:val="0"/>
          <w:bCs w:val="0"/>
        </w:rPr>
      </w:r>
      <w:r>
        <w:rPr/>
        <w:t>（</w:t>
      </w:r>
      <w:r>
        <w:rPr>
          <w:rFonts w:ascii="宋体" w:hAnsi="宋体" w:cs="宋体" w:eastAsia="宋体" w:hint="default"/>
        </w:rPr>
        <w:t>2</w:t>
      </w:r>
      <w:r>
        <w:rPr/>
        <w:t>）重要的非全资子公司</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17"/>
        <w:gridCol w:w="1914"/>
        <w:gridCol w:w="1914"/>
        <w:gridCol w:w="1913"/>
        <w:gridCol w:w="1912"/>
      </w:tblGrid>
      <w:tr>
        <w:trPr>
          <w:trHeight w:val="781" w:hRule="exact"/>
        </w:trPr>
        <w:tc>
          <w:tcPr>
            <w:tcW w:w="1917"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79"/>
              <w:ind w:left="769"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79"/>
              <w:ind w:left="589" w:right="47"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2"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15" w:hRule="exact"/>
        </w:trPr>
        <w:tc>
          <w:tcPr>
            <w:tcW w:w="191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66"/>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9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15.18%</w:t>
            </w:r>
          </w:p>
        </w:tc>
        <w:tc>
          <w:tcPr>
            <w:tcW w:w="1914" w:type="dxa"/>
            <w:tcBorders>
              <w:top w:val="single" w:sz="6" w:space="0" w:color="000000"/>
              <w:left w:val="single" w:sz="6" w:space="0" w:color="000000"/>
              <w:bottom w:val="single" w:sz="12" w:space="0" w:color="000000"/>
              <w:right w:val="single" w:sz="6" w:space="0" w:color="000000"/>
            </w:tcBorders>
          </w:tcPr>
          <w:p>
            <w:pPr/>
          </w:p>
        </w:tc>
        <w:tc>
          <w:tcPr>
            <w:tcW w:w="1913" w:type="dxa"/>
            <w:tcBorders>
              <w:top w:val="single" w:sz="6" w:space="0" w:color="000000"/>
              <w:left w:val="single" w:sz="6" w:space="0" w:color="000000"/>
              <w:bottom w:val="single" w:sz="12" w:space="0" w:color="000000"/>
              <w:right w:val="single" w:sz="6" w:space="0" w:color="000000"/>
            </w:tcBorders>
          </w:tcPr>
          <w:p>
            <w:pPr/>
          </w:p>
        </w:tc>
        <w:tc>
          <w:tcPr>
            <w:tcW w:w="19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72,401,885.65</w:t>
            </w:r>
          </w:p>
        </w:tc>
      </w:tr>
    </w:tbl>
    <w:p>
      <w:pPr>
        <w:spacing w:line="240" w:lineRule="auto" w:before="1"/>
        <w:rPr>
          <w:rFonts w:ascii="宋体" w:hAnsi="宋体" w:cs="宋体" w:eastAsia="宋体" w:hint="default"/>
          <w:sz w:val="14"/>
          <w:szCs w:val="14"/>
        </w:rPr>
      </w:pPr>
    </w:p>
    <w:p>
      <w:pPr>
        <w:pStyle w:val="Heading4"/>
        <w:spacing w:line="240" w:lineRule="auto" w:before="35"/>
        <w:ind w:right="0"/>
        <w:jc w:val="left"/>
        <w:rPr>
          <w:b w:val="0"/>
          <w:bCs w:val="0"/>
        </w:rPr>
      </w:pPr>
      <w:bookmarkStart w:name="（3）重要非全资子公司的主要财务信息" w:id="375"/>
      <w:bookmarkEnd w:id="375"/>
      <w:r>
        <w:rPr>
          <w:b w:val="0"/>
          <w:bCs w:val="0"/>
        </w:rPr>
      </w:r>
      <w:r>
        <w:rPr/>
        <w:t>（</w:t>
      </w:r>
      <w:r>
        <w:rPr>
          <w:rFonts w:ascii="宋体" w:hAnsi="宋体" w:cs="宋体" w:eastAsia="宋体" w:hint="default"/>
        </w:rPr>
        <w:t>3</w:t>
      </w:r>
      <w:r>
        <w:rPr/>
        <w:t>）重要非全资子公司的主要财务信息</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479"/>
        <w:gridCol w:w="1346"/>
        <w:gridCol w:w="1348"/>
        <w:gridCol w:w="1346"/>
        <w:gridCol w:w="1346"/>
        <w:gridCol w:w="1206"/>
        <w:gridCol w:w="140"/>
        <w:gridCol w:w="1364"/>
      </w:tblGrid>
      <w:tr>
        <w:trPr>
          <w:trHeight w:val="415" w:hRule="exact"/>
        </w:trPr>
        <w:tc>
          <w:tcPr>
            <w:tcW w:w="1479"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098" w:type="dxa"/>
            <w:gridSpan w:val="7"/>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479" w:type="dxa"/>
            <w:vMerge/>
            <w:tcBorders>
              <w:left w:val="single" w:sz="12" w:space="0" w:color="000000"/>
              <w:bottom w:val="single" w:sz="6" w:space="0" w:color="000000"/>
              <w:right w:val="single" w:sz="6" w:space="0" w:color="000000"/>
            </w:tcBorders>
            <w:shd w:val="clear" w:color="auto" w:fill="D2D2D2"/>
          </w:tcPr>
          <w:p>
            <w:pPr/>
          </w:p>
        </w:tc>
        <w:tc>
          <w:tcPr>
            <w:tcW w:w="13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3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3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2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04" w:type="dxa"/>
            <w:gridSpan w:val="2"/>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07" w:hRule="exact"/>
        </w:trPr>
        <w:tc>
          <w:tcPr>
            <w:tcW w:w="1479"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6" w:lineRule="auto"/>
              <w:ind w:left="13" w:right="183"/>
              <w:jc w:val="left"/>
              <w:rPr>
                <w:rFonts w:ascii="宋体" w:hAnsi="宋体" w:cs="宋体" w:eastAsia="宋体" w:hint="default"/>
                <w:sz w:val="18"/>
                <w:szCs w:val="18"/>
              </w:rPr>
            </w:pPr>
            <w:r>
              <w:rPr>
                <w:rFonts w:ascii="宋体" w:hAnsi="宋体" w:cs="宋体" w:eastAsia="宋体" w:hint="default"/>
                <w:sz w:val="18"/>
                <w:szCs w:val="18"/>
              </w:rPr>
              <w:t>湖北索瑞电气有 限公司</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sz w:val="18"/>
              </w:rPr>
              <w:t>535,163,964.09</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110,736,013.85</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1" w:right="0"/>
              <w:jc w:val="center"/>
              <w:rPr>
                <w:rFonts w:ascii="宋体" w:hAnsi="宋体" w:cs="宋体" w:eastAsia="宋体" w:hint="default"/>
                <w:sz w:val="18"/>
                <w:szCs w:val="18"/>
              </w:rPr>
            </w:pPr>
            <w:r>
              <w:rPr>
                <w:rFonts w:ascii="宋体"/>
                <w:sz w:val="18"/>
              </w:rPr>
              <w:t>645,899,977.94</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sz w:val="18"/>
              </w:rPr>
              <w:t>243,819,395.62</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0" w:right="0"/>
              <w:jc w:val="left"/>
              <w:rPr>
                <w:rFonts w:ascii="宋体" w:hAnsi="宋体" w:cs="宋体" w:eastAsia="宋体" w:hint="default"/>
                <w:sz w:val="18"/>
                <w:szCs w:val="18"/>
              </w:rPr>
            </w:pPr>
            <w:r>
              <w:rPr>
                <w:rFonts w:ascii="宋体"/>
                <w:sz w:val="18"/>
              </w:rPr>
              <w:t>4,450,000.00</w:t>
            </w:r>
          </w:p>
        </w:tc>
        <w:tc>
          <w:tcPr>
            <w:tcW w:w="1504"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208" w:right="0"/>
              <w:jc w:val="left"/>
              <w:rPr>
                <w:rFonts w:ascii="宋体" w:hAnsi="宋体" w:cs="宋体" w:eastAsia="宋体" w:hint="default"/>
                <w:sz w:val="18"/>
                <w:szCs w:val="18"/>
              </w:rPr>
            </w:pPr>
            <w:r>
              <w:rPr>
                <w:rFonts w:ascii="宋体"/>
                <w:sz w:val="18"/>
              </w:rPr>
              <w:t>248,269,395.62</w:t>
            </w:r>
          </w:p>
        </w:tc>
      </w:tr>
      <w:tr>
        <w:trPr>
          <w:trHeight w:val="407" w:hRule="exact"/>
        </w:trPr>
        <w:tc>
          <w:tcPr>
            <w:tcW w:w="1479" w:type="dxa"/>
            <w:vMerge/>
            <w:tcBorders>
              <w:left w:val="single" w:sz="12" w:space="0" w:color="000000"/>
              <w:right w:val="single" w:sz="6" w:space="0" w:color="000000"/>
            </w:tcBorders>
          </w:tcPr>
          <w:p>
            <w:pPr/>
          </w:p>
        </w:tc>
        <w:tc>
          <w:tcPr>
            <w:tcW w:w="8098" w:type="dxa"/>
            <w:gridSpan w:val="7"/>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479" w:type="dxa"/>
            <w:vMerge/>
            <w:tcBorders>
              <w:left w:val="single" w:sz="12" w:space="0" w:color="000000"/>
              <w:right w:val="single" w:sz="6" w:space="0" w:color="000000"/>
            </w:tcBorders>
          </w:tcPr>
          <w:p>
            <w:pPr/>
          </w:p>
        </w:tc>
        <w:tc>
          <w:tcPr>
            <w:tcW w:w="13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3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left="21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3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34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left="216"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64"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415" w:hRule="exact"/>
        </w:trPr>
        <w:tc>
          <w:tcPr>
            <w:tcW w:w="1479" w:type="dxa"/>
            <w:vMerge/>
            <w:tcBorders>
              <w:left w:val="single" w:sz="12" w:space="0" w:color="000000"/>
              <w:bottom w:val="single" w:sz="12" w:space="0" w:color="000000"/>
              <w:right w:val="single" w:sz="6" w:space="0" w:color="000000"/>
            </w:tcBorders>
          </w:tcPr>
          <w:p>
            <w:pPr/>
          </w:p>
        </w:tc>
        <w:tc>
          <w:tcPr>
            <w:tcW w:w="13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31" w:right="0"/>
              <w:jc w:val="center"/>
              <w:rPr>
                <w:rFonts w:ascii="宋体" w:hAnsi="宋体" w:cs="宋体" w:eastAsia="宋体" w:hint="default"/>
                <w:sz w:val="18"/>
                <w:szCs w:val="18"/>
              </w:rPr>
            </w:pPr>
            <w:r>
              <w:rPr>
                <w:rFonts w:ascii="宋体"/>
                <w:sz w:val="18"/>
              </w:rPr>
              <w:t>467,011,766.30</w:t>
            </w:r>
          </w:p>
        </w:tc>
        <w:tc>
          <w:tcPr>
            <w:tcW w:w="13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84,082,382.74</w:t>
            </w:r>
          </w:p>
        </w:tc>
        <w:tc>
          <w:tcPr>
            <w:tcW w:w="13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31" w:right="0"/>
              <w:jc w:val="center"/>
              <w:rPr>
                <w:rFonts w:ascii="宋体" w:hAnsi="宋体" w:cs="宋体" w:eastAsia="宋体" w:hint="default"/>
                <w:sz w:val="18"/>
                <w:szCs w:val="18"/>
              </w:rPr>
            </w:pPr>
            <w:r>
              <w:rPr>
                <w:rFonts w:ascii="宋体"/>
                <w:sz w:val="18"/>
              </w:rPr>
              <w:t>551,094,149.04</w:t>
            </w:r>
          </w:p>
        </w:tc>
        <w:tc>
          <w:tcPr>
            <w:tcW w:w="13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8" w:right="0"/>
              <w:jc w:val="center"/>
              <w:rPr>
                <w:rFonts w:ascii="宋体" w:hAnsi="宋体" w:cs="宋体" w:eastAsia="宋体" w:hint="default"/>
                <w:sz w:val="18"/>
                <w:szCs w:val="18"/>
              </w:rPr>
            </w:pPr>
            <w:r>
              <w:rPr>
                <w:rFonts w:ascii="宋体"/>
                <w:sz w:val="18"/>
              </w:rPr>
              <w:t>177,220,661.47</w:t>
            </w:r>
          </w:p>
        </w:tc>
        <w:tc>
          <w:tcPr>
            <w:tcW w:w="1347" w:type="dxa"/>
            <w:gridSpan w:val="2"/>
            <w:tcBorders>
              <w:top w:val="single" w:sz="6" w:space="0" w:color="000000"/>
              <w:left w:val="single" w:sz="6" w:space="0" w:color="000000"/>
              <w:bottom w:val="single" w:sz="12" w:space="0" w:color="000000"/>
              <w:right w:val="single" w:sz="6" w:space="0" w:color="000000"/>
            </w:tcBorders>
          </w:tcPr>
          <w:p>
            <w:pPr/>
          </w:p>
        </w:tc>
        <w:tc>
          <w:tcPr>
            <w:tcW w:w="13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57" w:right="0"/>
              <w:jc w:val="center"/>
              <w:rPr>
                <w:rFonts w:ascii="宋体" w:hAnsi="宋体" w:cs="宋体" w:eastAsia="宋体" w:hint="default"/>
                <w:sz w:val="18"/>
                <w:szCs w:val="18"/>
              </w:rPr>
            </w:pPr>
            <w:r>
              <w:rPr>
                <w:rFonts w:ascii="宋体"/>
                <w:sz w:val="18"/>
              </w:rPr>
              <w:t>177,220,661.47</w:t>
            </w: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129"/>
        <w:gridCol w:w="1878"/>
        <w:gridCol w:w="1878"/>
        <w:gridCol w:w="1878"/>
        <w:gridCol w:w="1877"/>
      </w:tblGrid>
      <w:tr>
        <w:trPr>
          <w:trHeight w:val="398" w:hRule="exact"/>
        </w:trPr>
        <w:tc>
          <w:tcPr>
            <w:tcW w:w="2129"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9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512" w:type="dxa"/>
            <w:gridSpan w:val="4"/>
            <w:tcBorders>
              <w:top w:val="single" w:sz="12" w:space="0" w:color="000000"/>
              <w:left w:val="single" w:sz="6" w:space="0" w:color="000000"/>
              <w:bottom w:val="single" w:sz="23" w:space="0" w:color="FFFFFF"/>
              <w:right w:val="single" w:sz="12"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33" w:hRule="exact"/>
        </w:trPr>
        <w:tc>
          <w:tcPr>
            <w:tcW w:w="2129" w:type="dxa"/>
            <w:vMerge/>
            <w:tcBorders>
              <w:left w:val="single" w:sz="12" w:space="0" w:color="000000"/>
              <w:bottom w:val="single" w:sz="6" w:space="0" w:color="000000"/>
              <w:right w:val="single" w:sz="6" w:space="0" w:color="000000"/>
            </w:tcBorders>
            <w:shd w:val="clear" w:color="auto" w:fill="D2D2D2"/>
          </w:tcPr>
          <w:p>
            <w:pPr/>
          </w:p>
        </w:tc>
        <w:tc>
          <w:tcPr>
            <w:tcW w:w="1878" w:type="dxa"/>
            <w:tcBorders>
              <w:top w:val="single" w:sz="23"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78" w:type="dxa"/>
            <w:tcBorders>
              <w:top w:val="single" w:sz="23"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3"/>
              <w:ind w:left="66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78" w:type="dxa"/>
            <w:tcBorders>
              <w:top w:val="single" w:sz="23" w:space="0" w:color="FFFFFF"/>
              <w:left w:val="single" w:sz="6" w:space="0" w:color="000000"/>
              <w:bottom w:val="single" w:sz="6" w:space="0" w:color="000000"/>
              <w:right w:val="single" w:sz="6" w:space="0" w:color="000000"/>
            </w:tcBorders>
            <w:shd w:val="clear" w:color="auto" w:fill="D2D2D2"/>
          </w:tcPr>
          <w:p>
            <w:pPr>
              <w:pStyle w:val="TableParagraph"/>
              <w:spacing w:line="240" w:lineRule="auto" w:before="53"/>
              <w:ind w:left="39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877" w:type="dxa"/>
            <w:tcBorders>
              <w:top w:val="single" w:sz="23" w:space="0" w:color="FFFFFF"/>
              <w:left w:val="single" w:sz="6" w:space="0" w:color="000000"/>
              <w:bottom w:val="single" w:sz="6" w:space="0" w:color="000000"/>
              <w:right w:val="single" w:sz="12"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13" w:hRule="exact"/>
        </w:trPr>
        <w:tc>
          <w:tcPr>
            <w:tcW w:w="2129"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581" w:right="0"/>
              <w:jc w:val="left"/>
              <w:rPr>
                <w:rFonts w:ascii="宋体" w:hAnsi="宋体" w:cs="宋体" w:eastAsia="宋体" w:hint="default"/>
                <w:sz w:val="18"/>
                <w:szCs w:val="18"/>
              </w:rPr>
            </w:pPr>
            <w:r>
              <w:rPr>
                <w:rFonts w:ascii="宋体"/>
                <w:sz w:val="18"/>
              </w:rPr>
              <w:t>474,718,325.41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671" w:right="0"/>
              <w:jc w:val="left"/>
              <w:rPr>
                <w:rFonts w:ascii="宋体" w:hAnsi="宋体" w:cs="宋体" w:eastAsia="宋体" w:hint="default"/>
                <w:sz w:val="18"/>
                <w:szCs w:val="18"/>
              </w:rPr>
            </w:pPr>
            <w:r>
              <w:rPr>
                <w:rFonts w:ascii="宋体"/>
                <w:sz w:val="18"/>
              </w:rPr>
              <w:t>78,757,094.75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宋体" w:hAnsi="宋体" w:cs="宋体" w:eastAsia="宋体" w:hint="default"/>
                <w:sz w:val="18"/>
                <w:szCs w:val="18"/>
              </w:rPr>
            </w:pPr>
            <w:r>
              <w:rPr>
                <w:rFonts w:ascii="宋体"/>
                <w:sz w:val="18"/>
              </w:rPr>
              <w:t>78,757,094.75</w:t>
            </w:r>
          </w:p>
        </w:tc>
        <w:tc>
          <w:tcPr>
            <w:tcW w:w="18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1"/>
              <w:jc w:val="right"/>
              <w:rPr>
                <w:rFonts w:ascii="宋体" w:hAnsi="宋体" w:cs="宋体" w:eastAsia="宋体" w:hint="default"/>
                <w:sz w:val="18"/>
                <w:szCs w:val="18"/>
              </w:rPr>
            </w:pPr>
            <w:r>
              <w:rPr>
                <w:rFonts w:ascii="宋体"/>
                <w:sz w:val="18"/>
              </w:rPr>
              <w:t>28,626,150.11</w:t>
            </w:r>
          </w:p>
        </w:tc>
      </w:tr>
      <w:tr>
        <w:trPr>
          <w:trHeight w:val="391" w:hRule="exact"/>
        </w:trPr>
        <w:tc>
          <w:tcPr>
            <w:tcW w:w="2129" w:type="dxa"/>
            <w:vMerge/>
            <w:tcBorders>
              <w:left w:val="single" w:sz="12" w:space="0" w:color="000000"/>
              <w:right w:val="single" w:sz="6" w:space="0" w:color="000000"/>
            </w:tcBorders>
          </w:tcPr>
          <w:p>
            <w:pPr/>
          </w:p>
        </w:tc>
        <w:tc>
          <w:tcPr>
            <w:tcW w:w="7512" w:type="dxa"/>
            <w:gridSpan w:val="4"/>
            <w:tcBorders>
              <w:top w:val="single" w:sz="6" w:space="0" w:color="000000"/>
              <w:left w:val="single" w:sz="6" w:space="0" w:color="000000"/>
              <w:bottom w:val="single" w:sz="23" w:space="0" w:color="FFFFFF"/>
              <w:right w:val="single" w:sz="12" w:space="0" w:color="000000"/>
            </w:tcBorders>
            <w:shd w:val="clear" w:color="auto" w:fill="D9D9D9"/>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33" w:hRule="exact"/>
        </w:trPr>
        <w:tc>
          <w:tcPr>
            <w:tcW w:w="2129" w:type="dxa"/>
            <w:vMerge/>
            <w:tcBorders>
              <w:left w:val="single" w:sz="12" w:space="0" w:color="000000"/>
              <w:right w:val="single" w:sz="6" w:space="0" w:color="000000"/>
            </w:tcBorders>
          </w:tcPr>
          <w:p>
            <w:pPr/>
          </w:p>
        </w:tc>
        <w:tc>
          <w:tcPr>
            <w:tcW w:w="1878" w:type="dxa"/>
            <w:tcBorders>
              <w:top w:val="single" w:sz="23" w:space="0" w:color="FFFFFF"/>
              <w:left w:val="single" w:sz="6" w:space="0" w:color="000000"/>
              <w:bottom w:val="single" w:sz="6" w:space="0" w:color="000000"/>
              <w:right w:val="single" w:sz="6" w:space="0" w:color="000000"/>
            </w:tcBorders>
            <w:shd w:val="clear" w:color="auto" w:fill="D9D9D9"/>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78" w:type="dxa"/>
            <w:tcBorders>
              <w:top w:val="single" w:sz="23" w:space="0" w:color="FFFFFF"/>
              <w:left w:val="single" w:sz="6" w:space="0" w:color="000000"/>
              <w:bottom w:val="single" w:sz="6" w:space="0" w:color="000000"/>
              <w:right w:val="single" w:sz="6" w:space="0" w:color="000000"/>
            </w:tcBorders>
            <w:shd w:val="clear" w:color="auto" w:fill="D9D9D9"/>
          </w:tcPr>
          <w:p>
            <w:pPr>
              <w:pStyle w:val="TableParagraph"/>
              <w:spacing w:line="240" w:lineRule="auto" w:before="53"/>
              <w:ind w:left="66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78" w:type="dxa"/>
            <w:tcBorders>
              <w:top w:val="single" w:sz="23" w:space="0" w:color="FFFFFF"/>
              <w:left w:val="single" w:sz="6" w:space="0" w:color="000000"/>
              <w:bottom w:val="single" w:sz="6" w:space="0" w:color="000000"/>
              <w:right w:val="single" w:sz="6" w:space="0" w:color="000000"/>
            </w:tcBorders>
            <w:shd w:val="clear" w:color="auto" w:fill="D9D9D9"/>
          </w:tcPr>
          <w:p>
            <w:pPr>
              <w:pStyle w:val="TableParagraph"/>
              <w:spacing w:line="240" w:lineRule="auto" w:before="53"/>
              <w:ind w:left="39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877" w:type="dxa"/>
            <w:tcBorders>
              <w:top w:val="single" w:sz="23" w:space="0" w:color="FFFFFF"/>
              <w:left w:val="single" w:sz="6" w:space="0" w:color="000000"/>
              <w:bottom w:val="single" w:sz="6" w:space="0" w:color="000000"/>
              <w:right w:val="single" w:sz="12" w:space="0" w:color="000000"/>
            </w:tcBorders>
            <w:shd w:val="clear" w:color="auto" w:fill="D9D9D9"/>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21" w:hRule="exact"/>
        </w:trPr>
        <w:tc>
          <w:tcPr>
            <w:tcW w:w="2129" w:type="dxa"/>
            <w:vMerge/>
            <w:tcBorders>
              <w:left w:val="single" w:sz="12" w:space="0" w:color="000000"/>
              <w:bottom w:val="single" w:sz="12" w:space="0" w:color="000000"/>
              <w:right w:val="single" w:sz="6" w:space="0" w:color="000000"/>
            </w:tcBorders>
          </w:tcPr>
          <w:p>
            <w:pPr/>
          </w:p>
        </w:tc>
        <w:tc>
          <w:tcPr>
            <w:tcW w:w="18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581" w:right="0"/>
              <w:jc w:val="left"/>
              <w:rPr>
                <w:rFonts w:ascii="宋体" w:hAnsi="宋体" w:cs="宋体" w:eastAsia="宋体" w:hint="default"/>
                <w:sz w:val="18"/>
                <w:szCs w:val="18"/>
              </w:rPr>
            </w:pPr>
            <w:r>
              <w:rPr>
                <w:rFonts w:ascii="宋体"/>
                <w:sz w:val="18"/>
              </w:rPr>
              <w:t>477,641,116.61</w:t>
            </w:r>
          </w:p>
        </w:tc>
        <w:tc>
          <w:tcPr>
            <w:tcW w:w="18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671" w:right="0"/>
              <w:jc w:val="left"/>
              <w:rPr>
                <w:rFonts w:ascii="宋体" w:hAnsi="宋体" w:cs="宋体" w:eastAsia="宋体" w:hint="default"/>
                <w:sz w:val="18"/>
                <w:szCs w:val="18"/>
              </w:rPr>
            </w:pPr>
            <w:r>
              <w:rPr>
                <w:rFonts w:ascii="宋体"/>
                <w:sz w:val="18"/>
              </w:rPr>
              <w:t>68,614,401.69</w:t>
            </w:r>
          </w:p>
        </w:tc>
        <w:tc>
          <w:tcPr>
            <w:tcW w:w="18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68,614,401.69</w:t>
            </w:r>
          </w:p>
        </w:tc>
        <w:tc>
          <w:tcPr>
            <w:tcW w:w="18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93,835,436.51</w:t>
            </w:r>
          </w:p>
        </w:tc>
      </w:tr>
    </w:tbl>
    <w:p>
      <w:pPr>
        <w:pStyle w:val="Heading4"/>
        <w:spacing w:line="240" w:lineRule="auto" w:before="63"/>
        <w:ind w:right="0"/>
        <w:jc w:val="left"/>
        <w:rPr>
          <w:b w:val="0"/>
          <w:bCs w:val="0"/>
        </w:rPr>
      </w:pPr>
      <w:bookmarkStart w:name="（4）使用企业集团资产和清偿企业集团债务的重大限制" w:id="376"/>
      <w:bookmarkEnd w:id="376"/>
      <w:r>
        <w:rPr>
          <w:b w:val="0"/>
          <w:bCs w:val="0"/>
        </w:rPr>
      </w:r>
      <w:r>
        <w:rPr/>
        <w:t>（</w:t>
      </w:r>
      <w:r>
        <w:rPr>
          <w:rFonts w:ascii="宋体" w:hAnsi="宋体" w:cs="宋体" w:eastAsia="宋体"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5）向纳入合并财务报表范围的结构化主体提供的财务支持或其他支持" w:id="377"/>
      <w:bookmarkEnd w:id="377"/>
      <w:r>
        <w:rPr>
          <w:b w:val="0"/>
          <w:bCs w:val="0"/>
        </w:rPr>
      </w:r>
      <w:r>
        <w:rPr/>
        <w:t>（</w:t>
      </w:r>
      <w:r>
        <w:rPr>
          <w:rFonts w:ascii="宋体" w:hAnsi="宋体" w:cs="宋体" w:eastAsia="宋体" w:hint="default"/>
        </w:rPr>
        <w:t>5</w:t>
      </w:r>
      <w:r>
        <w:rPr/>
        <w:t>）向纳入合并财务报表范围的结构化主体提供的财务支持或其他支持</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389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在子公司的所有者权益份额发生变化且仍控制子公司的交易" w:id="378"/>
      <w:bookmarkEnd w:id="378"/>
      <w:r>
        <w:rPr>
          <w:rFonts w:ascii="宋体" w:hAnsi="宋体" w:cs="宋体" w:eastAsia="宋体" w:hint="default"/>
          <w:sz w:val="21"/>
          <w:szCs w:val="21"/>
        </w:rPr>
      </w:r>
      <w:r>
        <w:rPr>
          <w:rFonts w:ascii="宋体" w:hAnsi="宋体" w:cs="宋体" w:eastAsia="宋体" w:hint="default"/>
          <w:b/>
          <w:bCs/>
          <w:w w:val="95"/>
          <w:sz w:val="21"/>
          <w:szCs w:val="21"/>
        </w:rPr>
        <w:t>2</w:t>
      </w:r>
      <w:r>
        <w:rPr>
          <w:rFonts w:ascii="宋体" w:hAnsi="宋体" w:cs="宋体" w:eastAsia="宋体" w:hint="default"/>
          <w:b/>
          <w:bCs/>
          <w:w w:val="95"/>
          <w:sz w:val="21"/>
          <w:szCs w:val="21"/>
        </w:rPr>
        <w:t>、在子公司的所有者权益份额发生变化且仍控制子公司的交易</w:t>
      </w:r>
      <w:r>
        <w:rPr>
          <w:rFonts w:ascii="宋体" w:hAnsi="宋体" w:cs="宋体" w:eastAsia="宋体" w:hint="default"/>
          <w:sz w:val="21"/>
          <w:szCs w:val="21"/>
        </w:rPr>
      </w:r>
    </w:p>
    <w:p>
      <w:pPr>
        <w:spacing w:line="408" w:lineRule="auto" w:before="46"/>
        <w:ind w:left="154" w:right="650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在合营安排或联营企业中的权益" w:id="379"/>
      <w:bookmarkEnd w:id="379"/>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408" w:lineRule="auto" w:before="46"/>
        <w:ind w:left="154" w:right="798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重要的共同经营" w:id="380"/>
      <w:bookmarkEnd w:id="380"/>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pStyle w:val="BodyText"/>
        <w:spacing w:line="240" w:lineRule="auto"/>
        <w:ind w:left="154" w:right="0"/>
        <w:jc w:val="left"/>
      </w:pPr>
      <w:r>
        <w:rPr/>
        <w:t>□ 适用 √</w:t>
      </w:r>
      <w:r>
        <w:rPr>
          <w:spacing w:val="-1"/>
        </w:rPr>
        <w:t> </w:t>
      </w:r>
      <w:r>
        <w:rPr/>
        <w:t>不适用</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53" w:right="0"/>
        <w:jc w:val="both"/>
        <w:rPr>
          <w:b w:val="0"/>
          <w:bCs w:val="0"/>
        </w:rPr>
      </w:pPr>
      <w:bookmarkStart w:name="5、在未纳入合并财务报表范围的结构化主体中的权益" w:id="381"/>
      <w:bookmarkEnd w:id="381"/>
      <w:r>
        <w:rPr>
          <w:b w:val="0"/>
          <w:bCs w:val="0"/>
        </w:rPr>
      </w:r>
      <w:r>
        <w:rPr>
          <w:rFonts w:ascii="宋体" w:hAnsi="宋体" w:cs="宋体" w:eastAsia="宋体" w:hint="default"/>
        </w:rPr>
        <w:t>5</w:t>
      </w:r>
      <w:r>
        <w:rPr/>
        <w:t>、在未纳入合并财务报表范围的结构化主体中的权益</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04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6、其他" w:id="382"/>
      <w:bookmarkEnd w:id="382"/>
      <w:r>
        <w:rPr>
          <w:rFonts w:ascii="宋体" w:hAnsi="宋体" w:cs="宋体" w:eastAsia="宋体" w:hint="default"/>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ind w:left="154" w:right="0"/>
        <w:jc w:val="both"/>
      </w:pPr>
      <w:r>
        <w:rPr/>
        <w:t>□ 适用 √</w:t>
      </w:r>
      <w:r>
        <w:rPr>
          <w:spacing w:val="-1"/>
        </w:rPr>
        <w:t> </w:t>
      </w:r>
      <w:r>
        <w:rPr/>
        <w:t>不适用</w:t>
      </w:r>
    </w:p>
    <w:p>
      <w:pPr>
        <w:pStyle w:val="Heading2"/>
        <w:spacing w:line="240" w:lineRule="auto" w:before="170"/>
        <w:ind w:left="154" w:right="0"/>
        <w:jc w:val="both"/>
        <w:rPr>
          <w:b w:val="0"/>
          <w:bCs w:val="0"/>
        </w:rPr>
      </w:pPr>
      <w:bookmarkStart w:name="十、与金融工具相关的风险" w:id="383"/>
      <w:bookmarkEnd w:id="383"/>
      <w:r>
        <w:rPr>
          <w:b w:val="0"/>
          <w:bCs w:val="0"/>
        </w:rPr>
      </w:r>
      <w:r>
        <w:rPr/>
        <w:t>十、与金融工具相关的风险</w:t>
      </w:r>
      <w:r>
        <w:rPr>
          <w:b w:val="0"/>
          <w:bCs w:val="0"/>
        </w:rPr>
      </w:r>
    </w:p>
    <w:p>
      <w:pPr>
        <w:pStyle w:val="BodyText"/>
        <w:spacing w:line="408" w:lineRule="auto" w:before="177"/>
        <w:ind w:right="98" w:firstLine="420"/>
        <w:jc w:val="left"/>
      </w:pPr>
      <w:r>
        <w:rPr>
          <w:spacing w:val="-3"/>
        </w:rPr>
        <w:t>公司的主要金融工具包括应收账款、应付账款等，各项金融工具的详细情况说明见本附注五相关项目。</w:t>
      </w:r>
      <w:r>
        <w:rPr/>
        <w:t> 与这些金融工具有关的风险，以及公司为降低这些风险所采取的风险管理政策如下所述。公司管理层对这 些风险敞口进行管理和监控以确保将上述风险控制在限定的范围之内。</w:t>
      </w:r>
    </w:p>
    <w:p>
      <w:pPr>
        <w:pStyle w:val="BodyText"/>
        <w:spacing w:line="408" w:lineRule="auto"/>
        <w:ind w:right="190" w:firstLine="420"/>
        <w:jc w:val="both"/>
      </w:pPr>
      <w:r>
        <w:rPr/>
        <w:t>公司采用敏感性分析技术分析风险变量的合理、可能变化对当期损益或所有者权益可能产生的影响。 </w:t>
      </w:r>
      <w:r>
        <w:rPr>
          <w:spacing w:val="-1"/>
        </w:rPr>
        <w:t>由于任何风险变量很少孤立地发生变化，而变量之间存在的相关性对某一风险变量的变化的最终影响金额</w:t>
      </w:r>
      <w:r>
        <w:rPr>
          <w:spacing w:val="-81"/>
        </w:rPr>
        <w:t> </w:t>
      </w:r>
      <w:r>
        <w:rPr>
          <w:spacing w:val="-81"/>
        </w:rPr>
      </w:r>
      <w:r>
        <w:rPr/>
        <w:t>将产生重大作用，因此下述内容是在假设每一变量的变化是在独立的情况下进行的。</w:t>
      </w:r>
    </w:p>
    <w:p>
      <w:pPr>
        <w:pStyle w:val="BodyText"/>
        <w:spacing w:line="408" w:lineRule="auto"/>
        <w:ind w:right="211" w:firstLine="420"/>
        <w:jc w:val="both"/>
      </w:pPr>
      <w:r>
        <w:rPr>
          <w:spacing w:val="-1"/>
        </w:rPr>
        <w:t>公司从事风险管理的目标是在风险和收益之间取得适当的平衡，将风险对本公司经营业绩的负面影响</w:t>
      </w:r>
      <w:r>
        <w:rPr/>
        <w:t> </w:t>
      </w:r>
      <w:r>
        <w:rPr>
          <w:spacing w:val="-1"/>
        </w:rPr>
        <w:t>降低到最低水平，使股东及其其他权益投资者的利益最大化。基于该风险管理目标，本公司风险管理的基</w:t>
      </w:r>
      <w:r>
        <w:rPr>
          <w:spacing w:val="-83"/>
        </w:rPr>
        <w:t> </w:t>
      </w:r>
      <w:r>
        <w:rPr>
          <w:spacing w:val="-83"/>
        </w:rPr>
      </w:r>
      <w:r>
        <w:rPr>
          <w:spacing w:val="-1"/>
        </w:rPr>
        <w:t>本策略是确定和分析本公司所面临的各种风险，建立适当的风险承受底线和进行风险管理，并及时可靠地</w:t>
      </w:r>
      <w:r>
        <w:rPr>
          <w:spacing w:val="-81"/>
        </w:rPr>
        <w:t> </w:t>
      </w:r>
      <w:r>
        <w:rPr>
          <w:spacing w:val="-81"/>
        </w:rPr>
      </w:r>
      <w:r>
        <w:rPr/>
        <w:t>对各种风险进行监督，将风险控制在限定的范围之内。</w:t>
      </w:r>
    </w:p>
    <w:p>
      <w:pPr>
        <w:pStyle w:val="BodyText"/>
        <w:spacing w:line="408" w:lineRule="auto"/>
        <w:ind w:left="573" w:right="102"/>
        <w:jc w:val="left"/>
      </w:pPr>
      <w:r>
        <w:rPr>
          <w:rFonts w:ascii="宋体" w:hAnsi="宋体" w:cs="宋体" w:eastAsia="宋体" w:hint="default"/>
        </w:rPr>
        <w:t>1</w:t>
      </w:r>
      <w:r>
        <w:rPr/>
        <w:t>、信用风险 </w:t>
      </w:r>
      <w:r>
        <w:rPr>
          <w:spacing w:val="-1"/>
        </w:rPr>
        <w:t>信用风险，是指金融工具的一方不履行义务，造成另一方发生财务损失的风险。为降低信用风险，本</w:t>
      </w:r>
    </w:p>
    <w:p>
      <w:pPr>
        <w:pStyle w:val="BodyText"/>
        <w:spacing w:line="408" w:lineRule="auto"/>
        <w:ind w:right="211"/>
        <w:jc w:val="both"/>
      </w:pPr>
      <w:r>
        <w:rPr>
          <w:spacing w:val="-1"/>
        </w:rPr>
        <w:t>公司成立了一个小组负责确定信用额度、进行信用审批，并执行其他监控程序以确保采取必要的措施回收</w:t>
      </w:r>
      <w:r>
        <w:rPr>
          <w:spacing w:val="-81"/>
        </w:rPr>
        <w:t> </w:t>
      </w:r>
      <w:r>
        <w:rPr>
          <w:spacing w:val="-81"/>
        </w:rPr>
      </w:r>
      <w:r>
        <w:rPr>
          <w:spacing w:val="-1"/>
        </w:rPr>
        <w:t>过期债权。此外，本公司于每个资产负债表日审核每一单项应收款的回收情况，以确保就无法回收的款项</w:t>
      </w:r>
      <w:r>
        <w:rPr>
          <w:spacing w:val="-83"/>
        </w:rPr>
        <w:t> </w:t>
      </w:r>
      <w:r>
        <w:rPr>
          <w:spacing w:val="-83"/>
        </w:rPr>
      </w:r>
      <w:r>
        <w:rPr/>
        <w:t>计提充分的坏账准备或核销。因此，本公司管理层认为本公司所承担的信用风险已经大为降低。</w:t>
      </w:r>
    </w:p>
    <w:p>
      <w:pPr>
        <w:pStyle w:val="BodyText"/>
        <w:spacing w:line="408" w:lineRule="auto"/>
        <w:ind w:left="573" w:right="102"/>
        <w:jc w:val="left"/>
      </w:pPr>
      <w:r>
        <w:rPr>
          <w:rFonts w:ascii="宋体" w:hAnsi="宋体" w:cs="宋体" w:eastAsia="宋体" w:hint="default"/>
        </w:rPr>
        <w:t>2</w:t>
      </w:r>
      <w:r>
        <w:rPr/>
        <w:t>、流动性风险 </w:t>
      </w:r>
      <w:r>
        <w:rPr>
          <w:spacing w:val="-1"/>
        </w:rPr>
        <w:t>流动性风险，是指在履行以交付现金或其他金融资产的方式结算的义务时发生资金短缺的风险。管理</w:t>
      </w:r>
    </w:p>
    <w:p>
      <w:pPr>
        <w:pStyle w:val="BodyText"/>
        <w:spacing w:line="408" w:lineRule="auto"/>
        <w:ind w:right="173"/>
        <w:jc w:val="left"/>
      </w:pPr>
      <w:r>
        <w:rPr/>
        <w:t>流动风险时，本公司保持管理层认为充分的现金及现金等价物并对其进行监控，以满足本公司经营需要， 并降低现金流量波动的影响。</w:t>
      </w:r>
    </w:p>
    <w:p>
      <w:pPr>
        <w:pStyle w:val="BodyText"/>
        <w:spacing w:line="408" w:lineRule="auto"/>
        <w:ind w:left="573" w:right="173"/>
        <w:jc w:val="left"/>
      </w:pPr>
      <w:r>
        <w:rPr>
          <w:rFonts w:ascii="宋体" w:hAnsi="宋体" w:cs="宋体" w:eastAsia="宋体" w:hint="default"/>
        </w:rPr>
        <w:t>3</w:t>
      </w:r>
      <w:r>
        <w:rPr/>
        <w:t>、市场风险 金融工具的市场风险，是指金融工具的公允价值或未来现金流量因市场价格变动而发生波动的风险，</w:t>
      </w:r>
    </w:p>
    <w:p>
      <w:pPr>
        <w:pStyle w:val="BodyText"/>
        <w:spacing w:line="408" w:lineRule="auto"/>
        <w:ind w:left="574" w:right="5842" w:hanging="420"/>
        <w:jc w:val="left"/>
      </w:pPr>
      <w:r>
        <w:rPr/>
        <w:t>包括汇率风险、利率风险和其他价格风险。 </w:t>
      </w:r>
      <w:r>
        <w:rPr>
          <w:rFonts w:ascii="宋体" w:hAnsi="宋体" w:cs="宋体" w:eastAsia="宋体" w:hint="default"/>
        </w:rPr>
        <w:t>4</w:t>
      </w:r>
      <w:r>
        <w:rPr/>
        <w:t>、汇率风险</w:t>
      </w:r>
    </w:p>
    <w:p>
      <w:pPr>
        <w:pStyle w:val="BodyText"/>
        <w:spacing w:line="408" w:lineRule="auto"/>
        <w:ind w:right="211" w:firstLine="420"/>
        <w:jc w:val="both"/>
      </w:pPr>
      <w:r>
        <w:rPr>
          <w:spacing w:val="-1"/>
        </w:rPr>
        <w:t>汇率风险，是指金融工具的公允价值或未来现金流量因外汇汇率变动而发生波动的风险。汇率风险可</w:t>
      </w:r>
      <w:r>
        <w:rPr/>
        <w:t> 源于以记账本位币之外的外币进行计价的金融工具。</w:t>
      </w:r>
    </w:p>
    <w:p>
      <w:pPr>
        <w:spacing w:after="0" w:line="408" w:lineRule="auto"/>
        <w:jc w:val="both"/>
        <w:sectPr>
          <w:pgSz w:w="11910" w:h="16840"/>
          <w:pgMar w:header="747" w:footer="1000" w:top="1040" w:bottom="118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8" w:lineRule="auto" w:before="0"/>
        <w:ind w:left="573" w:right="4943"/>
        <w:jc w:val="left"/>
      </w:pPr>
      <w:r>
        <w:rPr/>
        <w:t>本公司无以记账本位币之外的外币计价的资产。 </w:t>
      </w:r>
      <w:r>
        <w:rPr>
          <w:rFonts w:ascii="宋体" w:hAnsi="宋体" w:cs="宋体" w:eastAsia="宋体" w:hint="default"/>
        </w:rPr>
        <w:t>5</w:t>
      </w:r>
      <w:r>
        <w:rPr/>
        <w:t>、利率风险</w:t>
      </w:r>
    </w:p>
    <w:p>
      <w:pPr>
        <w:pStyle w:val="BodyText"/>
        <w:spacing w:line="408" w:lineRule="auto"/>
        <w:ind w:right="0" w:firstLine="420"/>
        <w:jc w:val="left"/>
      </w:pPr>
      <w:r>
        <w:rPr>
          <w:spacing w:val="-1"/>
        </w:rPr>
        <w:t>利率风险，是指金融工具的公允价值或未来现金流量因市场利率变动而发生波动的风险。利率风险可</w:t>
      </w:r>
      <w:r>
        <w:rPr/>
        <w:t> 源于已确认的计息金融工具和未确认的金融工具</w:t>
      </w:r>
      <w:r>
        <w:rPr>
          <w:rFonts w:ascii="宋体" w:hAnsi="宋体" w:cs="宋体" w:eastAsia="宋体" w:hint="default"/>
        </w:rPr>
        <w:t>(</w:t>
      </w:r>
      <w:r>
        <w:rPr/>
        <w:t>如某些贷款承诺</w:t>
      </w:r>
      <w:r>
        <w:rPr>
          <w:rFonts w:ascii="宋体" w:hAnsi="宋体" w:cs="宋体" w:eastAsia="宋体" w:hint="default"/>
        </w:rPr>
        <w:t>)</w:t>
      </w:r>
      <w:r>
        <w:rPr/>
        <w:t>。</w:t>
      </w:r>
    </w:p>
    <w:p>
      <w:pPr>
        <w:pStyle w:val="BodyText"/>
        <w:spacing w:line="408" w:lineRule="auto"/>
        <w:ind w:left="573" w:right="0"/>
        <w:jc w:val="left"/>
      </w:pPr>
      <w:r>
        <w:rPr/>
        <w:t>本公司的借款利率情况： 假设在其他条件不变的情况下，借款利率上升或下降</w:t>
      </w:r>
      <w:r>
        <w:rPr>
          <w:rFonts w:ascii="宋体" w:hAnsi="宋体" w:cs="宋体" w:eastAsia="宋体" w:hint="default"/>
        </w:rPr>
        <w:t>1%</w:t>
      </w:r>
      <w:r>
        <w:rPr/>
        <w:t>，则可能影响本公司本期的净利润</w:t>
      </w:r>
      <w:r>
        <w:rPr>
          <w:rFonts w:ascii="宋体" w:hAnsi="宋体" w:cs="宋体" w:eastAsia="宋体" w:hint="default"/>
        </w:rPr>
        <w:t>51</w:t>
      </w:r>
      <w:r>
        <w:rPr/>
        <w:t>万元。 </w:t>
      </w:r>
      <w:r>
        <w:rPr>
          <w:rFonts w:ascii="宋体" w:hAnsi="宋体" w:cs="宋体" w:eastAsia="宋体" w:hint="default"/>
        </w:rPr>
        <w:t>6</w:t>
      </w:r>
      <w:r>
        <w:rPr/>
        <w:t>、他价格风险 </w:t>
      </w:r>
      <w:r>
        <w:rPr>
          <w:spacing w:val="-1"/>
        </w:rPr>
        <w:t>其他价格风险，是指汇率风险和利率风险以外的市场价格变动而发生波动的风险，无论这些变动是由</w:t>
      </w:r>
    </w:p>
    <w:p>
      <w:pPr>
        <w:pStyle w:val="BodyText"/>
        <w:spacing w:line="408" w:lineRule="auto"/>
        <w:ind w:right="0"/>
        <w:jc w:val="left"/>
      </w:pPr>
      <w:r>
        <w:rPr>
          <w:spacing w:val="-1"/>
        </w:rPr>
        <w:t>于与单项金融工具或其发行方有关的因素而引起的，还是由于与市场内交易的所有类似金融工具有关的因</w:t>
      </w:r>
      <w:r>
        <w:rPr>
          <w:spacing w:val="-81"/>
        </w:rPr>
        <w:t> </w:t>
      </w:r>
      <w:r>
        <w:rPr>
          <w:spacing w:val="-81"/>
        </w:rPr>
      </w:r>
      <w:r>
        <w:rPr/>
        <w:t>素而引起的。其他价格风险可源于商品价格或权益工具价格等的变化。</w:t>
      </w:r>
    </w:p>
    <w:p>
      <w:pPr>
        <w:pStyle w:val="BodyText"/>
        <w:spacing w:line="240" w:lineRule="auto"/>
        <w:ind w:left="573" w:right="0"/>
        <w:jc w:val="left"/>
      </w:pPr>
      <w:r>
        <w:rPr/>
        <w:t>公司本期间无其他价格风险。</w:t>
      </w:r>
    </w:p>
    <w:p>
      <w:pPr>
        <w:pStyle w:val="Heading2"/>
        <w:spacing w:line="240" w:lineRule="auto" w:before="170"/>
        <w:ind w:right="0"/>
        <w:jc w:val="left"/>
        <w:rPr>
          <w:b w:val="0"/>
          <w:bCs w:val="0"/>
        </w:rPr>
      </w:pPr>
      <w:bookmarkStart w:name="十一、公允价值的披露" w:id="384"/>
      <w:bookmarkEnd w:id="384"/>
      <w:r>
        <w:rPr>
          <w:b w:val="0"/>
          <w:bCs w:val="0"/>
        </w:rPr>
      </w:r>
      <w:r>
        <w:rPr/>
        <w:t>十一、公允价值的披露</w:t>
      </w:r>
      <w:r>
        <w:rPr>
          <w:b w:val="0"/>
          <w:bCs w:val="0"/>
        </w:rPr>
      </w:r>
    </w:p>
    <w:p>
      <w:pPr>
        <w:spacing w:line="381" w:lineRule="auto" w:before="177"/>
        <w:ind w:left="153" w:right="693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十二、关联方及关联交易" w:id="385"/>
      <w:bookmarkEnd w:id="385"/>
      <w:r>
        <w:rPr>
          <w:rFonts w:ascii="宋体" w:hAnsi="宋体" w:cs="宋体" w:eastAsia="宋体" w:hint="default"/>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bookmarkStart w:name="1、本企业的母公司情况" w:id="386"/>
      <w:bookmarkEnd w:id="386"/>
      <w:r>
        <w:rPr>
          <w:rFonts w:ascii="宋体" w:hAnsi="宋体" w:cs="宋体" w:eastAsia="宋体" w:hint="default"/>
          <w:b/>
          <w:bCs/>
          <w:spacing w:val="7"/>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tbl>
      <w:tblPr>
        <w:tblW w:w="0" w:type="auto"/>
        <w:jc w:val="left"/>
        <w:tblInd w:w="138" w:type="dxa"/>
        <w:tblLayout w:type="fixed"/>
        <w:tblCellMar>
          <w:top w:w="0" w:type="dxa"/>
          <w:left w:w="0" w:type="dxa"/>
          <w:bottom w:w="0" w:type="dxa"/>
          <w:right w:w="0" w:type="dxa"/>
        </w:tblCellMar>
        <w:tblLook w:val="01E0"/>
      </w:tblPr>
      <w:tblGrid>
        <w:gridCol w:w="2695"/>
        <w:gridCol w:w="992"/>
        <w:gridCol w:w="1097"/>
        <w:gridCol w:w="1594"/>
        <w:gridCol w:w="1595"/>
        <w:gridCol w:w="1588"/>
      </w:tblGrid>
      <w:tr>
        <w:trPr>
          <w:trHeight w:val="727"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97"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1"/>
              <w:ind w:left="430"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51"/>
              <w:ind w:left="339" w:right="53"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15" w:hRule="exact"/>
        </w:trPr>
        <w:tc>
          <w:tcPr>
            <w:tcW w:w="26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江苏南京</w:t>
            </w:r>
          </w:p>
        </w:tc>
        <w:tc>
          <w:tcPr>
            <w:tcW w:w="10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020" w:right="0"/>
              <w:jc w:val="left"/>
              <w:rPr>
                <w:rFonts w:ascii="宋体" w:hAnsi="宋体" w:cs="宋体" w:eastAsia="宋体" w:hint="default"/>
                <w:sz w:val="18"/>
                <w:szCs w:val="18"/>
              </w:rPr>
            </w:pPr>
            <w:r>
              <w:rPr>
                <w:rFonts w:ascii="宋体"/>
                <w:sz w:val="18"/>
              </w:rPr>
              <w:t>26.42%</w:t>
            </w:r>
          </w:p>
        </w:tc>
        <w:tc>
          <w:tcPr>
            <w:tcW w:w="15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1018" w:right="0"/>
              <w:jc w:val="left"/>
              <w:rPr>
                <w:rFonts w:ascii="宋体" w:hAnsi="宋体" w:cs="宋体" w:eastAsia="宋体" w:hint="default"/>
                <w:sz w:val="18"/>
                <w:szCs w:val="18"/>
              </w:rPr>
            </w:pPr>
            <w:r>
              <w:rPr>
                <w:rFonts w:ascii="宋体"/>
                <w:sz w:val="18"/>
              </w:rPr>
              <w:t>26.42%</w:t>
            </w:r>
          </w:p>
        </w:tc>
      </w:tr>
    </w:tbl>
    <w:p>
      <w:pPr>
        <w:spacing w:line="408" w:lineRule="auto" w:before="69"/>
        <w:ind w:left="154" w:right="5992" w:firstLine="0"/>
        <w:jc w:val="left"/>
        <w:rPr>
          <w:rFonts w:ascii="宋体" w:hAnsi="宋体" w:cs="宋体" w:eastAsia="宋体" w:hint="default"/>
          <w:sz w:val="21"/>
          <w:szCs w:val="21"/>
        </w:rPr>
      </w:pPr>
      <w:r>
        <w:rPr>
          <w:rFonts w:ascii="宋体" w:hAnsi="宋体" w:cs="宋体" w:eastAsia="宋体" w:hint="default"/>
          <w:sz w:val="21"/>
          <w:szCs w:val="21"/>
        </w:rPr>
        <w:t>本企业最终控制方是龙昌明。 </w:t>
      </w:r>
      <w:bookmarkStart w:name="2、本企业的子公司情况" w:id="387"/>
      <w:bookmarkEnd w:id="387"/>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 </w:t>
      </w:r>
      <w:bookmarkStart w:name="3、本企业合营和联营企业情况" w:id="388"/>
      <w:bookmarkEnd w:id="388"/>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本企业重要的合营或联营企业详见附注。 </w:t>
      </w:r>
      <w:bookmarkStart w:name="4、其他关联方情况" w:id="389"/>
      <w:bookmarkEnd w:id="389"/>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tbl>
      <w:tblPr>
        <w:tblW w:w="0" w:type="auto"/>
        <w:jc w:val="left"/>
        <w:tblInd w:w="138" w:type="dxa"/>
        <w:tblLayout w:type="fixed"/>
        <w:tblCellMar>
          <w:top w:w="0" w:type="dxa"/>
          <w:left w:w="0" w:type="dxa"/>
          <w:bottom w:w="0" w:type="dxa"/>
          <w:right w:w="0" w:type="dxa"/>
        </w:tblCellMar>
        <w:tblLook w:val="01E0"/>
      </w:tblPr>
      <w:tblGrid>
        <w:gridCol w:w="4783"/>
        <w:gridCol w:w="4785"/>
      </w:tblGrid>
      <w:tr>
        <w:trPr>
          <w:trHeight w:val="419" w:hRule="exact"/>
        </w:trPr>
        <w:tc>
          <w:tcPr>
            <w:tcW w:w="4783"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5"/>
              <w:ind w:right="6"/>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5"/>
              <w:ind w:left="1395"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19" w:hRule="exact"/>
        </w:trPr>
        <w:tc>
          <w:tcPr>
            <w:tcW w:w="478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5"/>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47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left="20"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bl>
    <w:p>
      <w:pPr>
        <w:pStyle w:val="Heading4"/>
        <w:spacing w:line="240" w:lineRule="auto" w:before="46"/>
        <w:ind w:right="0"/>
        <w:jc w:val="left"/>
        <w:rPr>
          <w:b w:val="0"/>
          <w:bCs w:val="0"/>
        </w:rPr>
      </w:pPr>
      <w:bookmarkStart w:name="5、关联交易情况" w:id="390"/>
      <w:bookmarkEnd w:id="390"/>
      <w:r>
        <w:rPr>
          <w:b w:val="0"/>
          <w:bCs w:val="0"/>
        </w:rPr>
      </w:r>
      <w:r>
        <w:rPr>
          <w:rFonts w:ascii="宋体" w:hAnsi="宋体" w:cs="宋体" w:eastAsia="宋体" w:hint="default"/>
        </w:rPr>
        <w:t>5</w:t>
      </w:r>
      <w:r>
        <w:rPr/>
        <w:t>、关联交易情况</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0"/>
        <w:jc w:val="left"/>
        <w:rPr>
          <w:b w:val="0"/>
          <w:bCs w:val="0"/>
        </w:rPr>
      </w:pPr>
      <w:bookmarkStart w:name="（1）购销商品、提供和接受劳务的关联交易" w:id="391"/>
      <w:bookmarkEnd w:id="391"/>
      <w:r>
        <w:rPr>
          <w:b w:val="0"/>
          <w:bCs w:val="0"/>
        </w:rPr>
      </w:r>
      <w:r>
        <w:rPr/>
        <w:t>（</w:t>
      </w:r>
      <w:r>
        <w:rPr>
          <w:rFonts w:ascii="宋体" w:hAnsi="宋体" w:cs="宋体" w:eastAsia="宋体" w:hint="default"/>
        </w:rPr>
        <w:t>1</w:t>
      </w:r>
      <w:r>
        <w:rPr/>
        <w:t>）购销商品、提供和接受劳务的关联交易</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53" w:right="0"/>
        <w:jc w:val="left"/>
        <w:rPr>
          <w:b w:val="0"/>
          <w:bCs w:val="0"/>
        </w:rPr>
      </w:pPr>
      <w:bookmarkStart w:name="（2）关联受托管理/承包及委托管理/出包情况" w:id="392"/>
      <w:bookmarkEnd w:id="392"/>
      <w:r>
        <w:rPr>
          <w:b w:val="0"/>
          <w:bCs w:val="0"/>
        </w:rPr>
      </w: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关联租赁情况" w:id="393"/>
      <w:bookmarkEnd w:id="393"/>
      <w:r>
        <w:rPr>
          <w:b w:val="0"/>
          <w:bCs w:val="0"/>
        </w:rPr>
      </w:r>
      <w:r>
        <w:rPr/>
        <w:t>（</w:t>
      </w:r>
      <w:r>
        <w:rPr>
          <w:rFonts w:ascii="宋体" w:hAnsi="宋体" w:cs="宋体" w:eastAsia="宋体" w:hint="default"/>
        </w:rPr>
        <w:t>3</w:t>
      </w:r>
      <w:r>
        <w:rPr/>
        <w:t>）关联租赁情况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4）关联担保情况" w:id="394"/>
      <w:bookmarkEnd w:id="394"/>
      <w:r>
        <w:rPr>
          <w:b w:val="0"/>
          <w:bCs w:val="0"/>
        </w:rPr>
      </w:r>
      <w:r>
        <w:rPr/>
        <w:t>（</w:t>
      </w:r>
      <w:r>
        <w:rPr>
          <w:rFonts w:ascii="宋体" w:hAnsi="宋体" w:cs="宋体" w:eastAsia="宋体" w:hint="default"/>
        </w:rPr>
        <w:t>4</w:t>
      </w:r>
      <w:r>
        <w:rPr/>
        <w:t>）关联担保情况</w:t>
      </w:r>
      <w:r>
        <w:rPr>
          <w:b w:val="0"/>
          <w:bCs w:val="0"/>
        </w:rPr>
      </w:r>
    </w:p>
    <w:p>
      <w:pPr>
        <w:spacing w:line="240" w:lineRule="auto" w:before="10"/>
        <w:rPr>
          <w:rFonts w:ascii="宋体" w:hAnsi="宋体" w:cs="宋体" w:eastAsia="宋体" w:hint="default"/>
          <w:b/>
          <w:bCs/>
          <w:sz w:val="14"/>
          <w:szCs w:val="14"/>
        </w:rPr>
      </w:pPr>
    </w:p>
    <w:p>
      <w:pPr>
        <w:pStyle w:val="BodyText"/>
        <w:spacing w:line="340" w:lineRule="auto" w:before="0"/>
        <w:ind w:left="154" w:right="7882"/>
        <w:jc w:val="left"/>
      </w:pPr>
      <w:r>
        <w:rPr/>
        <w:t>□ 适用 √</w:t>
      </w:r>
      <w:r>
        <w:rPr>
          <w:spacing w:val="-1"/>
        </w:rPr>
        <w:t> </w:t>
      </w:r>
      <w:r>
        <w:rPr/>
        <w:t>不适用</w:t>
      </w:r>
      <w:r>
        <w:rPr/>
        <w:t> 本公司作为被担保方</w:t>
      </w:r>
    </w:p>
    <w:p>
      <w:pPr>
        <w:spacing w:before="5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2695"/>
        <w:gridCol w:w="1559"/>
        <w:gridCol w:w="1702"/>
        <w:gridCol w:w="1702"/>
        <w:gridCol w:w="1913"/>
      </w:tblGrid>
      <w:tr>
        <w:trPr>
          <w:trHeight w:val="407"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5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70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26" w:hRule="exact"/>
        </w:trPr>
        <w:tc>
          <w:tcPr>
            <w:tcW w:w="2695" w:type="dxa"/>
            <w:tcBorders>
              <w:top w:val="single" w:sz="6" w:space="0" w:color="000000"/>
              <w:left w:val="single" w:sz="12" w:space="0" w:color="000000"/>
              <w:bottom w:val="single" w:sz="6" w:space="0" w:color="000000"/>
              <w:right w:val="single" w:sz="8" w:space="0" w:color="FFFFFF"/>
            </w:tcBorders>
          </w:tcPr>
          <w:p>
            <w:pPr>
              <w:pStyle w:val="TableParagraph"/>
              <w:spacing w:line="316" w:lineRule="auto" w:before="58"/>
              <w:ind w:left="13" w:right="-44"/>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 龙昌明</w:t>
            </w:r>
          </w:p>
        </w:tc>
        <w:tc>
          <w:tcPr>
            <w:tcW w:w="1559" w:type="dxa"/>
            <w:tcBorders>
              <w:top w:val="single" w:sz="6" w:space="0" w:color="000000"/>
              <w:left w:val="single" w:sz="8" w:space="0" w:color="FFFFFF"/>
              <w:bottom w:val="single" w:sz="6" w:space="0" w:color="000000"/>
              <w:right w:val="single" w:sz="6" w:space="0" w:color="000000"/>
            </w:tcBorders>
          </w:tcPr>
          <w:p>
            <w:pPr>
              <w:pStyle w:val="TableParagraph"/>
              <w:spacing w:line="156" w:lineRule="exact"/>
              <w:ind w:left="-3"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77.25pt;height:7.8pt;mso-position-horizontal-relative:char;mso-position-vertical-relative:line" coordorigin="0,0" coordsize="1545,156">
                  <v:group style="position:absolute;left:0;top:0;width:1545;height:156" coordorigin="0,0" coordsize="1545,156">
                    <v:shape style="position:absolute;left:0;top:0;width:1545;height:156" coordorigin="0,0" coordsize="1545,156" path="m0,156l1545,156,1545,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58"/>
              <w:ind w:right="21"/>
              <w:jc w:val="right"/>
              <w:rPr>
                <w:rFonts w:ascii="宋体" w:hAnsi="宋体" w:cs="宋体" w:eastAsia="宋体" w:hint="default"/>
                <w:sz w:val="18"/>
                <w:szCs w:val="18"/>
              </w:rPr>
            </w:pPr>
            <w:r>
              <w:rPr>
                <w:rFonts w:ascii="宋体"/>
                <w:sz w:val="18"/>
              </w:rPr>
              <w:t>3,000,000.00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9" w:hRule="exact"/>
        </w:trPr>
        <w:tc>
          <w:tcPr>
            <w:tcW w:w="2695" w:type="dxa"/>
            <w:tcBorders>
              <w:top w:val="single" w:sz="6" w:space="0" w:color="000000"/>
              <w:left w:val="single" w:sz="12" w:space="0" w:color="000000"/>
              <w:bottom w:val="single" w:sz="6" w:space="0" w:color="000000"/>
              <w:right w:val="single" w:sz="8" w:space="0" w:color="FFFFFF"/>
            </w:tcBorders>
          </w:tcPr>
          <w:p>
            <w:pPr>
              <w:pStyle w:val="TableParagraph"/>
              <w:spacing w:line="319" w:lineRule="auto" w:before="51"/>
              <w:ind w:left="13" w:right="-44"/>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 龙昌明</w:t>
            </w:r>
          </w:p>
        </w:tc>
        <w:tc>
          <w:tcPr>
            <w:tcW w:w="1559" w:type="dxa"/>
            <w:tcBorders>
              <w:top w:val="single" w:sz="6" w:space="0" w:color="000000"/>
              <w:left w:val="single" w:sz="8" w:space="0" w:color="FFFFFF"/>
              <w:bottom w:val="single" w:sz="6" w:space="0" w:color="000000"/>
              <w:right w:val="single" w:sz="6" w:space="0" w:color="000000"/>
            </w:tcBorders>
          </w:tcPr>
          <w:p>
            <w:pPr>
              <w:pStyle w:val="TableParagraph"/>
              <w:spacing w:line="156" w:lineRule="exact"/>
              <w:ind w:left="-3"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77.25pt;height:7.8pt;mso-position-horizontal-relative:char;mso-position-vertical-relative:line" coordorigin="0,0" coordsize="1545,156">
                  <v:group style="position:absolute;left:0;top:0;width:1545;height:156" coordorigin="0,0" coordsize="1545,156">
                    <v:shape style="position:absolute;left:0;top:0;width:1545;height:156" coordorigin="0,0" coordsize="1545,156" path="m0,156l1545,156,1545,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51"/>
              <w:ind w:right="21"/>
              <w:jc w:val="right"/>
              <w:rPr>
                <w:rFonts w:ascii="宋体" w:hAnsi="宋体" w:cs="宋体" w:eastAsia="宋体" w:hint="default"/>
                <w:sz w:val="18"/>
                <w:szCs w:val="18"/>
              </w:rPr>
            </w:pPr>
            <w:r>
              <w:rPr>
                <w:rFonts w:ascii="宋体"/>
                <w:sz w:val="18"/>
              </w:rPr>
              <w:t>3,000,000.00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40,000,000.00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60,000,000.00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22,000,000.00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2695" w:type="dxa"/>
            <w:tcBorders>
              <w:top w:val="single" w:sz="6" w:space="0" w:color="000000"/>
              <w:left w:val="single" w:sz="12" w:space="0" w:color="000000"/>
              <w:bottom w:val="single" w:sz="6" w:space="0" w:color="000000"/>
              <w:right w:val="single" w:sz="8" w:space="0" w:color="FFFFFF"/>
            </w:tcBorders>
          </w:tcPr>
          <w:p>
            <w:pPr>
              <w:pStyle w:val="TableParagraph"/>
              <w:spacing w:line="316" w:lineRule="auto" w:before="51"/>
              <w:ind w:left="13" w:right="-44"/>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 龙昌明</w:t>
            </w:r>
          </w:p>
        </w:tc>
        <w:tc>
          <w:tcPr>
            <w:tcW w:w="1559" w:type="dxa"/>
            <w:tcBorders>
              <w:top w:val="single" w:sz="6" w:space="0" w:color="000000"/>
              <w:left w:val="single" w:sz="8" w:space="0" w:color="FFFFFF"/>
              <w:bottom w:val="single" w:sz="6" w:space="0" w:color="000000"/>
              <w:right w:val="single" w:sz="6" w:space="0" w:color="000000"/>
            </w:tcBorders>
          </w:tcPr>
          <w:p>
            <w:pPr>
              <w:pStyle w:val="TableParagraph"/>
              <w:spacing w:line="156" w:lineRule="exact"/>
              <w:ind w:left="-3"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77.25pt;height:7.8pt;mso-position-horizontal-relative:char;mso-position-vertical-relative:line" coordorigin="0,0" coordsize="1545,156">
                  <v:group style="position:absolute;left:0;top:0;width:1545;height:156" coordorigin="0,0" coordsize="1545,156">
                    <v:shape style="position:absolute;left:0;top:0;width:1545;height:156" coordorigin="0,0" coordsize="1545,156" path="m0,156l1545,156,1545,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51"/>
              <w:ind w:right="21"/>
              <w:jc w:val="right"/>
              <w:rPr>
                <w:rFonts w:ascii="宋体" w:hAnsi="宋体" w:cs="宋体" w:eastAsia="宋体" w:hint="default"/>
                <w:sz w:val="18"/>
                <w:szCs w:val="18"/>
              </w:rPr>
            </w:pPr>
            <w:r>
              <w:rPr>
                <w:rFonts w:ascii="宋体"/>
                <w:sz w:val="18"/>
              </w:rPr>
              <w:t>150,000,000.00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60,000,000.00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10,000,000.00</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4"/>
          <w:szCs w:val="14"/>
        </w:rPr>
      </w:pPr>
    </w:p>
    <w:p>
      <w:pPr>
        <w:pStyle w:val="Heading4"/>
        <w:spacing w:line="240" w:lineRule="auto" w:before="35"/>
        <w:ind w:right="0"/>
        <w:jc w:val="left"/>
        <w:rPr>
          <w:b w:val="0"/>
          <w:bCs w:val="0"/>
        </w:rPr>
      </w:pPr>
      <w:bookmarkStart w:name="（5）关联方资金拆借" w:id="395"/>
      <w:bookmarkEnd w:id="395"/>
      <w:r>
        <w:rPr>
          <w:b w:val="0"/>
          <w:bCs w:val="0"/>
        </w:rPr>
      </w:r>
      <w:r>
        <w:rPr/>
        <w:t>（</w:t>
      </w:r>
      <w:r>
        <w:rPr>
          <w:rFonts w:ascii="宋体" w:hAnsi="宋体" w:cs="宋体" w:eastAsia="宋体" w:hint="default"/>
        </w:rPr>
        <w:t>5</w:t>
      </w:r>
      <w:r>
        <w:rPr/>
        <w:t>）关联方资金拆借</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6）关联方资产转让、债务重组情况" w:id="396"/>
      <w:bookmarkEnd w:id="396"/>
      <w:r>
        <w:rPr>
          <w:b w:val="0"/>
          <w:bCs w:val="0"/>
        </w:rPr>
      </w:r>
      <w:r>
        <w:rPr/>
        <w:t>（</w:t>
      </w:r>
      <w:r>
        <w:rPr>
          <w:rFonts w:ascii="宋体" w:hAnsi="宋体" w:cs="宋体" w:eastAsia="宋体" w:hint="default"/>
        </w:rPr>
        <w:t>6</w:t>
      </w:r>
      <w:r>
        <w:rPr/>
        <w:t>）关联方资产转让、债务重组情况</w:t>
      </w:r>
      <w:r>
        <w:rPr>
          <w:b w:val="0"/>
          <w:bCs w:val="0"/>
        </w:rPr>
      </w:r>
    </w:p>
    <w:p>
      <w:pPr>
        <w:spacing w:line="240" w:lineRule="auto" w:before="7"/>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695"/>
        <w:gridCol w:w="3118"/>
        <w:gridCol w:w="1878"/>
        <w:gridCol w:w="1877"/>
      </w:tblGrid>
      <w:tr>
        <w:trPr>
          <w:trHeight w:val="413"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1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87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77"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6" w:hRule="exact"/>
        </w:trPr>
        <w:tc>
          <w:tcPr>
            <w:tcW w:w="26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3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转让南京宇能仪表有限公司股权与债权</w:t>
            </w:r>
          </w:p>
        </w:tc>
        <w:tc>
          <w:tcPr>
            <w:tcW w:w="18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673" w:right="0"/>
              <w:jc w:val="left"/>
              <w:rPr>
                <w:rFonts w:ascii="宋体" w:hAnsi="宋体" w:cs="宋体" w:eastAsia="宋体" w:hint="default"/>
                <w:sz w:val="18"/>
                <w:szCs w:val="18"/>
              </w:rPr>
            </w:pPr>
            <w:r>
              <w:rPr>
                <w:rFonts w:ascii="宋体"/>
                <w:sz w:val="18"/>
              </w:rPr>
              <w:t>90,000,000.00</w:t>
            </w:r>
          </w:p>
        </w:tc>
        <w:tc>
          <w:tcPr>
            <w:tcW w:w="1877"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7"/>
        <w:rPr>
          <w:rFonts w:ascii="宋体" w:hAnsi="宋体" w:cs="宋体" w:eastAsia="宋体" w:hint="default"/>
          <w:sz w:val="25"/>
          <w:szCs w:val="25"/>
        </w:rPr>
      </w:pPr>
    </w:p>
    <w:p>
      <w:pPr>
        <w:pStyle w:val="Heading4"/>
        <w:spacing w:line="240" w:lineRule="auto" w:before="35"/>
        <w:ind w:left="153" w:right="0"/>
        <w:jc w:val="left"/>
        <w:rPr>
          <w:b w:val="0"/>
          <w:bCs w:val="0"/>
        </w:rPr>
      </w:pPr>
      <w:bookmarkStart w:name="（7）关键管理人员报酬" w:id="397"/>
      <w:bookmarkEnd w:id="397"/>
      <w:r>
        <w:rPr>
          <w:b w:val="0"/>
          <w:bCs w:val="0"/>
        </w:rPr>
      </w:r>
      <w:r>
        <w:rPr/>
        <w:t>（</w:t>
      </w:r>
      <w:r>
        <w:rPr>
          <w:rFonts w:ascii="宋体" w:hAnsi="宋体" w:cs="宋体" w:eastAsia="宋体" w:hint="default"/>
        </w:rPr>
        <w:t>7</w:t>
      </w:r>
      <w:r>
        <w:rPr/>
        <w:t>）关键管理人员报酬</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9"/>
        <w:gridCol w:w="3190"/>
        <w:gridCol w:w="3191"/>
      </w:tblGrid>
      <w:tr>
        <w:trPr>
          <w:trHeight w:val="415" w:hRule="exact"/>
        </w:trPr>
        <w:tc>
          <w:tcPr>
            <w:tcW w:w="318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18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075" w:right="0"/>
              <w:jc w:val="left"/>
              <w:rPr>
                <w:rFonts w:ascii="宋体" w:hAnsi="宋体" w:cs="宋体" w:eastAsia="宋体" w:hint="default"/>
                <w:sz w:val="18"/>
                <w:szCs w:val="18"/>
              </w:rPr>
            </w:pPr>
            <w:r>
              <w:rPr>
                <w:rFonts w:ascii="宋体"/>
                <w:sz w:val="18"/>
              </w:rPr>
              <w:t>2,694,167.02</w:t>
            </w:r>
          </w:p>
        </w:tc>
        <w:tc>
          <w:tcPr>
            <w:tcW w:w="31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076" w:right="0"/>
              <w:jc w:val="left"/>
              <w:rPr>
                <w:rFonts w:ascii="宋体" w:hAnsi="宋体" w:cs="宋体" w:eastAsia="宋体" w:hint="default"/>
                <w:sz w:val="18"/>
                <w:szCs w:val="18"/>
              </w:rPr>
            </w:pPr>
            <w:r>
              <w:rPr>
                <w:rFonts w:ascii="宋体"/>
                <w:sz w:val="18"/>
              </w:rPr>
              <w:t>3,214,967.24</w:t>
            </w:r>
          </w:p>
        </w:tc>
      </w:tr>
    </w:tbl>
    <w:p>
      <w:pPr>
        <w:pStyle w:val="Heading4"/>
        <w:spacing w:line="240" w:lineRule="auto" w:before="63"/>
        <w:ind w:right="0"/>
        <w:jc w:val="left"/>
        <w:rPr>
          <w:b w:val="0"/>
          <w:bCs w:val="0"/>
        </w:rPr>
      </w:pPr>
      <w:bookmarkStart w:name="（8）其他关联交易" w:id="398"/>
      <w:bookmarkEnd w:id="398"/>
      <w:r>
        <w:rPr>
          <w:b w:val="0"/>
          <w:bCs w:val="0"/>
        </w:rPr>
      </w:r>
      <w:r>
        <w:rPr/>
        <w:t>（</w:t>
      </w:r>
      <w:r>
        <w:rPr>
          <w:rFonts w:ascii="宋体" w:hAnsi="宋体" w:cs="宋体" w:eastAsia="宋体" w:hint="default"/>
        </w:rPr>
        <w:t>8</w:t>
      </w:r>
      <w:r>
        <w:rPr/>
        <w:t>）其他关联交易</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55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6、关联方应收应付款项" w:id="399"/>
      <w:bookmarkEnd w:id="399"/>
      <w:r>
        <w:rPr>
          <w:rFonts w:ascii="宋体" w:hAnsi="宋体" w:cs="宋体" w:eastAsia="宋体" w:hint="default"/>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pStyle w:val="Heading4"/>
        <w:spacing w:line="240" w:lineRule="auto" w:before="46"/>
        <w:ind w:right="0"/>
        <w:jc w:val="left"/>
        <w:rPr>
          <w:b w:val="0"/>
          <w:bCs w:val="0"/>
        </w:rPr>
      </w:pPr>
      <w:bookmarkStart w:name="（1）应收项目" w:id="400"/>
      <w:bookmarkEnd w:id="400"/>
      <w:r>
        <w:rPr>
          <w:b w:val="0"/>
          <w:bCs w:val="0"/>
        </w:rPr>
      </w:r>
      <w:r>
        <w:rPr/>
        <w:t>（</w:t>
      </w:r>
      <w:r>
        <w:rPr>
          <w:rFonts w:ascii="宋体" w:hAnsi="宋体" w:cs="宋体" w:eastAsia="宋体" w:hint="default"/>
        </w:rPr>
        <w:t>1</w:t>
      </w:r>
      <w:r>
        <w:rPr/>
        <w:t>）应收项目</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135"/>
        <w:gridCol w:w="2694"/>
        <w:gridCol w:w="1434"/>
        <w:gridCol w:w="1435"/>
        <w:gridCol w:w="1434"/>
        <w:gridCol w:w="1428"/>
      </w:tblGrid>
      <w:tr>
        <w:trPr>
          <w:trHeight w:val="415" w:hRule="exact"/>
        </w:trPr>
        <w:tc>
          <w:tcPr>
            <w:tcW w:w="1135"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94" w:type="dxa"/>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69" w:type="dxa"/>
            <w:gridSpan w:val="2"/>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62" w:type="dxa"/>
            <w:gridSpan w:val="2"/>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135" w:type="dxa"/>
            <w:vMerge/>
            <w:tcBorders>
              <w:left w:val="single" w:sz="12" w:space="0" w:color="000000"/>
              <w:bottom w:val="single" w:sz="6" w:space="0" w:color="000000"/>
              <w:right w:val="single" w:sz="6" w:space="0" w:color="000000"/>
            </w:tcBorders>
            <w:shd w:val="clear" w:color="auto" w:fill="D2D2D2"/>
          </w:tcPr>
          <w:p>
            <w:pPr/>
          </w:p>
        </w:tc>
        <w:tc>
          <w:tcPr>
            <w:tcW w:w="2694" w:type="dxa"/>
            <w:vMerge/>
            <w:tcBorders>
              <w:left w:val="single" w:sz="6" w:space="0" w:color="000000"/>
              <w:bottom w:val="single" w:sz="6" w:space="0" w:color="000000"/>
              <w:right w:val="single" w:sz="6" w:space="0" w:color="000000"/>
            </w:tcBorders>
            <w:shd w:val="clear" w:color="auto" w:fill="D2D2D2"/>
          </w:tcPr>
          <w:p>
            <w:pPr/>
          </w:p>
        </w:tc>
        <w:tc>
          <w:tcPr>
            <w:tcW w:w="14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5" w:hRule="exact"/>
        </w:trPr>
        <w:tc>
          <w:tcPr>
            <w:tcW w:w="11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227" w:right="0"/>
              <w:jc w:val="left"/>
              <w:rPr>
                <w:rFonts w:ascii="宋体" w:hAnsi="宋体" w:cs="宋体" w:eastAsia="宋体" w:hint="default"/>
                <w:sz w:val="18"/>
                <w:szCs w:val="18"/>
              </w:rPr>
            </w:pPr>
            <w:r>
              <w:rPr>
                <w:rFonts w:ascii="宋体"/>
                <w:sz w:val="18"/>
              </w:rPr>
              <w:t>78,750,000.00</w:t>
            </w:r>
          </w:p>
        </w:tc>
        <w:tc>
          <w:tcPr>
            <w:tcW w:w="1435" w:type="dxa"/>
            <w:tcBorders>
              <w:top w:val="single" w:sz="6" w:space="0" w:color="000000"/>
              <w:left w:val="single" w:sz="6" w:space="0" w:color="000000"/>
              <w:bottom w:val="single" w:sz="12" w:space="0" w:color="000000"/>
              <w:right w:val="single" w:sz="6" w:space="0" w:color="000000"/>
            </w:tcBorders>
          </w:tcPr>
          <w:p>
            <w:pPr/>
          </w:p>
        </w:tc>
        <w:tc>
          <w:tcPr>
            <w:tcW w:w="1434" w:type="dxa"/>
            <w:tcBorders>
              <w:top w:val="single" w:sz="6" w:space="0" w:color="000000"/>
              <w:left w:val="single" w:sz="6" w:space="0" w:color="000000"/>
              <w:bottom w:val="single" w:sz="12" w:space="0" w:color="000000"/>
              <w:right w:val="single" w:sz="6" w:space="0" w:color="000000"/>
            </w:tcBorders>
          </w:tcPr>
          <w:p>
            <w:pPr/>
          </w:p>
        </w:tc>
        <w:tc>
          <w:tcPr>
            <w:tcW w:w="1428" w:type="dxa"/>
            <w:tcBorders>
              <w:top w:val="single" w:sz="6" w:space="0" w:color="000000"/>
              <w:left w:val="single" w:sz="6" w:space="0" w:color="000000"/>
              <w:bottom w:val="single" w:sz="12" w:space="0" w:color="000000"/>
              <w:right w:val="single" w:sz="12" w:space="0" w:color="000000"/>
            </w:tcBorders>
          </w:tcPr>
          <w:p>
            <w:pPr/>
          </w:p>
        </w:tc>
      </w:tr>
    </w:tbl>
    <w:p>
      <w:pPr>
        <w:pStyle w:val="Heading4"/>
        <w:spacing w:line="240" w:lineRule="auto" w:before="63"/>
        <w:ind w:right="0"/>
        <w:jc w:val="left"/>
        <w:rPr>
          <w:b w:val="0"/>
          <w:bCs w:val="0"/>
        </w:rPr>
      </w:pPr>
      <w:bookmarkStart w:name="（2）应付项目" w:id="401"/>
      <w:bookmarkEnd w:id="401"/>
      <w:r>
        <w:rPr>
          <w:b w:val="0"/>
          <w:bCs w:val="0"/>
        </w:rPr>
      </w:r>
      <w:r>
        <w:rPr/>
        <w:t>（</w:t>
      </w:r>
      <w:r>
        <w:rPr>
          <w:rFonts w:ascii="宋体" w:hAnsi="宋体" w:cs="宋体" w:eastAsia="宋体" w:hint="default"/>
        </w:rPr>
        <w:t>2</w:t>
      </w:r>
      <w:r>
        <w:rPr/>
        <w:t>）应付项目</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关联方承诺" w:id="402"/>
      <w:bookmarkEnd w:id="402"/>
      <w:r>
        <w:rPr>
          <w:rFonts w:ascii="宋体" w:hAnsi="宋体" w:cs="宋体" w:eastAsia="宋体" w:hint="default"/>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408" w:lineRule="auto" w:before="46"/>
        <w:ind w:left="15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8、其他" w:id="403"/>
      <w:bookmarkEnd w:id="403"/>
      <w:r>
        <w:rPr>
          <w:rFonts w:ascii="宋体" w:hAnsi="宋体" w:cs="宋体" w:eastAsia="宋体" w:hint="default"/>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381" w:lineRule="auto" w:before="46"/>
        <w:ind w:left="153" w:right="777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十三、股份支付" w:id="404"/>
      <w:bookmarkEnd w:id="404"/>
      <w:r>
        <w:rPr>
          <w:rFonts w:ascii="宋体" w:hAnsi="宋体" w:cs="宋体" w:eastAsia="宋体" w:hint="default"/>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05"/>
      <w:bookmarkEnd w:id="405"/>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408" w:lineRule="auto" w:before="69"/>
        <w:ind w:left="154" w:right="692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以权益结算的股份支付情况" w:id="406"/>
      <w:bookmarkEnd w:id="406"/>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408" w:lineRule="auto" w:before="46"/>
        <w:ind w:left="154" w:right="692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以现金结算的股份支付情况" w:id="407"/>
      <w:bookmarkEnd w:id="407"/>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408" w:lineRule="auto" w:before="46"/>
        <w:ind w:left="154" w:right="692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股份支付的修改、终止情况" w:id="408"/>
      <w:bookmarkEnd w:id="408"/>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408" w:lineRule="auto" w:before="46"/>
        <w:ind w:left="154" w:right="766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其他" w:id="409"/>
      <w:bookmarkEnd w:id="409"/>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410"/>
      <w:bookmarkEnd w:id="410"/>
      <w:r>
        <w:rPr>
          <w:rFonts w:ascii="宋体" w:hAnsi="宋体" w:cs="宋体" w:eastAsia="宋体" w:hint="default"/>
          <w:b/>
          <w:bCs/>
          <w:sz w:val="21"/>
          <w:szCs w:val="21"/>
        </w:rPr>
        <w:t>十</w:t>
      </w:r>
      <w:r>
        <w:rPr>
          <w:rFonts w:ascii="宋体" w:hAnsi="宋体" w:cs="宋体" w:eastAsia="宋体" w:hint="default"/>
          <w:b/>
          <w:bCs/>
          <w:sz w:val="21"/>
          <w:szCs w:val="21"/>
        </w:rPr>
        <w:t>四、承诺及或有事项</w:t>
      </w:r>
      <w:r>
        <w:rPr>
          <w:rFonts w:ascii="宋体" w:hAnsi="宋体" w:cs="宋体" w:eastAsia="宋体" w:hint="default"/>
          <w:sz w:val="21"/>
          <w:szCs w:val="21"/>
        </w:rPr>
      </w:r>
    </w:p>
    <w:p>
      <w:pPr>
        <w:pStyle w:val="BodyText"/>
        <w:spacing w:line="240" w:lineRule="auto"/>
        <w:ind w:right="0"/>
        <w:jc w:val="left"/>
      </w:pPr>
      <w:r>
        <w:rPr/>
        <w:t>□ 适用 √</w:t>
      </w:r>
      <w:r>
        <w:rPr>
          <w:spacing w:val="-2"/>
        </w:rPr>
        <w:t> </w:t>
      </w:r>
      <w:r>
        <w:rPr/>
        <w:t>不适用</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408" w:lineRule="auto"/>
        <w:ind w:left="153" w:right="7283"/>
        <w:jc w:val="left"/>
        <w:rPr>
          <w:b w:val="0"/>
          <w:bCs w:val="0"/>
        </w:rPr>
      </w:pPr>
      <w:bookmarkStart w:name="十五、资产负债表日后事项" w:id="411"/>
      <w:bookmarkEnd w:id="411"/>
      <w:r>
        <w:rPr>
          <w:b w:val="0"/>
          <w:bCs w:val="0"/>
        </w:rPr>
      </w:r>
      <w:r>
        <w:rPr/>
        <w:t>十五、资产负债表日后事项</w:t>
      </w:r>
      <w:r>
        <w:rPr>
          <w:w w:val="99"/>
        </w:rPr>
        <w:t> </w:t>
      </w:r>
      <w:bookmarkStart w:name="1、重要的非调整事项" w:id="412"/>
      <w:bookmarkEnd w:id="412"/>
      <w:r>
        <w:rPr>
          <w:w w:val="99"/>
        </w:rPr>
      </w:r>
      <w:r>
        <w:rPr>
          <w:rFonts w:ascii="宋体" w:hAnsi="宋体" w:cs="宋体" w:eastAsia="宋体" w:hint="default"/>
        </w:rPr>
        <w:t>1</w:t>
      </w:r>
      <w:r>
        <w:rPr/>
        <w:t>、重要的非调整事项</w:t>
      </w:r>
      <w:r>
        <w:rPr>
          <w:b w:val="0"/>
          <w:bCs w:val="0"/>
        </w:rPr>
      </w:r>
    </w:p>
    <w:p>
      <w:pPr>
        <w:spacing w:line="408" w:lineRule="auto" w:before="46"/>
        <w:ind w:left="154" w:right="802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利润分配情况" w:id="413"/>
      <w:bookmarkEnd w:id="413"/>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before="3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985"/>
        <w:gridCol w:w="4584"/>
      </w:tblGrid>
      <w:tr>
        <w:trPr>
          <w:trHeight w:val="398" w:hRule="exact"/>
        </w:trPr>
        <w:tc>
          <w:tcPr>
            <w:tcW w:w="4985" w:type="dxa"/>
            <w:tcBorders>
              <w:top w:val="single" w:sz="12" w:space="0" w:color="000000"/>
              <w:left w:val="single" w:sz="12" w:space="0" w:color="000000"/>
              <w:bottom w:val="single" w:sz="23" w:space="0" w:color="FFFFFF"/>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4" w:type="dxa"/>
            <w:tcBorders>
              <w:top w:val="single" w:sz="12" w:space="0" w:color="000000"/>
              <w:left w:val="single" w:sz="6" w:space="0" w:color="000000"/>
              <w:bottom w:val="single" w:sz="23" w:space="0" w:color="FFFFFF"/>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6,448,873.92</w:t>
            </w:r>
          </w:p>
        </w:tc>
      </w:tr>
      <w:tr>
        <w:trPr>
          <w:trHeight w:val="441" w:hRule="exact"/>
        </w:trPr>
        <w:tc>
          <w:tcPr>
            <w:tcW w:w="4985" w:type="dxa"/>
            <w:tcBorders>
              <w:top w:val="single" w:sz="23" w:space="0" w:color="FFFFFF"/>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4" w:type="dxa"/>
            <w:tcBorders>
              <w:top w:val="single" w:sz="23" w:space="0" w:color="FFFFFF"/>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6,448,873.92</w:t>
            </w:r>
          </w:p>
        </w:tc>
      </w:tr>
    </w:tbl>
    <w:p>
      <w:pPr>
        <w:pStyle w:val="Heading4"/>
        <w:spacing w:line="240" w:lineRule="auto" w:before="63"/>
        <w:ind w:right="0"/>
        <w:jc w:val="both"/>
        <w:rPr>
          <w:b w:val="0"/>
          <w:bCs w:val="0"/>
        </w:rPr>
      </w:pPr>
      <w:bookmarkStart w:name="3、销售退回" w:id="414"/>
      <w:bookmarkEnd w:id="414"/>
      <w:r>
        <w:rPr>
          <w:b w:val="0"/>
          <w:bCs w:val="0"/>
        </w:rPr>
      </w:r>
      <w:r>
        <w:rPr>
          <w:rFonts w:ascii="宋体" w:hAnsi="宋体" w:cs="宋体" w:eastAsia="宋体" w:hint="default"/>
        </w:rPr>
        <w:t>3</w:t>
      </w:r>
      <w:r>
        <w:rPr/>
        <w:t>、销售退回</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675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其他资产负债表日后事项说明" w:id="415"/>
      <w:bookmarkEnd w:id="415"/>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pStyle w:val="BodyText"/>
        <w:spacing w:line="240" w:lineRule="auto"/>
        <w:ind w:left="154" w:right="0"/>
        <w:jc w:val="both"/>
      </w:pPr>
      <w:r>
        <w:rPr/>
        <w:t>（</w:t>
      </w:r>
      <w:r>
        <w:rPr>
          <w:rFonts w:ascii="宋体" w:hAnsi="宋体" w:cs="宋体" w:eastAsia="宋体" w:hint="default"/>
        </w:rPr>
        <w:t>1</w:t>
      </w:r>
      <w:r>
        <w:rPr/>
        <w:t>）截至本财务报表签发日，本公司新增短期借款</w:t>
      </w:r>
      <w:r>
        <w:rPr>
          <w:spacing w:val="-33"/>
        </w:rPr>
        <w:t> </w:t>
      </w:r>
      <w:r>
        <w:rPr>
          <w:rFonts w:ascii="宋体" w:hAnsi="宋体" w:cs="宋体" w:eastAsia="宋体" w:hint="default"/>
        </w:rPr>
        <w:t>5900</w:t>
      </w:r>
      <w:r>
        <w:rPr>
          <w:rFonts w:ascii="宋体" w:hAnsi="宋体" w:cs="宋体" w:eastAsia="宋体" w:hint="default"/>
          <w:spacing w:val="-34"/>
        </w:rPr>
        <w:t> </w:t>
      </w:r>
      <w:r>
        <w:rPr/>
        <w:t>万元，归还短期借款</w:t>
      </w:r>
      <w:r>
        <w:rPr>
          <w:spacing w:val="-34"/>
        </w:rPr>
        <w:t> </w:t>
      </w:r>
      <w:r>
        <w:rPr>
          <w:rFonts w:ascii="宋体" w:hAnsi="宋体" w:cs="宋体" w:eastAsia="宋体" w:hint="default"/>
        </w:rPr>
        <w:t>2200</w:t>
      </w:r>
      <w:r>
        <w:rPr>
          <w:rFonts w:ascii="宋体" w:hAnsi="宋体" w:cs="宋体" w:eastAsia="宋体" w:hint="default"/>
          <w:spacing w:val="-35"/>
        </w:rPr>
        <w:t> </w:t>
      </w:r>
      <w:r>
        <w:rPr/>
        <w:t>万元，新增长期借款</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rFonts w:ascii="宋体" w:hAnsi="宋体" w:cs="宋体" w:eastAsia="宋体" w:hint="default"/>
        </w:rPr>
        <w:t>4981.35</w:t>
      </w:r>
      <w:r>
        <w:rPr>
          <w:rFonts w:ascii="宋体" w:hAnsi="宋体" w:cs="宋体" w:eastAsia="宋体" w:hint="default"/>
          <w:spacing w:val="-53"/>
        </w:rPr>
        <w:t> </w:t>
      </w:r>
      <w:r>
        <w:rPr/>
        <w:t>万元；子公司湖北索瑞电气有限公司归还短期借款</w:t>
      </w:r>
      <w:r>
        <w:rPr>
          <w:spacing w:val="-53"/>
        </w:rPr>
        <w:t> </w:t>
      </w:r>
      <w:r>
        <w:rPr>
          <w:rFonts w:ascii="宋体" w:hAnsi="宋体" w:cs="宋体" w:eastAsia="宋体" w:hint="default"/>
        </w:rPr>
        <w:t>1500</w:t>
      </w:r>
      <w:r>
        <w:rPr>
          <w:rFonts w:ascii="宋体" w:hAnsi="宋体" w:cs="宋体" w:eastAsia="宋体" w:hint="default"/>
          <w:spacing w:val="-54"/>
        </w:rPr>
        <w:t> </w:t>
      </w:r>
      <w:r>
        <w:rPr/>
        <w:t>万元。</w:t>
      </w:r>
    </w:p>
    <w:p>
      <w:pPr>
        <w:spacing w:line="240" w:lineRule="auto" w:before="10"/>
        <w:rPr>
          <w:rFonts w:ascii="宋体" w:hAnsi="宋体" w:cs="宋体" w:eastAsia="宋体" w:hint="default"/>
          <w:sz w:val="14"/>
          <w:szCs w:val="14"/>
        </w:rPr>
      </w:pPr>
    </w:p>
    <w:p>
      <w:pPr>
        <w:pStyle w:val="BodyText"/>
        <w:spacing w:line="408" w:lineRule="auto" w:before="0"/>
        <w:ind w:right="110"/>
        <w:jc w:val="left"/>
      </w:pPr>
      <w:r>
        <w:rPr/>
        <w:t>（</w:t>
      </w: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01</w:t>
      </w:r>
      <w:r>
        <w:rPr>
          <w:rFonts w:ascii="宋体" w:hAnsi="宋体" w:cs="宋体" w:eastAsia="宋体" w:hint="default"/>
          <w:spacing w:val="-53"/>
        </w:rPr>
        <w:t> </w:t>
      </w:r>
      <w:r>
        <w:rPr/>
        <w:t>月</w:t>
      </w:r>
      <w:r>
        <w:rPr>
          <w:spacing w:val="-54"/>
        </w:rPr>
        <w:t> </w:t>
      </w:r>
      <w:r>
        <w:rPr>
          <w:rFonts w:ascii="宋体" w:hAnsi="宋体" w:cs="宋体" w:eastAsia="宋体" w:hint="default"/>
        </w:rPr>
        <w:t>14</w:t>
      </w:r>
      <w:r>
        <w:rPr>
          <w:rFonts w:ascii="宋体" w:hAnsi="宋体" w:cs="宋体" w:eastAsia="宋体" w:hint="default"/>
          <w:spacing w:val="-54"/>
        </w:rPr>
        <w:t> </w:t>
      </w:r>
      <w:r>
        <w:rPr/>
        <w:t>日，公司投资设立江苏光一贵仁股权投资基金管理有限公司，注册资本</w:t>
      </w:r>
      <w:r>
        <w:rPr>
          <w:spacing w:val="-53"/>
        </w:rPr>
        <w:t> </w:t>
      </w:r>
      <w:r>
        <w:rPr>
          <w:rFonts w:ascii="宋体" w:hAnsi="宋体" w:cs="宋体" w:eastAsia="宋体" w:hint="default"/>
        </w:rPr>
        <w:t>1000</w:t>
      </w:r>
      <w:r>
        <w:rPr>
          <w:rFonts w:ascii="宋体" w:hAnsi="宋体" w:cs="宋体" w:eastAsia="宋体" w:hint="default"/>
          <w:spacing w:val="-54"/>
        </w:rPr>
        <w:t> </w:t>
      </w:r>
      <w:r>
        <w:rPr/>
        <w:t>万元。 经营范围：受托管理私募股权投资基金，投资管理及相关咨询服务。</w:t>
      </w:r>
    </w:p>
    <w:p>
      <w:pPr>
        <w:pStyle w:val="BodyText"/>
        <w:spacing w:line="408" w:lineRule="auto"/>
        <w:ind w:right="190"/>
        <w:jc w:val="both"/>
        <w:rPr>
          <w:rFonts w:ascii="宋体" w:hAnsi="宋体" w:cs="宋体" w:eastAsia="宋体" w:hint="default"/>
        </w:rPr>
      </w:pPr>
      <w:r>
        <w:rPr/>
        <w:t>（</w:t>
      </w: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2</w:t>
      </w:r>
      <w:r>
        <w:rPr>
          <w:rFonts w:ascii="宋体" w:hAnsi="宋体" w:cs="宋体" w:eastAsia="宋体" w:hint="default"/>
          <w:spacing w:val="-56"/>
        </w:rPr>
        <w:t> </w:t>
      </w:r>
      <w:r>
        <w:rPr/>
        <w:t>月</w:t>
      </w:r>
      <w:r>
        <w:rPr>
          <w:spacing w:val="-58"/>
        </w:rPr>
        <w:t> </w:t>
      </w:r>
      <w:r>
        <w:rPr>
          <w:rFonts w:ascii="宋体" w:hAnsi="宋体" w:cs="宋体" w:eastAsia="宋体" w:hint="default"/>
        </w:rPr>
        <w:t>16</w:t>
      </w:r>
      <w:r>
        <w:rPr>
          <w:rFonts w:ascii="宋体" w:hAnsi="宋体" w:cs="宋体" w:eastAsia="宋体" w:hint="default"/>
          <w:spacing w:val="-56"/>
        </w:rPr>
        <w:t> </w:t>
      </w:r>
      <w:r>
        <w:rPr/>
        <w:t>日，公司参与设立中云文化大数据科技有限公司，公司持股</w:t>
      </w:r>
      <w:r>
        <w:rPr>
          <w:spacing w:val="-56"/>
        </w:rPr>
        <w:t> </w:t>
      </w:r>
      <w:r>
        <w:rPr>
          <w:rFonts w:ascii="宋体" w:hAnsi="宋体" w:cs="宋体" w:eastAsia="宋体" w:hint="default"/>
        </w:rPr>
        <w:t>40%</w:t>
      </w:r>
      <w:r>
        <w:rPr/>
        <w:t>。注册资本</w:t>
      </w:r>
      <w:r>
        <w:rPr>
          <w:spacing w:val="-57"/>
        </w:rPr>
        <w:t> </w:t>
      </w:r>
      <w:r>
        <w:rPr>
          <w:rFonts w:ascii="宋体" w:hAnsi="宋体" w:cs="宋体" w:eastAsia="宋体" w:hint="default"/>
        </w:rPr>
        <w:t>10000</w:t>
      </w:r>
      <w:r>
        <w:rPr>
          <w:rFonts w:ascii="宋体" w:hAnsi="宋体" w:cs="宋体" w:eastAsia="宋体" w:hint="default"/>
          <w:spacing w:val="-56"/>
        </w:rPr>
        <w:t> </w:t>
      </w:r>
      <w:r>
        <w:rPr/>
        <w:t>万 </w:t>
      </w:r>
      <w:r>
        <w:rPr>
          <w:spacing w:val="-1"/>
        </w:rPr>
        <w:t>元人民币，经营范围：法律、法规、国务院决定规定禁止的不得经营；法律、法规、国务院决定规定应当</w:t>
      </w:r>
      <w:r>
        <w:rPr>
          <w:spacing w:val="-85"/>
        </w:rPr>
        <w:t> </w:t>
      </w:r>
      <w:r>
        <w:rPr>
          <w:spacing w:val="-85"/>
        </w:rPr>
      </w:r>
      <w:r>
        <w:rPr>
          <w:spacing w:val="-6"/>
        </w:rPr>
        <w:t>许可（审批）的，经审批机关批准后凭许可（审批）文件经营；法律、法规、国务院决定规定无需许可（审</w:t>
      </w:r>
      <w:r>
        <w:rPr>
          <w:spacing w:val="-64"/>
        </w:rPr>
        <w:t> </w:t>
      </w:r>
      <w:r>
        <w:rPr>
          <w:spacing w:val="-64"/>
        </w:rPr>
      </w:r>
      <w:r>
        <w:rPr/>
        <w:t>批）的，市场主体自主选择经营。</w:t>
      </w:r>
      <w:r>
        <w:rPr>
          <w:rFonts w:ascii="宋体" w:hAnsi="宋体" w:cs="宋体" w:eastAsia="宋体" w:hint="default"/>
        </w:rPr>
        <w:t>(</w:t>
      </w:r>
      <w:r>
        <w:rPr/>
        <w:t>建设国家级版权数据备案库、文化素材库及监管、版权交易等数据的</w:t>
      </w:r>
      <w:r>
        <w:rPr>
          <w:spacing w:val="-31"/>
        </w:rPr>
        <w:t> </w:t>
      </w:r>
      <w:r>
        <w:rPr>
          <w:spacing w:val="-31"/>
        </w:rPr>
      </w:r>
      <w:r>
        <w:rPr>
          <w:spacing w:val="-1"/>
        </w:rPr>
        <w:t>存储运营和服务；信息科技领域内的技术开发、技术转让、技术咨询和技术服务；信息科技领域内的信息</w:t>
      </w:r>
      <w:r>
        <w:rPr>
          <w:spacing w:val="-86"/>
        </w:rPr>
        <w:t> </w:t>
      </w:r>
      <w:r>
        <w:rPr>
          <w:spacing w:val="-86"/>
        </w:rPr>
      </w:r>
      <w:r>
        <w:rPr/>
        <w:t>传输、信息分析、信息处理及信息应用；计算机系统安装、调试、维护。</w:t>
      </w:r>
      <w:r>
        <w:rPr>
          <w:rFonts w:ascii="宋体" w:hAnsi="宋体" w:cs="宋体" w:eastAsia="宋体" w:hint="default"/>
        </w:rPr>
        <w:t>)</w:t>
      </w:r>
    </w:p>
    <w:p>
      <w:pPr>
        <w:pStyle w:val="Heading2"/>
        <w:spacing w:line="240" w:lineRule="auto" w:before="23"/>
        <w:ind w:right="0"/>
        <w:jc w:val="both"/>
        <w:rPr>
          <w:b w:val="0"/>
          <w:bCs w:val="0"/>
        </w:rPr>
      </w:pPr>
      <w:bookmarkStart w:name="十六、其他重要事项" w:id="416"/>
      <w:bookmarkEnd w:id="416"/>
      <w:r>
        <w:rPr>
          <w:b w:val="0"/>
          <w:bCs w:val="0"/>
        </w:rPr>
      </w:r>
      <w:r>
        <w:rPr/>
        <w:t>十六、其他重要事项</w:t>
      </w:r>
      <w:r>
        <w:rPr>
          <w:b w:val="0"/>
          <w:bCs w:val="0"/>
        </w:rPr>
      </w:r>
    </w:p>
    <w:p>
      <w:pPr>
        <w:pStyle w:val="Heading4"/>
        <w:spacing w:line="240" w:lineRule="auto" w:before="177"/>
        <w:ind w:left="153" w:right="0"/>
        <w:jc w:val="both"/>
        <w:rPr>
          <w:b w:val="0"/>
          <w:bCs w:val="0"/>
        </w:rPr>
      </w:pPr>
      <w:bookmarkStart w:name="1、前期会计差错更正" w:id="417"/>
      <w:bookmarkEnd w:id="417"/>
      <w:r>
        <w:rPr>
          <w:b w:val="0"/>
          <w:bCs w:val="0"/>
        </w:rPr>
      </w:r>
      <w:r>
        <w:rPr>
          <w:rFonts w:ascii="宋体" w:hAnsi="宋体" w:cs="宋体" w:eastAsia="宋体" w:hint="default"/>
        </w:rPr>
        <w:t>1</w:t>
      </w:r>
      <w:r>
        <w:rPr/>
        <w:t>、前期会计差错更正</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802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债务重组" w:id="418"/>
      <w:bookmarkEnd w:id="418"/>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408" w:lineRule="auto" w:before="46"/>
        <w:ind w:left="154" w:right="802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资产置换" w:id="419"/>
      <w:bookmarkEnd w:id="419"/>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408" w:lineRule="auto" w:before="46"/>
        <w:ind w:left="154" w:right="802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年金计划" w:id="420"/>
      <w:bookmarkEnd w:id="420"/>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pStyle w:val="BodyText"/>
        <w:spacing w:line="240" w:lineRule="auto"/>
        <w:ind w:left="154" w:right="0"/>
        <w:jc w:val="both"/>
      </w:pPr>
      <w:r>
        <w:rPr/>
        <w:t>□ 适用 √</w:t>
      </w:r>
      <w:r>
        <w:rPr>
          <w:spacing w:val="-2"/>
        </w:rPr>
        <w:t> </w:t>
      </w:r>
      <w:r>
        <w:rPr/>
        <w:t>不适用</w:t>
      </w:r>
    </w:p>
    <w:p>
      <w:pPr>
        <w:spacing w:after="0" w:line="240" w:lineRule="auto"/>
        <w:jc w:val="both"/>
        <w:sectPr>
          <w:pgSz w:w="11910" w:h="16840"/>
          <w:pgMar w:header="747" w:footer="1000" w:top="1040" w:bottom="1180" w:left="980" w:right="9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973" w:right="135"/>
        <w:jc w:val="left"/>
        <w:rPr>
          <w:b w:val="0"/>
          <w:bCs w:val="0"/>
        </w:rPr>
      </w:pPr>
      <w:bookmarkStart w:name="5、终止经营" w:id="421"/>
      <w:bookmarkEnd w:id="421"/>
      <w:r>
        <w:rPr>
          <w:b w:val="0"/>
          <w:bCs w:val="0"/>
        </w:rPr>
      </w:r>
      <w:r>
        <w:rPr>
          <w:rFonts w:ascii="宋体" w:hAnsi="宋体" w:cs="宋体" w:eastAsia="宋体" w:hint="default"/>
        </w:rPr>
        <w:t>5</w:t>
      </w:r>
      <w:r>
        <w:rPr/>
        <w:t>、终止经营</w:t>
      </w:r>
      <w:r>
        <w:rPr>
          <w:b w:val="0"/>
          <w:bCs w:val="0"/>
        </w:rPr>
      </w:r>
    </w:p>
    <w:p>
      <w:pPr>
        <w:spacing w:line="240" w:lineRule="auto" w:before="10"/>
        <w:rPr>
          <w:rFonts w:ascii="宋体" w:hAnsi="宋体" w:cs="宋体" w:eastAsia="宋体" w:hint="default"/>
          <w:b/>
          <w:bCs/>
          <w:sz w:val="14"/>
          <w:szCs w:val="14"/>
        </w:rPr>
      </w:pPr>
    </w:p>
    <w:p>
      <w:pPr>
        <w:spacing w:line="408" w:lineRule="auto" w:before="0"/>
        <w:ind w:left="974" w:right="896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6、分部信息" w:id="422"/>
      <w:bookmarkEnd w:id="422"/>
      <w:r>
        <w:rPr>
          <w:rFonts w:ascii="宋体" w:hAnsi="宋体" w:cs="宋体" w:eastAsia="宋体" w:hint="default"/>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408" w:lineRule="auto" w:before="46"/>
        <w:ind w:left="974" w:right="613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7、其他对投资者决策有影响的重要交易和事项" w:id="423"/>
      <w:bookmarkEnd w:id="423"/>
      <w:r>
        <w:rPr>
          <w:rFonts w:ascii="宋体" w:hAnsi="宋体" w:cs="宋体" w:eastAsia="宋体" w:hint="default"/>
          <w:sz w:val="21"/>
          <w:szCs w:val="21"/>
        </w:rPr>
      </w:r>
      <w:r>
        <w:rPr>
          <w:rFonts w:ascii="宋体" w:hAnsi="宋体" w:cs="宋体" w:eastAsia="宋体" w:hint="default"/>
          <w:b/>
          <w:bCs/>
          <w:w w:val="95"/>
          <w:sz w:val="21"/>
          <w:szCs w:val="21"/>
        </w:rPr>
        <w:t>7</w:t>
      </w:r>
      <w:r>
        <w:rPr>
          <w:rFonts w:ascii="宋体" w:hAnsi="宋体" w:cs="宋体" w:eastAsia="宋体" w:hint="default"/>
          <w:b/>
          <w:bCs/>
          <w:w w:val="95"/>
          <w:sz w:val="21"/>
          <w:szCs w:val="21"/>
        </w:rPr>
        <w:t>、其他对投资者决策有影响的重要交易和事项</w:t>
      </w:r>
      <w:r>
        <w:rPr>
          <w:rFonts w:ascii="宋体" w:hAnsi="宋体" w:cs="宋体" w:eastAsia="宋体" w:hint="default"/>
          <w:sz w:val="21"/>
          <w:szCs w:val="21"/>
        </w:rPr>
      </w:r>
    </w:p>
    <w:p>
      <w:pPr>
        <w:spacing w:line="408" w:lineRule="auto" w:before="46"/>
        <w:ind w:left="974" w:right="896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8、其他" w:id="424"/>
      <w:bookmarkEnd w:id="424"/>
      <w:r>
        <w:rPr>
          <w:rFonts w:ascii="宋体" w:hAnsi="宋体" w:cs="宋体" w:eastAsia="宋体" w:hint="default"/>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ind w:left="0" w:right="1130"/>
        <w:jc w:val="right"/>
      </w:pPr>
      <w:r>
        <w:rPr/>
        <w:t>控股股东江苏光一投资管理有限责任公司于</w:t>
      </w:r>
      <w:r>
        <w:rPr>
          <w:spacing w:val="-55"/>
        </w:rPr>
        <w:t> </w:t>
      </w: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4</w:t>
      </w:r>
      <w:r>
        <w:rPr>
          <w:rFonts w:ascii="宋体" w:hAnsi="宋体" w:cs="宋体" w:eastAsia="宋体" w:hint="default"/>
          <w:spacing w:val="-56"/>
        </w:rPr>
        <w:t> </w:t>
      </w:r>
      <w:r>
        <w:rPr/>
        <w:t>日将其持有的本公司</w:t>
      </w:r>
      <w:r>
        <w:rPr>
          <w:spacing w:val="-56"/>
        </w:rPr>
        <w:t> </w:t>
      </w:r>
      <w:r>
        <w:rPr>
          <w:rFonts w:ascii="宋体" w:hAnsi="宋体" w:cs="宋体" w:eastAsia="宋体" w:hint="default"/>
        </w:rPr>
        <w:t>1167</w:t>
      </w:r>
      <w:r>
        <w:rPr>
          <w:rFonts w:ascii="宋体" w:hAnsi="宋体" w:cs="宋体" w:eastAsia="宋体" w:hint="default"/>
          <w:spacing w:val="-57"/>
        </w:rPr>
        <w:t> </w:t>
      </w:r>
      <w:r>
        <w:rPr/>
        <w:t>万股股权质押给</w:t>
      </w:r>
    </w:p>
    <w:p>
      <w:pPr>
        <w:spacing w:line="240" w:lineRule="auto" w:before="10"/>
        <w:rPr>
          <w:rFonts w:ascii="宋体" w:hAnsi="宋体" w:cs="宋体" w:eastAsia="宋体" w:hint="default"/>
          <w:sz w:val="14"/>
          <w:szCs w:val="14"/>
        </w:rPr>
      </w:pPr>
    </w:p>
    <w:p>
      <w:pPr>
        <w:pStyle w:val="BodyText"/>
        <w:spacing w:line="240" w:lineRule="auto" w:before="0"/>
        <w:ind w:left="973" w:right="135"/>
        <w:jc w:val="left"/>
      </w:pPr>
      <w:r>
        <w:rPr/>
        <w:t>华泰证券股份有限公司，</w:t>
      </w:r>
      <w:r>
        <w:rPr>
          <w:rFonts w:ascii="宋体" w:hAnsi="宋体" w:cs="宋体" w:eastAsia="宋体" w:hint="default"/>
        </w:rPr>
        <w:t>8</w:t>
      </w:r>
      <w:r>
        <w:rPr>
          <w:rFonts w:ascii="宋体" w:hAnsi="宋体" w:cs="宋体" w:eastAsia="宋体" w:hint="default"/>
          <w:spacing w:val="-45"/>
        </w:rPr>
        <w:t> </w:t>
      </w:r>
      <w:r>
        <w:rPr/>
        <w:t>月</w:t>
      </w:r>
      <w:r>
        <w:rPr>
          <w:spacing w:val="-46"/>
        </w:rPr>
        <w:t> </w:t>
      </w:r>
      <w:r>
        <w:rPr>
          <w:rFonts w:ascii="宋体" w:hAnsi="宋体" w:cs="宋体" w:eastAsia="宋体" w:hint="default"/>
        </w:rPr>
        <w:t>5</w:t>
      </w:r>
      <w:r>
        <w:rPr>
          <w:rFonts w:ascii="宋体" w:hAnsi="宋体" w:cs="宋体" w:eastAsia="宋体" w:hint="default"/>
          <w:spacing w:val="-45"/>
        </w:rPr>
        <w:t> </w:t>
      </w:r>
      <w:r>
        <w:rPr/>
        <w:t>日将其持有的</w:t>
      </w:r>
      <w:r>
        <w:rPr>
          <w:spacing w:val="-45"/>
        </w:rPr>
        <w:t> </w:t>
      </w:r>
      <w:r>
        <w:rPr>
          <w:rFonts w:ascii="宋体" w:hAnsi="宋体" w:cs="宋体" w:eastAsia="宋体" w:hint="default"/>
        </w:rPr>
        <w:t>1341</w:t>
      </w:r>
      <w:r>
        <w:rPr>
          <w:rFonts w:ascii="宋体" w:hAnsi="宋体" w:cs="宋体" w:eastAsia="宋体" w:hint="default"/>
          <w:spacing w:val="-45"/>
        </w:rPr>
        <w:t> </w:t>
      </w:r>
      <w:r>
        <w:rPr/>
        <w:t>万股解除质押；</w:t>
      </w:r>
      <w:r>
        <w:rPr>
          <w:rFonts w:ascii="宋体" w:hAnsi="宋体" w:cs="宋体" w:eastAsia="宋体" w:hint="default"/>
        </w:rPr>
        <w:t>8</w:t>
      </w:r>
      <w:r>
        <w:rPr>
          <w:rFonts w:ascii="宋体" w:hAnsi="宋体" w:cs="宋体" w:eastAsia="宋体" w:hint="default"/>
          <w:spacing w:val="-45"/>
        </w:rPr>
        <w:t> </w:t>
      </w:r>
      <w:r>
        <w:rPr/>
        <w:t>月</w:t>
      </w:r>
      <w:r>
        <w:rPr>
          <w:spacing w:val="-46"/>
        </w:rPr>
        <w:t> </w:t>
      </w:r>
      <w:r>
        <w:rPr>
          <w:rFonts w:ascii="宋体" w:hAnsi="宋体" w:cs="宋体" w:eastAsia="宋体" w:hint="default"/>
        </w:rPr>
        <w:t>6</w:t>
      </w:r>
      <w:r>
        <w:rPr>
          <w:rFonts w:ascii="宋体" w:hAnsi="宋体" w:cs="宋体" w:eastAsia="宋体" w:hint="default"/>
          <w:spacing w:val="-45"/>
        </w:rPr>
        <w:t> </w:t>
      </w:r>
      <w:r>
        <w:rPr/>
        <w:t>日将其持有的本公司</w:t>
      </w:r>
      <w:r>
        <w:rPr>
          <w:spacing w:val="-45"/>
        </w:rPr>
        <w:t> </w:t>
      </w:r>
      <w:r>
        <w:rPr>
          <w:rFonts w:ascii="宋体" w:hAnsi="宋体" w:cs="宋体" w:eastAsia="宋体" w:hint="default"/>
        </w:rPr>
        <w:t>1334</w:t>
      </w:r>
      <w:r>
        <w:rPr>
          <w:rFonts w:ascii="宋体" w:hAnsi="宋体" w:cs="宋体" w:eastAsia="宋体" w:hint="default"/>
          <w:spacing w:val="-45"/>
        </w:rPr>
        <w:t> </w:t>
      </w:r>
      <w:r>
        <w:rPr/>
        <w:t>万股</w:t>
      </w:r>
    </w:p>
    <w:p>
      <w:pPr>
        <w:spacing w:line="240" w:lineRule="auto" w:before="10"/>
        <w:rPr>
          <w:rFonts w:ascii="宋体" w:hAnsi="宋体" w:cs="宋体" w:eastAsia="宋体" w:hint="default"/>
          <w:sz w:val="14"/>
          <w:szCs w:val="14"/>
        </w:rPr>
      </w:pPr>
    </w:p>
    <w:p>
      <w:pPr>
        <w:pStyle w:val="BodyText"/>
        <w:spacing w:line="240" w:lineRule="auto" w:before="0"/>
        <w:ind w:left="973" w:right="135"/>
        <w:jc w:val="left"/>
      </w:pPr>
      <w:r>
        <w:rPr/>
        <w:t>股权质押给华泰证券股份有限公司。截止</w:t>
      </w:r>
      <w:r>
        <w:rPr>
          <w:spacing w:val="-39"/>
        </w:rPr>
        <w:t> </w:t>
      </w:r>
      <w:r>
        <w:rPr>
          <w:rFonts w:ascii="宋体" w:hAnsi="宋体" w:cs="宋体" w:eastAsia="宋体" w:hint="default"/>
        </w:rPr>
        <w:t>2014</w:t>
      </w:r>
      <w:r>
        <w:rPr>
          <w:rFonts w:ascii="宋体" w:hAnsi="宋体" w:cs="宋体" w:eastAsia="宋体" w:hint="default"/>
          <w:spacing w:val="-40"/>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31</w:t>
      </w:r>
      <w:r>
        <w:rPr>
          <w:rFonts w:ascii="宋体" w:hAnsi="宋体" w:cs="宋体" w:eastAsia="宋体" w:hint="default"/>
          <w:spacing w:val="-40"/>
        </w:rPr>
        <w:t> </w:t>
      </w:r>
      <w:r>
        <w:rPr/>
        <w:t>日，江苏光一投资管理有限责任公司累计质押</w:t>
      </w:r>
    </w:p>
    <w:p>
      <w:pPr>
        <w:spacing w:line="240" w:lineRule="auto" w:before="10"/>
        <w:rPr>
          <w:rFonts w:ascii="宋体" w:hAnsi="宋体" w:cs="宋体" w:eastAsia="宋体" w:hint="default"/>
          <w:sz w:val="14"/>
          <w:szCs w:val="14"/>
        </w:rPr>
      </w:pPr>
    </w:p>
    <w:p>
      <w:pPr>
        <w:pStyle w:val="BodyText"/>
        <w:spacing w:line="240" w:lineRule="auto" w:before="0"/>
        <w:ind w:left="973" w:right="135"/>
        <w:jc w:val="left"/>
      </w:pPr>
      <w:r>
        <w:rPr>
          <w:rFonts w:ascii="宋体" w:hAnsi="宋体" w:cs="宋体" w:eastAsia="宋体" w:hint="default"/>
        </w:rPr>
        <w:t>2501</w:t>
      </w:r>
      <w:r>
        <w:rPr>
          <w:rFonts w:ascii="宋体" w:hAnsi="宋体" w:cs="宋体" w:eastAsia="宋体" w:hint="default"/>
          <w:spacing w:val="-52"/>
        </w:rPr>
        <w:t> </w:t>
      </w:r>
      <w:r>
        <w:rPr/>
        <w:t>万股，占公司股份总数的</w:t>
      </w:r>
      <w:r>
        <w:rPr>
          <w:spacing w:val="-53"/>
        </w:rPr>
        <w:t> </w:t>
      </w:r>
      <w:r>
        <w:rPr>
          <w:rFonts w:ascii="宋体" w:hAnsi="宋体" w:cs="宋体" w:eastAsia="宋体" w:hint="default"/>
        </w:rPr>
        <w:t>19.24%</w:t>
      </w:r>
      <w:r>
        <w:rPr/>
        <w:t>，尚余首发限售股</w:t>
      </w:r>
      <w:r>
        <w:rPr>
          <w:spacing w:val="-53"/>
        </w:rPr>
        <w:t> </w:t>
      </w:r>
      <w:r>
        <w:rPr>
          <w:rFonts w:ascii="宋体" w:hAnsi="宋体" w:cs="宋体" w:eastAsia="宋体" w:hint="default"/>
        </w:rPr>
        <w:t>1759</w:t>
      </w:r>
      <w:r>
        <w:rPr>
          <w:rFonts w:ascii="宋体" w:hAnsi="宋体" w:cs="宋体" w:eastAsia="宋体" w:hint="default"/>
          <w:spacing w:val="-55"/>
        </w:rPr>
        <w:t> </w:t>
      </w:r>
      <w:r>
        <w:rPr/>
        <w:t>万股未质押。</w:t>
      </w:r>
    </w:p>
    <w:p>
      <w:pPr>
        <w:pStyle w:val="Heading2"/>
        <w:spacing w:line="240" w:lineRule="auto" w:before="170"/>
        <w:ind w:left="973" w:right="135"/>
        <w:jc w:val="left"/>
        <w:rPr>
          <w:b w:val="0"/>
          <w:bCs w:val="0"/>
        </w:rPr>
      </w:pPr>
      <w:bookmarkStart w:name="十七、母公司财务报表主要项目注释" w:id="425"/>
      <w:bookmarkEnd w:id="425"/>
      <w:r>
        <w:rPr>
          <w:b w:val="0"/>
          <w:bCs w:val="0"/>
        </w:rPr>
      </w:r>
      <w:r>
        <w:rPr/>
        <w:t>十七、母公司财务报表主要项目注释</w:t>
      </w:r>
      <w:r>
        <w:rPr>
          <w:b w:val="0"/>
          <w:bCs w:val="0"/>
        </w:rPr>
      </w:r>
    </w:p>
    <w:p>
      <w:pPr>
        <w:pStyle w:val="Heading4"/>
        <w:spacing w:line="240" w:lineRule="auto" w:before="177"/>
        <w:ind w:left="973" w:right="135"/>
        <w:jc w:val="left"/>
        <w:rPr>
          <w:b w:val="0"/>
          <w:bCs w:val="0"/>
        </w:rPr>
      </w:pPr>
      <w:bookmarkStart w:name="1、应收账款" w:id="426"/>
      <w:bookmarkEnd w:id="426"/>
      <w:r>
        <w:rPr>
          <w:b w:val="0"/>
          <w:bCs w:val="0"/>
        </w:rPr>
      </w:r>
      <w:r>
        <w:rPr>
          <w:rFonts w:ascii="宋体" w:hAnsi="宋体" w:cs="宋体" w:eastAsia="宋体" w:hint="default"/>
        </w:rPr>
        <w:t>1</w:t>
      </w:r>
      <w:r>
        <w:rPr/>
        <w:t>、应收账款</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973" w:right="135"/>
        <w:jc w:val="left"/>
        <w:rPr>
          <w:b w:val="0"/>
          <w:bCs w:val="0"/>
        </w:rPr>
      </w:pPr>
      <w:bookmarkStart w:name="（1）应收账款分类披露" w:id="427"/>
      <w:bookmarkEnd w:id="427"/>
      <w:r>
        <w:rPr>
          <w:b w:val="0"/>
          <w:bCs w:val="0"/>
        </w:rPr>
      </w:r>
      <w:r>
        <w:rPr/>
        <w:t>（</w:t>
      </w:r>
      <w:r>
        <w:rPr>
          <w:rFonts w:ascii="宋体" w:hAnsi="宋体" w:cs="宋体" w:eastAsia="宋体" w:hint="default"/>
        </w:rPr>
        <w:t>1</w:t>
      </w:r>
      <w:r>
        <w:rPr/>
        <w:t>）应收账款分类披露</w:t>
      </w:r>
      <w:r>
        <w:rPr>
          <w:b w:val="0"/>
          <w:bCs w:val="0"/>
        </w:rPr>
      </w:r>
    </w:p>
    <w:p>
      <w:pPr>
        <w:spacing w:line="240" w:lineRule="auto" w:before="11"/>
        <w:rPr>
          <w:rFonts w:ascii="宋体" w:hAnsi="宋体" w:cs="宋体" w:eastAsia="宋体" w:hint="default"/>
          <w:b/>
          <w:bCs/>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692"/>
        <w:gridCol w:w="1428"/>
        <w:gridCol w:w="709"/>
        <w:gridCol w:w="1277"/>
        <w:gridCol w:w="567"/>
        <w:gridCol w:w="1417"/>
        <w:gridCol w:w="1418"/>
        <w:gridCol w:w="708"/>
        <w:gridCol w:w="1276"/>
        <w:gridCol w:w="566"/>
        <w:gridCol w:w="1418"/>
      </w:tblGrid>
      <w:tr>
        <w:trPr>
          <w:trHeight w:val="414" w:hRule="exact"/>
        </w:trPr>
        <w:tc>
          <w:tcPr>
            <w:tcW w:w="692" w:type="dxa"/>
            <w:vMerge w:val="restart"/>
            <w:tcBorders>
              <w:top w:val="single" w:sz="12" w:space="0" w:color="000000"/>
              <w:left w:val="single" w:sz="12" w:space="0" w:color="000000"/>
              <w:right w:val="single" w:sz="6" w:space="0" w:color="000000"/>
            </w:tcBorders>
            <w:shd w:val="clear" w:color="auto" w:fill="D2D2D2"/>
          </w:tcPr>
          <w:p>
            <w:pPr/>
          </w:p>
        </w:tc>
        <w:tc>
          <w:tcPr>
            <w:tcW w:w="5398"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387"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4" w:hRule="exact"/>
        </w:trPr>
        <w:tc>
          <w:tcPr>
            <w:tcW w:w="692" w:type="dxa"/>
            <w:vMerge/>
            <w:tcBorders>
              <w:left w:val="single" w:sz="12" w:space="0" w:color="000000"/>
              <w:bottom w:val="nil" w:sz="6" w:space="0" w:color="auto"/>
              <w:right w:val="single" w:sz="6" w:space="0" w:color="000000"/>
            </w:tcBorders>
            <w:shd w:val="clear" w:color="auto" w:fill="D2D2D2"/>
          </w:tcPr>
          <w:p>
            <w:pPr/>
          </w:p>
        </w:tc>
        <w:tc>
          <w:tcPr>
            <w:tcW w:w="2138"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7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7" w:type="dxa"/>
            <w:vMerge w:val="restart"/>
            <w:tcBorders>
              <w:top w:val="single" w:sz="6" w:space="0" w:color="000000"/>
              <w:left w:val="single" w:sz="6" w:space="0" w:color="000000"/>
              <w:right w:val="single" w:sz="6" w:space="0" w:color="000000"/>
            </w:tcBorders>
            <w:shd w:val="clear" w:color="auto" w:fill="D2D2D2"/>
          </w:tcPr>
          <w:p>
            <w:pPr/>
          </w:p>
        </w:tc>
        <w:tc>
          <w:tcPr>
            <w:tcW w:w="212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69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vMerge w:val="restart"/>
            <w:tcBorders>
              <w:top w:val="single" w:sz="6" w:space="0" w:color="000000"/>
              <w:left w:val="single" w:sz="6" w:space="0" w:color="000000"/>
              <w:right w:val="single" w:sz="12" w:space="0" w:color="000000"/>
            </w:tcBorders>
            <w:shd w:val="clear" w:color="auto" w:fill="D2D2D2"/>
          </w:tcPr>
          <w:p>
            <w:pPr/>
          </w:p>
        </w:tc>
      </w:tr>
      <w:tr>
        <w:trPr>
          <w:trHeight w:val="243" w:hRule="exact"/>
        </w:trPr>
        <w:tc>
          <w:tcPr>
            <w:tcW w:w="69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138" w:type="dxa"/>
            <w:gridSpan w:val="2"/>
            <w:vMerge/>
            <w:tcBorders>
              <w:left w:val="single" w:sz="6" w:space="0" w:color="000000"/>
              <w:bottom w:val="single" w:sz="6" w:space="0" w:color="000000"/>
              <w:right w:val="single" w:sz="6" w:space="0" w:color="000000"/>
            </w:tcBorders>
            <w:shd w:val="clear" w:color="auto" w:fill="D2D2D2"/>
          </w:tcPr>
          <w:p>
            <w:pPr/>
          </w:p>
        </w:tc>
        <w:tc>
          <w:tcPr>
            <w:tcW w:w="1844" w:type="dxa"/>
            <w:gridSpan w:val="2"/>
            <w:vMerge/>
            <w:tcBorders>
              <w:left w:val="single" w:sz="6" w:space="0" w:color="000000"/>
              <w:bottom w:val="single" w:sz="6" w:space="0" w:color="000000"/>
              <w:right w:val="single" w:sz="6" w:space="0" w:color="000000"/>
            </w:tcBorders>
            <w:shd w:val="clear" w:color="auto" w:fill="D2D2D2"/>
          </w:tcPr>
          <w:p>
            <w:pPr/>
          </w:p>
        </w:tc>
        <w:tc>
          <w:tcPr>
            <w:tcW w:w="1417" w:type="dxa"/>
            <w:vMerge/>
            <w:tcBorders>
              <w:left w:val="single" w:sz="6" w:space="0" w:color="000000"/>
              <w:bottom w:val="nil" w:sz="6" w:space="0" w:color="auto"/>
              <w:right w:val="single" w:sz="6" w:space="0" w:color="000000"/>
            </w:tcBorders>
            <w:shd w:val="clear" w:color="auto" w:fill="D2D2D2"/>
          </w:tcPr>
          <w:p>
            <w:pPr/>
          </w:p>
        </w:tc>
        <w:tc>
          <w:tcPr>
            <w:tcW w:w="2127" w:type="dxa"/>
            <w:gridSpan w:val="2"/>
            <w:vMerge/>
            <w:tcBorders>
              <w:left w:val="single" w:sz="6" w:space="0" w:color="000000"/>
              <w:bottom w:val="single" w:sz="6" w:space="0" w:color="000000"/>
              <w:right w:val="single" w:sz="6" w:space="0" w:color="000000"/>
            </w:tcBorders>
            <w:shd w:val="clear" w:color="auto" w:fill="D2D2D2"/>
          </w:tcPr>
          <w:p>
            <w:pPr/>
          </w:p>
        </w:tc>
        <w:tc>
          <w:tcPr>
            <w:tcW w:w="1842" w:type="dxa"/>
            <w:gridSpan w:val="2"/>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12" w:space="0" w:color="000000"/>
            </w:tcBorders>
            <w:shd w:val="clear" w:color="auto" w:fill="D2D2D2"/>
          </w:tcPr>
          <w:p>
            <w:pPr/>
          </w:p>
        </w:tc>
      </w:tr>
      <w:tr>
        <w:trPr>
          <w:trHeight w:val="164" w:hRule="exact"/>
        </w:trPr>
        <w:tc>
          <w:tcPr>
            <w:tcW w:w="692" w:type="dxa"/>
            <w:vMerge/>
            <w:tcBorders>
              <w:left w:val="single" w:sz="12" w:space="0" w:color="000000"/>
              <w:bottom w:val="nil" w:sz="6" w:space="0" w:color="auto"/>
              <w:right w:val="single" w:sz="6" w:space="0" w:color="000000"/>
            </w:tcBorders>
            <w:shd w:val="clear" w:color="auto" w:fill="D2D2D2"/>
          </w:tcPr>
          <w:p>
            <w:pPr/>
          </w:p>
        </w:tc>
        <w:tc>
          <w:tcPr>
            <w:tcW w:w="1428" w:type="dxa"/>
            <w:tcBorders>
              <w:top w:val="single" w:sz="6" w:space="0" w:color="000000"/>
              <w:left w:val="single" w:sz="6" w:space="0" w:color="000000"/>
              <w:bottom w:val="nil" w:sz="6" w:space="0" w:color="auto"/>
              <w:right w:val="single" w:sz="6" w:space="0" w:color="000000"/>
            </w:tcBorders>
            <w:shd w:val="clear" w:color="auto" w:fill="D2D2D2"/>
          </w:tcPr>
          <w:p>
            <w:pPr/>
          </w:p>
        </w:tc>
        <w:tc>
          <w:tcPr>
            <w:tcW w:w="709"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7" w:type="dxa"/>
            <w:tcBorders>
              <w:top w:val="single" w:sz="6" w:space="0" w:color="000000"/>
              <w:left w:val="single" w:sz="6" w:space="0" w:color="000000"/>
              <w:bottom w:val="nil" w:sz="6" w:space="0" w:color="auto"/>
              <w:right w:val="single" w:sz="6" w:space="0" w:color="000000"/>
            </w:tcBorders>
            <w:shd w:val="clear" w:color="auto" w:fill="D2D2D2"/>
          </w:tcPr>
          <w:p>
            <w:pPr/>
          </w:p>
        </w:tc>
        <w:tc>
          <w:tcPr>
            <w:tcW w:w="567"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2"/>
              <w:ind w:left="95" w:right="94"/>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41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1"/>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8" w:type="dxa"/>
            <w:tcBorders>
              <w:top w:val="single" w:sz="6" w:space="0" w:color="000000"/>
              <w:left w:val="single" w:sz="6" w:space="0" w:color="000000"/>
              <w:bottom w:val="nil" w:sz="6" w:space="0" w:color="auto"/>
              <w:right w:val="single" w:sz="6" w:space="0" w:color="000000"/>
            </w:tcBorders>
            <w:shd w:val="clear" w:color="auto" w:fill="D2D2D2"/>
          </w:tcPr>
          <w:p>
            <w:pPr/>
          </w:p>
        </w:tc>
        <w:tc>
          <w:tcPr>
            <w:tcW w:w="708"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shd w:val="clear" w:color="auto" w:fill="D2D2D2"/>
          </w:tcPr>
          <w:p>
            <w:pPr/>
          </w:p>
        </w:tc>
        <w:tc>
          <w:tcPr>
            <w:tcW w:w="566"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2"/>
              <w:ind w:left="95" w:right="9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418"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8" w:hRule="exact"/>
        </w:trPr>
        <w:tc>
          <w:tcPr>
            <w:tcW w:w="692" w:type="dxa"/>
            <w:vMerge w:val="restart"/>
            <w:tcBorders>
              <w:top w:val="nil" w:sz="6" w:space="0" w:color="auto"/>
              <w:left w:val="single" w:sz="12" w:space="0" w:color="000000"/>
              <w:right w:val="single" w:sz="6" w:space="0" w:color="000000"/>
            </w:tcBorders>
            <w:shd w:val="clear" w:color="auto" w:fill="D2D2D2"/>
          </w:tcPr>
          <w:p>
            <w:pPr/>
          </w:p>
        </w:tc>
        <w:tc>
          <w:tcPr>
            <w:tcW w:w="142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7" w:type="dxa"/>
            <w:vMerge/>
            <w:tcBorders>
              <w:left w:val="single" w:sz="6" w:space="0" w:color="000000"/>
              <w:right w:val="single" w:sz="6" w:space="0" w:color="000000"/>
            </w:tcBorders>
            <w:shd w:val="clear" w:color="auto" w:fill="D2D2D2"/>
          </w:tcPr>
          <w:p>
            <w:pPr/>
          </w:p>
        </w:tc>
        <w:tc>
          <w:tcPr>
            <w:tcW w:w="1417" w:type="dxa"/>
            <w:vMerge/>
            <w:tcBorders>
              <w:left w:val="single" w:sz="6" w:space="0" w:color="000000"/>
              <w:bottom w:val="nil" w:sz="6" w:space="0" w:color="auto"/>
              <w:right w:val="single" w:sz="6" w:space="0" w:color="000000"/>
            </w:tcBorders>
            <w:shd w:val="clear" w:color="auto" w:fill="D2D2D2"/>
          </w:tcPr>
          <w:p>
            <w:pPr/>
          </w:p>
        </w:tc>
        <w:tc>
          <w:tcPr>
            <w:tcW w:w="141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12" w:space="0" w:color="000000"/>
            </w:tcBorders>
            <w:shd w:val="clear" w:color="auto" w:fill="D2D2D2"/>
          </w:tcPr>
          <w:p>
            <w:pPr/>
          </w:p>
        </w:tc>
      </w:tr>
      <w:tr>
        <w:trPr>
          <w:trHeight w:val="204" w:hRule="exact"/>
        </w:trPr>
        <w:tc>
          <w:tcPr>
            <w:tcW w:w="692" w:type="dxa"/>
            <w:vMerge/>
            <w:tcBorders>
              <w:left w:val="single" w:sz="12" w:space="0" w:color="000000"/>
              <w:right w:val="single" w:sz="6" w:space="0" w:color="000000"/>
            </w:tcBorders>
            <w:shd w:val="clear" w:color="auto" w:fill="D2D2D2"/>
          </w:tcPr>
          <w:p>
            <w:pPr/>
          </w:p>
        </w:tc>
        <w:tc>
          <w:tcPr>
            <w:tcW w:w="1428" w:type="dxa"/>
            <w:vMerge/>
            <w:tcBorders>
              <w:left w:val="single" w:sz="6" w:space="0" w:color="000000"/>
              <w:bottom w:val="nil" w:sz="6" w:space="0" w:color="auto"/>
              <w:right w:val="single" w:sz="6" w:space="0" w:color="000000"/>
            </w:tcBorders>
            <w:shd w:val="clear" w:color="auto" w:fill="D2D2D2"/>
          </w:tcPr>
          <w:p>
            <w:pPr/>
          </w:p>
        </w:tc>
        <w:tc>
          <w:tcPr>
            <w:tcW w:w="709" w:type="dxa"/>
            <w:vMerge/>
            <w:tcBorders>
              <w:left w:val="single" w:sz="6" w:space="0" w:color="000000"/>
              <w:bottom w:val="nil" w:sz="6" w:space="0" w:color="auto"/>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567" w:type="dxa"/>
            <w:vMerge/>
            <w:tcBorders>
              <w:left w:val="single" w:sz="6" w:space="0" w:color="000000"/>
              <w:right w:val="single" w:sz="6" w:space="0" w:color="000000"/>
            </w:tcBorders>
            <w:shd w:val="clear" w:color="auto" w:fill="D2D2D2"/>
          </w:tcPr>
          <w:p>
            <w:pPr/>
          </w:p>
        </w:tc>
        <w:tc>
          <w:tcPr>
            <w:tcW w:w="1417" w:type="dxa"/>
            <w:vMerge w:val="restart"/>
            <w:tcBorders>
              <w:top w:val="nil" w:sz="6" w:space="0" w:color="auto"/>
              <w:left w:val="single" w:sz="6" w:space="0" w:color="000000"/>
              <w:right w:val="single" w:sz="6" w:space="0" w:color="000000"/>
            </w:tcBorders>
            <w:shd w:val="clear" w:color="auto" w:fill="D2D2D2"/>
          </w:tcPr>
          <w:p>
            <w:pPr/>
          </w:p>
        </w:tc>
        <w:tc>
          <w:tcPr>
            <w:tcW w:w="1418" w:type="dxa"/>
            <w:vMerge/>
            <w:tcBorders>
              <w:left w:val="single" w:sz="6" w:space="0" w:color="000000"/>
              <w:bottom w:val="nil" w:sz="6" w:space="0" w:color="auto"/>
              <w:right w:val="single" w:sz="6" w:space="0" w:color="000000"/>
            </w:tcBorders>
            <w:shd w:val="clear" w:color="auto" w:fill="D2D2D2"/>
          </w:tcPr>
          <w:p>
            <w:pPr/>
          </w:p>
        </w:tc>
        <w:tc>
          <w:tcPr>
            <w:tcW w:w="708"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566" w:type="dxa"/>
            <w:vMerge/>
            <w:tcBorders>
              <w:left w:val="single" w:sz="6" w:space="0" w:color="000000"/>
              <w:right w:val="single" w:sz="6" w:space="0" w:color="000000"/>
            </w:tcBorders>
            <w:shd w:val="clear" w:color="auto" w:fill="D2D2D2"/>
          </w:tcPr>
          <w:p>
            <w:pPr/>
          </w:p>
        </w:tc>
        <w:tc>
          <w:tcPr>
            <w:tcW w:w="1418" w:type="dxa"/>
            <w:vMerge w:val="restart"/>
            <w:tcBorders>
              <w:top w:val="nil" w:sz="6" w:space="0" w:color="auto"/>
              <w:left w:val="single" w:sz="6" w:space="0" w:color="000000"/>
              <w:right w:val="single" w:sz="12" w:space="0" w:color="000000"/>
            </w:tcBorders>
            <w:shd w:val="clear" w:color="auto" w:fill="D2D2D2"/>
          </w:tcPr>
          <w:p>
            <w:pPr/>
          </w:p>
        </w:tc>
      </w:tr>
      <w:tr>
        <w:trPr>
          <w:trHeight w:val="163" w:hRule="exact"/>
        </w:trPr>
        <w:tc>
          <w:tcPr>
            <w:tcW w:w="692" w:type="dxa"/>
            <w:vMerge/>
            <w:tcBorders>
              <w:left w:val="single" w:sz="12" w:space="0" w:color="000000"/>
              <w:bottom w:val="single" w:sz="6" w:space="0" w:color="000000"/>
              <w:right w:val="single" w:sz="6" w:space="0" w:color="000000"/>
            </w:tcBorders>
            <w:shd w:val="clear" w:color="auto" w:fill="D2D2D2"/>
          </w:tcPr>
          <w:p>
            <w:pPr/>
          </w:p>
        </w:tc>
        <w:tc>
          <w:tcPr>
            <w:tcW w:w="1428" w:type="dxa"/>
            <w:tcBorders>
              <w:top w:val="nil" w:sz="6" w:space="0" w:color="auto"/>
              <w:left w:val="single" w:sz="6" w:space="0" w:color="000000"/>
              <w:bottom w:val="single" w:sz="6" w:space="0" w:color="000000"/>
              <w:right w:val="single" w:sz="6" w:space="0" w:color="000000"/>
            </w:tcBorders>
            <w:shd w:val="clear" w:color="auto" w:fill="D2D2D2"/>
          </w:tcPr>
          <w:p>
            <w:pPr/>
          </w:p>
        </w:tc>
        <w:tc>
          <w:tcPr>
            <w:tcW w:w="70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7" w:type="dxa"/>
            <w:tcBorders>
              <w:top w:val="nil" w:sz="6" w:space="0" w:color="auto"/>
              <w:left w:val="single" w:sz="6" w:space="0" w:color="000000"/>
              <w:bottom w:val="single" w:sz="6" w:space="0" w:color="000000"/>
              <w:right w:val="single" w:sz="6" w:space="0" w:color="000000"/>
            </w:tcBorders>
            <w:shd w:val="clear" w:color="auto" w:fill="D2D2D2"/>
          </w:tcPr>
          <w:p>
            <w:pPr/>
          </w:p>
        </w:tc>
        <w:tc>
          <w:tcPr>
            <w:tcW w:w="567" w:type="dxa"/>
            <w:vMerge/>
            <w:tcBorders>
              <w:left w:val="single" w:sz="6" w:space="0" w:color="000000"/>
              <w:bottom w:val="single" w:sz="6" w:space="0" w:color="000000"/>
              <w:right w:val="single" w:sz="6" w:space="0" w:color="000000"/>
            </w:tcBorders>
            <w:shd w:val="clear" w:color="auto" w:fill="D2D2D2"/>
          </w:tcPr>
          <w:p>
            <w:pPr/>
          </w:p>
        </w:tc>
        <w:tc>
          <w:tcPr>
            <w:tcW w:w="1417" w:type="dxa"/>
            <w:vMerge/>
            <w:tcBorders>
              <w:left w:val="single" w:sz="6" w:space="0" w:color="000000"/>
              <w:bottom w:val="single" w:sz="6" w:space="0" w:color="000000"/>
              <w:right w:val="single" w:sz="6" w:space="0" w:color="000000"/>
            </w:tcBorders>
            <w:shd w:val="clear" w:color="auto" w:fill="D2D2D2"/>
          </w:tcPr>
          <w:p>
            <w:pPr/>
          </w:p>
        </w:tc>
        <w:tc>
          <w:tcPr>
            <w:tcW w:w="1418" w:type="dxa"/>
            <w:tcBorders>
              <w:top w:val="nil" w:sz="6" w:space="0" w:color="auto"/>
              <w:left w:val="single" w:sz="6" w:space="0" w:color="000000"/>
              <w:bottom w:val="single" w:sz="6" w:space="0" w:color="000000"/>
              <w:right w:val="single" w:sz="6" w:space="0" w:color="000000"/>
            </w:tcBorders>
            <w:shd w:val="clear" w:color="auto" w:fill="D2D2D2"/>
          </w:tcPr>
          <w:p>
            <w:pPr/>
          </w:p>
        </w:tc>
        <w:tc>
          <w:tcPr>
            <w:tcW w:w="708"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566" w:type="dxa"/>
            <w:vMerge/>
            <w:tcBorders>
              <w:left w:val="single" w:sz="6" w:space="0" w:color="000000"/>
              <w:bottom w:val="single" w:sz="6" w:space="0" w:color="000000"/>
              <w:right w:val="single" w:sz="6" w:space="0" w:color="000000"/>
            </w:tcBorders>
            <w:shd w:val="clear" w:color="auto" w:fill="D2D2D2"/>
          </w:tcPr>
          <w:p>
            <w:pPr/>
          </w:p>
        </w:tc>
        <w:tc>
          <w:tcPr>
            <w:tcW w:w="1418" w:type="dxa"/>
            <w:vMerge/>
            <w:tcBorders>
              <w:left w:val="single" w:sz="6" w:space="0" w:color="000000"/>
              <w:bottom w:val="single" w:sz="6" w:space="0" w:color="000000"/>
              <w:right w:val="single" w:sz="12" w:space="0" w:color="000000"/>
            </w:tcBorders>
            <w:shd w:val="clear" w:color="auto" w:fill="D2D2D2"/>
          </w:tcPr>
          <w:p>
            <w:pPr/>
          </w:p>
        </w:tc>
      </w:tr>
      <w:tr>
        <w:trPr>
          <w:trHeight w:val="2279" w:hRule="exact"/>
        </w:trPr>
        <w:tc>
          <w:tcPr>
            <w:tcW w:w="69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51"/>
              <w:ind w:left="6" w:right="121"/>
              <w:jc w:val="both"/>
              <w:rPr>
                <w:rFonts w:ascii="宋体" w:hAnsi="宋体" w:cs="宋体" w:eastAsia="宋体" w:hint="default"/>
                <w:sz w:val="18"/>
                <w:szCs w:val="18"/>
              </w:rPr>
            </w:pPr>
            <w:r>
              <w:rPr>
                <w:rFonts w:ascii="宋体" w:hAnsi="宋体" w:cs="宋体" w:eastAsia="宋体" w:hint="default"/>
                <w:sz w:val="18"/>
                <w:szCs w:val="18"/>
              </w:rPr>
              <w:t>按信用 风险特 征组合 计提坏 账准备 的应收 账款</w:t>
            </w:r>
          </w:p>
        </w:tc>
        <w:tc>
          <w:tcPr>
            <w:tcW w:w="142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290,090,558.13</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15,727,985.26</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5.42%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274,362,572.87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167,854,452.15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10,616,586.55</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6.32%</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
              <w:jc w:val="right"/>
              <w:rPr>
                <w:rFonts w:ascii="宋体" w:hAnsi="宋体" w:cs="宋体" w:eastAsia="宋体" w:hint="default"/>
                <w:sz w:val="18"/>
                <w:szCs w:val="18"/>
              </w:rPr>
            </w:pPr>
            <w:r>
              <w:rPr>
                <w:rFonts w:ascii="宋体"/>
                <w:sz w:val="18"/>
              </w:rPr>
              <w:t>157,237,865.60</w:t>
            </w:r>
          </w:p>
        </w:tc>
      </w:tr>
      <w:tr>
        <w:trPr>
          <w:trHeight w:val="415" w:hRule="exact"/>
        </w:trPr>
        <w:tc>
          <w:tcPr>
            <w:tcW w:w="69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290,090,558.13</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100.00%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15,727,985.26</w:t>
            </w:r>
          </w:p>
        </w:tc>
        <w:tc>
          <w:tcPr>
            <w:tcW w:w="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5.42%</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274,362,572.87</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167,854,452.15</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10,616,586.55</w:t>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6.32%</w:t>
            </w:r>
          </w:p>
        </w:tc>
        <w:tc>
          <w:tcPr>
            <w:tcW w:w="14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157,237,865.60</w:t>
            </w:r>
          </w:p>
        </w:tc>
      </w:tr>
    </w:tbl>
    <w:p>
      <w:pPr>
        <w:pStyle w:val="BodyText"/>
        <w:spacing w:line="240" w:lineRule="auto" w:before="63"/>
        <w:ind w:left="974" w:right="135"/>
        <w:jc w:val="left"/>
      </w:pPr>
      <w:r>
        <w:rPr/>
        <w:t>期末单项金额重大并单项计提坏账准备的应收账款：</w:t>
      </w:r>
    </w:p>
    <w:p>
      <w:pPr>
        <w:spacing w:line="240" w:lineRule="auto" w:before="10"/>
        <w:rPr>
          <w:rFonts w:ascii="宋体" w:hAnsi="宋体" w:cs="宋体" w:eastAsia="宋体" w:hint="default"/>
          <w:sz w:val="14"/>
          <w:szCs w:val="14"/>
        </w:rPr>
      </w:pPr>
    </w:p>
    <w:p>
      <w:pPr>
        <w:pStyle w:val="BodyText"/>
        <w:spacing w:line="408" w:lineRule="auto" w:before="0"/>
        <w:ind w:left="974" w:right="6132"/>
        <w:jc w:val="left"/>
      </w:pPr>
      <w:r>
        <w:rPr/>
        <w:t>□ 适用 √</w:t>
      </w:r>
      <w:r>
        <w:rPr>
          <w:spacing w:val="-1"/>
        </w:rPr>
        <w:t> </w:t>
      </w:r>
      <w:r>
        <w:rPr/>
        <w:t>不适用</w:t>
      </w:r>
      <w:r>
        <w:rPr/>
        <w:t> 组合中，按账龄分析法计提坏账准备的应收账款：</w:t>
      </w:r>
    </w:p>
    <w:p>
      <w:pPr>
        <w:pStyle w:val="BodyText"/>
        <w:spacing w:line="240" w:lineRule="auto"/>
        <w:ind w:left="974" w:right="135"/>
        <w:jc w:val="left"/>
      </w:pPr>
      <w:r>
        <w:rPr/>
        <w:t>√ 适用 □</w:t>
      </w:r>
      <w:r>
        <w:rPr>
          <w:spacing w:val="-1"/>
        </w:rPr>
        <w:t> </w:t>
      </w:r>
      <w:r>
        <w:rPr/>
        <w:t>不适用</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000" w:top="1040" w:bottom="1180" w:left="160" w:right="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2495"/>
        <w:gridCol w:w="2295"/>
        <w:gridCol w:w="2391"/>
        <w:gridCol w:w="2389"/>
      </w:tblGrid>
      <w:tr>
        <w:trPr>
          <w:trHeight w:val="415" w:hRule="exact"/>
        </w:trPr>
        <w:tc>
          <w:tcPr>
            <w:tcW w:w="2495"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495" w:type="dxa"/>
            <w:vMerge/>
            <w:tcBorders>
              <w:left w:val="single" w:sz="12" w:space="0" w:color="000000"/>
              <w:bottom w:val="single" w:sz="6" w:space="0" w:color="000000"/>
              <w:right w:val="single" w:sz="6" w:space="0" w:color="000000"/>
            </w:tcBorders>
            <w:shd w:val="clear" w:color="auto" w:fill="D2D2D2"/>
          </w:tcPr>
          <w:p>
            <w:pPr/>
          </w:p>
        </w:tc>
        <w:tc>
          <w:tcPr>
            <w:tcW w:w="22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7" w:hRule="exact"/>
        </w:trPr>
        <w:tc>
          <w:tcPr>
            <w:tcW w:w="9569" w:type="dxa"/>
            <w:gridSpan w:val="4"/>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257,164,806.63</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7,714,944.20</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257,164,806.63</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7,714,944.20</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24,056,034.67</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2,405,603.47</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w:t>
            </w:r>
          </w:p>
        </w:tc>
      </w:tr>
      <w:tr>
        <w:trPr>
          <w:trHeight w:val="408"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2,407,432.48</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722,229.74</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30.00%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6,462,284.35</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4,885,207.85</w:t>
            </w:r>
          </w:p>
        </w:tc>
        <w:tc>
          <w:tcPr>
            <w:tcW w:w="2389"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2,934,028.00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1,467,014.00</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50.00%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366,875.00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256,812.50</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70.00%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3,161,381.35</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3,161,381.35</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100.00%</w:t>
            </w:r>
          </w:p>
        </w:tc>
      </w:tr>
      <w:tr>
        <w:trPr>
          <w:trHeight w:val="415" w:hRule="exact"/>
        </w:trPr>
        <w:tc>
          <w:tcPr>
            <w:tcW w:w="24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290,090,558.13</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15,727,985.26</w:t>
            </w:r>
          </w:p>
        </w:tc>
        <w:tc>
          <w:tcPr>
            <w:tcW w:w="2389"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0" w:lineRule="auto" w:before="63"/>
        <w:ind w:left="154" w:right="0"/>
        <w:jc w:val="left"/>
      </w:pPr>
      <w:r>
        <w:rPr/>
        <w:t>组合中，采用余额百分比法计提坏账准备的应收账款：</w:t>
      </w:r>
    </w:p>
    <w:p>
      <w:pPr>
        <w:spacing w:line="240" w:lineRule="auto" w:before="10"/>
        <w:rPr>
          <w:rFonts w:ascii="宋体" w:hAnsi="宋体" w:cs="宋体" w:eastAsia="宋体" w:hint="default"/>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本期计提、收回或转回的坏账准备情况" w:id="428"/>
      <w:bookmarkEnd w:id="428"/>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本期计提坏账准备金额</w:t>
      </w:r>
      <w:r>
        <w:rPr>
          <w:spacing w:val="-52"/>
        </w:rPr>
        <w:t> </w:t>
      </w:r>
      <w:r>
        <w:rPr>
          <w:rFonts w:ascii="宋体" w:hAnsi="宋体" w:cs="宋体" w:eastAsia="宋体" w:hint="default"/>
        </w:rPr>
        <w:t>5,111,398.71</w:t>
      </w:r>
      <w:r>
        <w:rPr>
          <w:rFonts w:ascii="宋体" w:hAnsi="宋体" w:cs="宋体" w:eastAsia="宋体" w:hint="default"/>
          <w:spacing w:val="-54"/>
        </w:rPr>
        <w:t> </w:t>
      </w:r>
      <w:r>
        <w:rPr/>
        <w:t>元；本期收回或转回坏账准备金额</w:t>
      </w:r>
      <w:r>
        <w:rPr>
          <w:spacing w:val="-52"/>
        </w:rPr>
        <w:t> </w:t>
      </w:r>
      <w:r>
        <w:rPr>
          <w:rFonts w:ascii="宋体" w:hAnsi="宋体" w:cs="宋体" w:eastAsia="宋体" w:hint="default"/>
        </w:rPr>
        <w:t>0.00</w:t>
      </w:r>
      <w:r>
        <w:rPr>
          <w:rFonts w:ascii="宋体" w:hAnsi="宋体" w:cs="宋体" w:eastAsia="宋体" w:hint="default"/>
          <w:spacing w:val="-52"/>
        </w:rPr>
        <w:t> </w:t>
      </w:r>
      <w:r>
        <w:rPr/>
        <w:t>元。</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本期实际核销的应收账款情况" w:id="429"/>
      <w:bookmarkEnd w:id="429"/>
      <w:r>
        <w:rPr>
          <w:b w:val="0"/>
          <w:bCs w:val="0"/>
        </w:rPr>
      </w:r>
      <w:r>
        <w:rPr/>
        <w:t>（</w:t>
      </w:r>
      <w:r>
        <w:rPr>
          <w:rFonts w:ascii="宋体" w:hAnsi="宋体" w:cs="宋体" w:eastAsia="宋体" w:hint="default"/>
        </w:rPr>
        <w:t>3</w:t>
      </w:r>
      <w:r>
        <w:rPr/>
        <w:t>）本期实际核销的应收账款情况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4）按欠款方归集的期末余额前五吊的应收账款情况" w:id="430"/>
      <w:bookmarkEnd w:id="430"/>
      <w:r>
        <w:rPr>
          <w:b w:val="0"/>
          <w:bCs w:val="0"/>
        </w:rPr>
      </w:r>
      <w:r>
        <w:rPr/>
        <w:t>（</w:t>
      </w:r>
      <w:r>
        <w:rPr>
          <w:rFonts w:ascii="宋体" w:hAnsi="宋体" w:cs="宋体" w:eastAsia="宋体"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9"/>
          <w:szCs w:val="9"/>
        </w:rPr>
      </w:pPr>
    </w:p>
    <w:tbl>
      <w:tblPr>
        <w:tblW w:w="0" w:type="auto"/>
        <w:jc w:val="left"/>
        <w:tblInd w:w="122" w:type="dxa"/>
        <w:tblLayout w:type="fixed"/>
        <w:tblCellMar>
          <w:top w:w="0" w:type="dxa"/>
          <w:left w:w="0" w:type="dxa"/>
          <w:bottom w:w="0" w:type="dxa"/>
          <w:right w:w="0" w:type="dxa"/>
        </w:tblCellMar>
        <w:tblLook w:val="01E0"/>
      </w:tblPr>
      <w:tblGrid>
        <w:gridCol w:w="3119"/>
        <w:gridCol w:w="1562"/>
        <w:gridCol w:w="2000"/>
        <w:gridCol w:w="992"/>
        <w:gridCol w:w="1969"/>
      </w:tblGrid>
      <w:tr>
        <w:trPr>
          <w:trHeight w:val="440" w:hRule="exact"/>
        </w:trPr>
        <w:tc>
          <w:tcPr>
            <w:tcW w:w="311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0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right="104"/>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left="308"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96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3"/>
              <w:ind w:left="6" w:right="0"/>
              <w:jc w:val="center"/>
              <w:rPr>
                <w:rFonts w:ascii="宋体" w:hAnsi="宋体" w:cs="宋体" w:eastAsia="宋体" w:hint="default"/>
                <w:sz w:val="18"/>
                <w:szCs w:val="18"/>
              </w:rPr>
            </w:pPr>
            <w:r>
              <w:rPr>
                <w:rFonts w:ascii="宋体" w:hAnsi="宋体" w:cs="宋体" w:eastAsia="宋体" w:hint="default"/>
                <w:sz w:val="18"/>
                <w:szCs w:val="18"/>
              </w:rPr>
              <w:t>占应收账款总额比例</w:t>
            </w:r>
            <w:r>
              <w:rPr>
                <w:rFonts w:ascii="宋体" w:hAnsi="宋体" w:cs="宋体" w:eastAsia="宋体" w:hint="default"/>
                <w:sz w:val="18"/>
                <w:szCs w:val="18"/>
              </w:rPr>
              <w:t>%</w:t>
            </w:r>
          </w:p>
        </w:tc>
      </w:tr>
      <w:tr>
        <w:trPr>
          <w:trHeight w:val="432"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江苏省电力公司物资供应公司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2"/>
              <w:jc w:val="right"/>
              <w:rPr>
                <w:rFonts w:ascii="宋体" w:hAnsi="宋体" w:cs="宋体" w:eastAsia="宋体" w:hint="default"/>
                <w:sz w:val="18"/>
                <w:szCs w:val="18"/>
              </w:rPr>
            </w:pPr>
            <w:r>
              <w:rPr>
                <w:rFonts w:ascii="宋体"/>
                <w:sz w:val="18"/>
              </w:rPr>
              <w:t>42,662,698.24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7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6" w:right="0"/>
              <w:jc w:val="center"/>
              <w:rPr>
                <w:rFonts w:ascii="宋体" w:hAnsi="宋体" w:cs="宋体" w:eastAsia="宋体" w:hint="default"/>
                <w:sz w:val="18"/>
                <w:szCs w:val="18"/>
              </w:rPr>
            </w:pPr>
            <w:r>
              <w:rPr>
                <w:rFonts w:ascii="宋体"/>
                <w:sz w:val="18"/>
              </w:rPr>
              <w:t>14.71</w:t>
            </w:r>
          </w:p>
        </w:tc>
      </w:tr>
      <w:tr>
        <w:trPr>
          <w:trHeight w:val="432"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国网山东省电力公司物资公司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2"/>
              <w:jc w:val="right"/>
              <w:rPr>
                <w:rFonts w:ascii="宋体" w:hAnsi="宋体" w:cs="宋体" w:eastAsia="宋体" w:hint="default"/>
                <w:sz w:val="18"/>
                <w:szCs w:val="18"/>
              </w:rPr>
            </w:pPr>
            <w:r>
              <w:rPr>
                <w:rFonts w:ascii="宋体"/>
                <w:sz w:val="18"/>
              </w:rPr>
              <w:t>40,724,669.89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7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6" w:right="0"/>
              <w:jc w:val="center"/>
              <w:rPr>
                <w:rFonts w:ascii="宋体" w:hAnsi="宋体" w:cs="宋体" w:eastAsia="宋体" w:hint="default"/>
                <w:sz w:val="18"/>
                <w:szCs w:val="18"/>
              </w:rPr>
            </w:pPr>
            <w:r>
              <w:rPr>
                <w:rFonts w:ascii="宋体"/>
                <w:sz w:val="18"/>
              </w:rPr>
              <w:t>14.04</w:t>
            </w:r>
          </w:p>
        </w:tc>
      </w:tr>
      <w:tr>
        <w:trPr>
          <w:trHeight w:val="432"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国网河南省电力公司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2"/>
              <w:jc w:val="right"/>
              <w:rPr>
                <w:rFonts w:ascii="宋体" w:hAnsi="宋体" w:cs="宋体" w:eastAsia="宋体" w:hint="default"/>
                <w:sz w:val="18"/>
                <w:szCs w:val="18"/>
              </w:rPr>
            </w:pPr>
            <w:r>
              <w:rPr>
                <w:rFonts w:ascii="宋体"/>
                <w:sz w:val="18"/>
              </w:rPr>
              <w:t>14,189,231.00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7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sz w:val="18"/>
              </w:rPr>
              <w:t>4.89</w:t>
            </w:r>
          </w:p>
        </w:tc>
      </w:tr>
      <w:tr>
        <w:trPr>
          <w:trHeight w:val="432"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上海宏力达信息技术有限公司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2"/>
              <w:jc w:val="right"/>
              <w:rPr>
                <w:rFonts w:ascii="宋体" w:hAnsi="宋体" w:cs="宋体" w:eastAsia="宋体" w:hint="default"/>
                <w:sz w:val="18"/>
                <w:szCs w:val="18"/>
              </w:rPr>
            </w:pPr>
            <w:r>
              <w:rPr>
                <w:rFonts w:ascii="宋体"/>
                <w:sz w:val="18"/>
              </w:rPr>
              <w:t>10,913,926.00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07"/>
              <w:jc w:val="center"/>
              <w:rPr>
                <w:rFonts w:ascii="宋体" w:hAnsi="宋体" w:cs="宋体" w:eastAsia="宋体" w:hint="default"/>
                <w:sz w:val="18"/>
                <w:szCs w:val="18"/>
              </w:rPr>
            </w:pPr>
            <w:r>
              <w:rPr>
                <w:rFonts w:ascii="宋体"/>
                <w:sz w:val="18"/>
              </w:rPr>
              <w:t>*</w:t>
            </w:r>
          </w:p>
        </w:tc>
        <w:tc>
          <w:tcPr>
            <w:tcW w:w="1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sz w:val="18"/>
              </w:rPr>
              <w:t>3.76</w:t>
            </w:r>
          </w:p>
        </w:tc>
      </w:tr>
      <w:tr>
        <w:trPr>
          <w:trHeight w:val="432"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重庆市电力公司物资供应公司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2"/>
              <w:jc w:val="right"/>
              <w:rPr>
                <w:rFonts w:ascii="宋体" w:hAnsi="宋体" w:cs="宋体" w:eastAsia="宋体" w:hint="default"/>
                <w:sz w:val="18"/>
                <w:szCs w:val="18"/>
              </w:rPr>
            </w:pPr>
            <w:r>
              <w:rPr>
                <w:rFonts w:ascii="宋体"/>
                <w:sz w:val="18"/>
              </w:rPr>
              <w:t>10,483,235.79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7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sz w:val="18"/>
              </w:rPr>
              <w:t>3.61</w:t>
            </w:r>
          </w:p>
        </w:tc>
      </w:tr>
      <w:tr>
        <w:trPr>
          <w:trHeight w:val="440" w:hRule="exact"/>
        </w:trPr>
        <w:tc>
          <w:tcPr>
            <w:tcW w:w="311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6" w:space="0" w:color="000000"/>
              <w:bottom w:val="single" w:sz="12" w:space="0" w:color="000000"/>
              <w:right w:val="single" w:sz="6" w:space="0" w:color="000000"/>
            </w:tcBorders>
          </w:tcPr>
          <w:p>
            <w:pPr/>
          </w:p>
        </w:tc>
        <w:tc>
          <w:tcPr>
            <w:tcW w:w="20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132"/>
              <w:jc w:val="right"/>
              <w:rPr>
                <w:rFonts w:ascii="宋体" w:hAnsi="宋体" w:cs="宋体" w:eastAsia="宋体" w:hint="default"/>
                <w:sz w:val="18"/>
                <w:szCs w:val="18"/>
              </w:rPr>
            </w:pPr>
            <w:r>
              <w:rPr>
                <w:rFonts w:ascii="宋体"/>
                <w:sz w:val="18"/>
              </w:rPr>
              <w:t>118,973,760.92</w:t>
            </w:r>
          </w:p>
        </w:tc>
        <w:tc>
          <w:tcPr>
            <w:tcW w:w="992" w:type="dxa"/>
            <w:tcBorders>
              <w:top w:val="single" w:sz="6" w:space="0" w:color="000000"/>
              <w:left w:val="single" w:sz="6" w:space="0" w:color="000000"/>
              <w:bottom w:val="single" w:sz="12" w:space="0" w:color="000000"/>
              <w:right w:val="single" w:sz="6" w:space="0" w:color="000000"/>
            </w:tcBorders>
          </w:tcPr>
          <w:p>
            <w:pPr/>
          </w:p>
        </w:tc>
        <w:tc>
          <w:tcPr>
            <w:tcW w:w="19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3"/>
              <w:ind w:left="6" w:right="0"/>
              <w:jc w:val="center"/>
              <w:rPr>
                <w:rFonts w:ascii="宋体" w:hAnsi="宋体" w:cs="宋体" w:eastAsia="宋体" w:hint="default"/>
                <w:sz w:val="18"/>
                <w:szCs w:val="18"/>
              </w:rPr>
            </w:pPr>
            <w:r>
              <w:rPr>
                <w:rFonts w:ascii="宋体"/>
                <w:sz w:val="18"/>
              </w:rPr>
              <w:t>41.01</w:t>
            </w:r>
          </w:p>
        </w:tc>
      </w:tr>
    </w:tbl>
    <w:p>
      <w:pPr>
        <w:pStyle w:val="BodyText"/>
        <w:spacing w:line="240" w:lineRule="auto" w:before="63"/>
        <w:ind w:left="154" w:right="0"/>
        <w:jc w:val="left"/>
      </w:pPr>
      <w:r>
        <w:rPr>
          <w:rFonts w:ascii="宋体" w:hAnsi="宋体" w:cs="宋体" w:eastAsia="宋体" w:hint="default"/>
        </w:rPr>
        <w:t>*1</w:t>
      </w:r>
      <w:r>
        <w:rPr>
          <w:rFonts w:ascii="宋体" w:hAnsi="宋体" w:cs="宋体" w:eastAsia="宋体" w:hint="default"/>
          <w:spacing w:val="-54"/>
        </w:rPr>
        <w:t> </w:t>
      </w:r>
      <w:r>
        <w:rPr/>
        <w:t>年以内</w:t>
      </w:r>
      <w:r>
        <w:rPr>
          <w:spacing w:val="-54"/>
        </w:rPr>
        <w:t> </w:t>
      </w:r>
      <w:r>
        <w:rPr>
          <w:rFonts w:ascii="宋体" w:hAnsi="宋体" w:cs="宋体" w:eastAsia="宋体" w:hint="default"/>
        </w:rPr>
        <w:t>8,900.00</w:t>
      </w:r>
      <w:r>
        <w:rPr>
          <w:rFonts w:ascii="宋体" w:hAnsi="宋体" w:cs="宋体" w:eastAsia="宋体" w:hint="default"/>
          <w:spacing w:val="-53"/>
        </w:rPr>
        <w:t> </w:t>
      </w:r>
      <w:r>
        <w:rPr/>
        <w:t>元，</w:t>
      </w:r>
      <w:r>
        <w:rPr>
          <w:rFonts w:ascii="宋体" w:hAnsi="宋体" w:cs="宋体" w:eastAsia="宋体" w:hint="default"/>
        </w:rPr>
        <w:t>1-2</w:t>
      </w:r>
      <w:r>
        <w:rPr>
          <w:rFonts w:ascii="宋体" w:hAnsi="宋体" w:cs="宋体" w:eastAsia="宋体" w:hint="default"/>
          <w:spacing w:val="-55"/>
        </w:rPr>
        <w:t> </w:t>
      </w:r>
      <w:r>
        <w:rPr/>
        <w:t>年</w:t>
      </w:r>
      <w:r>
        <w:rPr>
          <w:spacing w:val="-55"/>
        </w:rPr>
        <w:t> </w:t>
      </w:r>
      <w:r>
        <w:rPr>
          <w:rFonts w:ascii="宋体" w:hAnsi="宋体" w:cs="宋体" w:eastAsia="宋体" w:hint="default"/>
        </w:rPr>
        <w:t>10,905,026.00</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Heading4"/>
        <w:spacing w:line="240" w:lineRule="auto"/>
        <w:ind w:left="153" w:right="0"/>
        <w:jc w:val="left"/>
        <w:rPr>
          <w:b w:val="0"/>
          <w:bCs w:val="0"/>
        </w:rPr>
      </w:pPr>
      <w:bookmarkStart w:name="（5）因金融资产转移而终止确认的应收账款" w:id="431"/>
      <w:bookmarkEnd w:id="431"/>
      <w:r>
        <w:rPr>
          <w:b w:val="0"/>
          <w:bCs w:val="0"/>
        </w:rPr>
      </w:r>
      <w:r>
        <w:rPr/>
        <w:t>（</w:t>
      </w:r>
      <w:r>
        <w:rPr>
          <w:rFonts w:ascii="宋体" w:hAnsi="宋体" w:cs="宋体" w:eastAsia="宋体" w:hint="default"/>
        </w:rPr>
        <w:t>5</w:t>
      </w:r>
      <w:r>
        <w:rPr/>
        <w:t>）因金融资产转移而终止确认的应收账款</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6）转移应收账款且继续涉入形成的资产、负债金额" w:id="432"/>
      <w:bookmarkEnd w:id="432"/>
      <w:r>
        <w:rPr>
          <w:b w:val="0"/>
          <w:bCs w:val="0"/>
        </w:rPr>
      </w:r>
      <w:r>
        <w:rPr/>
        <w:t>（</w:t>
      </w:r>
      <w:r>
        <w:rPr>
          <w:rFonts w:ascii="宋体" w:hAnsi="宋体" w:cs="宋体" w:eastAsia="宋体"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left="753" w:right="789"/>
        <w:jc w:val="left"/>
      </w:pPr>
      <w:r>
        <w:rPr/>
        <w:t>其他说明：</w:t>
      </w:r>
    </w:p>
    <w:p>
      <w:pPr>
        <w:spacing w:line="240" w:lineRule="auto" w:before="10"/>
        <w:rPr>
          <w:rFonts w:ascii="宋体" w:hAnsi="宋体" w:cs="宋体" w:eastAsia="宋体" w:hint="default"/>
          <w:sz w:val="14"/>
          <w:szCs w:val="14"/>
        </w:rPr>
      </w:pPr>
    </w:p>
    <w:p>
      <w:pPr>
        <w:pStyle w:val="BodyText"/>
        <w:spacing w:line="408" w:lineRule="auto" w:before="0"/>
        <w:ind w:left="754" w:right="789"/>
        <w:jc w:val="left"/>
      </w:pPr>
      <w:r>
        <w:rPr/>
        <w:t>应收账款年末余额数比年初数增加</w:t>
      </w:r>
      <w:r>
        <w:rPr>
          <w:spacing w:val="-54"/>
        </w:rPr>
        <w:t> </w:t>
      </w:r>
      <w:r>
        <w:rPr>
          <w:rFonts w:ascii="宋体" w:hAnsi="宋体" w:cs="宋体" w:eastAsia="宋体" w:hint="default"/>
        </w:rPr>
        <w:t>122,236,105.98</w:t>
      </w:r>
      <w:r>
        <w:rPr>
          <w:rFonts w:ascii="宋体" w:hAnsi="宋体" w:cs="宋体" w:eastAsia="宋体" w:hint="default"/>
          <w:spacing w:val="-53"/>
        </w:rPr>
        <w:t> </w:t>
      </w:r>
      <w:r>
        <w:rPr/>
        <w:t>元，增加比例为</w:t>
      </w:r>
      <w:r>
        <w:rPr>
          <w:spacing w:val="-55"/>
        </w:rPr>
        <w:t> </w:t>
      </w:r>
      <w:r>
        <w:rPr>
          <w:rFonts w:ascii="宋体" w:hAnsi="宋体" w:cs="宋体" w:eastAsia="宋体" w:hint="default"/>
        </w:rPr>
        <w:t>72.82%</w:t>
      </w:r>
      <w:r>
        <w:rPr/>
        <w:t>，增加原因为：随着国网统一 招标，公司中标区域扩大，客户集中度风险下降，回款周期加长所致。</w:t>
      </w:r>
    </w:p>
    <w:p>
      <w:pPr>
        <w:pStyle w:val="Heading4"/>
        <w:spacing w:line="240" w:lineRule="auto" w:before="46"/>
        <w:ind w:left="754" w:right="789"/>
        <w:jc w:val="left"/>
        <w:rPr>
          <w:b w:val="0"/>
          <w:bCs w:val="0"/>
        </w:rPr>
      </w:pPr>
      <w:bookmarkStart w:name="2、其他应收款" w:id="433"/>
      <w:bookmarkEnd w:id="433"/>
      <w:r>
        <w:rPr>
          <w:b w:val="0"/>
          <w:bCs w:val="0"/>
        </w:rPr>
      </w:r>
      <w:r>
        <w:rPr>
          <w:rFonts w:ascii="宋体" w:hAnsi="宋体" w:cs="宋体" w:eastAsia="宋体" w:hint="default"/>
        </w:rPr>
        <w:t>2</w:t>
      </w:r>
      <w:r>
        <w:rPr/>
        <w:t>、其他应收款</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754" w:right="789"/>
        <w:jc w:val="left"/>
        <w:rPr>
          <w:b w:val="0"/>
          <w:bCs w:val="0"/>
        </w:rPr>
      </w:pPr>
      <w:bookmarkStart w:name="（1）其他应收款分类披露" w:id="434"/>
      <w:bookmarkEnd w:id="434"/>
      <w:r>
        <w:rPr>
          <w:b w:val="0"/>
          <w:bCs w:val="0"/>
        </w:rPr>
      </w:r>
      <w:r>
        <w:rPr/>
        <w:t>（</w:t>
      </w:r>
      <w:r>
        <w:rPr>
          <w:rFonts w:ascii="宋体" w:hAnsi="宋体" w:cs="宋体" w:eastAsia="宋体" w:hint="default"/>
        </w:rPr>
        <w:t>1</w:t>
      </w:r>
      <w:r>
        <w:rPr/>
        <w:t>）其他应收款分类披露</w:t>
      </w:r>
      <w:r>
        <w:rPr>
          <w:b w:val="0"/>
          <w:bCs w:val="0"/>
        </w:rPr>
      </w:r>
    </w:p>
    <w:p>
      <w:pPr>
        <w:spacing w:before="140"/>
        <w:ind w:left="0" w:right="7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682"/>
        <w:gridCol w:w="1287"/>
        <w:gridCol w:w="708"/>
        <w:gridCol w:w="1276"/>
        <w:gridCol w:w="567"/>
        <w:gridCol w:w="1277"/>
        <w:gridCol w:w="1276"/>
        <w:gridCol w:w="710"/>
        <w:gridCol w:w="1274"/>
        <w:gridCol w:w="568"/>
        <w:gridCol w:w="1275"/>
      </w:tblGrid>
      <w:tr>
        <w:trPr>
          <w:trHeight w:val="335" w:hRule="exact"/>
        </w:trPr>
        <w:tc>
          <w:tcPr>
            <w:tcW w:w="682" w:type="dxa"/>
            <w:vMerge w:val="restart"/>
            <w:tcBorders>
              <w:top w:val="single" w:sz="12" w:space="0" w:color="000000"/>
              <w:left w:val="single" w:sz="12" w:space="0" w:color="000000"/>
              <w:right w:val="single" w:sz="6" w:space="0" w:color="000000"/>
            </w:tcBorders>
            <w:shd w:val="clear" w:color="auto" w:fill="D2D2D2"/>
          </w:tcPr>
          <w:p>
            <w:pPr/>
          </w:p>
        </w:tc>
        <w:tc>
          <w:tcPr>
            <w:tcW w:w="5115" w:type="dxa"/>
            <w:gridSpan w:val="5"/>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03" w:type="dxa"/>
            <w:gridSpan w:val="5"/>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3" w:hRule="exact"/>
        </w:trPr>
        <w:tc>
          <w:tcPr>
            <w:tcW w:w="682" w:type="dxa"/>
            <w:vMerge/>
            <w:tcBorders>
              <w:left w:val="single" w:sz="12" w:space="0" w:color="000000"/>
              <w:bottom w:val="nil" w:sz="6" w:space="0" w:color="auto"/>
              <w:right w:val="single" w:sz="6" w:space="0" w:color="000000"/>
            </w:tcBorders>
            <w:shd w:val="clear" w:color="auto" w:fill="D2D2D2"/>
          </w:tcPr>
          <w:p>
            <w:pPr/>
          </w:p>
        </w:tc>
        <w:tc>
          <w:tcPr>
            <w:tcW w:w="199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left="6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6" w:space="0" w:color="000000"/>
              <w:left w:val="single" w:sz="6" w:space="0" w:color="000000"/>
              <w:right w:val="single" w:sz="6" w:space="0" w:color="000000"/>
            </w:tcBorders>
            <w:shd w:val="clear" w:color="auto" w:fill="D2D2D2"/>
          </w:tcPr>
          <w:p>
            <w:pPr/>
          </w:p>
        </w:tc>
        <w:tc>
          <w:tcPr>
            <w:tcW w:w="198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left="55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5" w:type="dxa"/>
            <w:vMerge w:val="restart"/>
            <w:tcBorders>
              <w:top w:val="single" w:sz="6" w:space="0" w:color="000000"/>
              <w:left w:val="single" w:sz="6" w:space="0" w:color="000000"/>
              <w:right w:val="single" w:sz="12" w:space="0" w:color="000000"/>
            </w:tcBorders>
            <w:shd w:val="clear" w:color="auto" w:fill="D2D2D2"/>
          </w:tcPr>
          <w:p>
            <w:pPr/>
          </w:p>
        </w:tc>
      </w:tr>
      <w:tr>
        <w:trPr>
          <w:trHeight w:val="164" w:hRule="exact"/>
        </w:trPr>
        <w:tc>
          <w:tcPr>
            <w:tcW w:w="68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95" w:type="dxa"/>
            <w:gridSpan w:val="2"/>
            <w:vMerge/>
            <w:tcBorders>
              <w:left w:val="single" w:sz="6" w:space="0" w:color="000000"/>
              <w:bottom w:val="single" w:sz="6" w:space="0" w:color="000000"/>
              <w:right w:val="single" w:sz="6" w:space="0" w:color="000000"/>
            </w:tcBorders>
            <w:shd w:val="clear" w:color="auto" w:fill="D2D2D2"/>
          </w:tcPr>
          <w:p>
            <w:pPr/>
          </w:p>
        </w:tc>
        <w:tc>
          <w:tcPr>
            <w:tcW w:w="1842" w:type="dxa"/>
            <w:gridSpan w:val="2"/>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1985" w:type="dxa"/>
            <w:gridSpan w:val="2"/>
            <w:vMerge/>
            <w:tcBorders>
              <w:left w:val="single" w:sz="6" w:space="0" w:color="000000"/>
              <w:bottom w:val="single" w:sz="6" w:space="0" w:color="000000"/>
              <w:right w:val="single" w:sz="6" w:space="0" w:color="000000"/>
            </w:tcBorders>
            <w:shd w:val="clear" w:color="auto" w:fill="D2D2D2"/>
          </w:tcPr>
          <w:p>
            <w:pPr/>
          </w:p>
        </w:tc>
        <w:tc>
          <w:tcPr>
            <w:tcW w:w="1842" w:type="dxa"/>
            <w:gridSpan w:val="2"/>
            <w:vMerge/>
            <w:tcBorders>
              <w:left w:val="single" w:sz="6" w:space="0" w:color="000000"/>
              <w:bottom w:val="single" w:sz="6" w:space="0" w:color="000000"/>
              <w:right w:val="single" w:sz="6" w:space="0" w:color="000000"/>
            </w:tcBorders>
            <w:shd w:val="clear" w:color="auto" w:fill="D2D2D2"/>
          </w:tcPr>
          <w:p>
            <w:pPr/>
          </w:p>
        </w:tc>
        <w:tc>
          <w:tcPr>
            <w:tcW w:w="1275" w:type="dxa"/>
            <w:vMerge/>
            <w:tcBorders>
              <w:left w:val="single" w:sz="6" w:space="0" w:color="000000"/>
              <w:bottom w:val="nil" w:sz="6" w:space="0" w:color="auto"/>
              <w:right w:val="single" w:sz="12" w:space="0" w:color="000000"/>
            </w:tcBorders>
            <w:shd w:val="clear" w:color="auto" w:fill="D2D2D2"/>
          </w:tcPr>
          <w:p>
            <w:pPr/>
          </w:p>
        </w:tc>
      </w:tr>
      <w:tr>
        <w:trPr>
          <w:trHeight w:val="164" w:hRule="exact"/>
        </w:trPr>
        <w:tc>
          <w:tcPr>
            <w:tcW w:w="682" w:type="dxa"/>
            <w:vMerge/>
            <w:tcBorders>
              <w:left w:val="single" w:sz="12" w:space="0" w:color="000000"/>
              <w:bottom w:val="nil" w:sz="6" w:space="0" w:color="auto"/>
              <w:right w:val="single" w:sz="6" w:space="0" w:color="000000"/>
            </w:tcBorders>
            <w:shd w:val="clear" w:color="auto" w:fill="D2D2D2"/>
          </w:tcPr>
          <w:p>
            <w:pPr/>
          </w:p>
        </w:tc>
        <w:tc>
          <w:tcPr>
            <w:tcW w:w="1287" w:type="dxa"/>
            <w:tcBorders>
              <w:top w:val="single" w:sz="6" w:space="0" w:color="000000"/>
              <w:left w:val="single" w:sz="6" w:space="0" w:color="000000"/>
              <w:bottom w:val="nil" w:sz="6" w:space="0" w:color="auto"/>
              <w:right w:val="single" w:sz="6" w:space="0" w:color="000000"/>
            </w:tcBorders>
            <w:shd w:val="clear" w:color="auto" w:fill="D2D2D2"/>
          </w:tcPr>
          <w:p>
            <w:pPr/>
          </w:p>
        </w:tc>
        <w:tc>
          <w:tcPr>
            <w:tcW w:w="708"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6" w:type="dxa"/>
            <w:tcBorders>
              <w:top w:val="single" w:sz="6" w:space="0" w:color="000000"/>
              <w:left w:val="single" w:sz="6" w:space="0" w:color="000000"/>
              <w:bottom w:val="nil" w:sz="6" w:space="0" w:color="auto"/>
              <w:right w:val="single" w:sz="6" w:space="0" w:color="000000"/>
            </w:tcBorders>
            <w:shd w:val="clear" w:color="auto" w:fill="D2D2D2"/>
          </w:tcPr>
          <w:p>
            <w:pPr/>
          </w:p>
        </w:tc>
        <w:tc>
          <w:tcPr>
            <w:tcW w:w="567"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1"/>
              <w:ind w:left="95" w:right="94"/>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1"/>
              <w:ind w:left="27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6" w:type="dxa"/>
            <w:tcBorders>
              <w:top w:val="single" w:sz="6" w:space="0" w:color="000000"/>
              <w:left w:val="single" w:sz="6" w:space="0" w:color="000000"/>
              <w:bottom w:val="nil" w:sz="6" w:space="0" w:color="auto"/>
              <w:right w:val="single" w:sz="6" w:space="0" w:color="000000"/>
            </w:tcBorders>
            <w:shd w:val="clear" w:color="auto" w:fill="D2D2D2"/>
          </w:tcPr>
          <w:p>
            <w:pPr/>
          </w:p>
        </w:tc>
        <w:tc>
          <w:tcPr>
            <w:tcW w:w="710" w:type="dxa"/>
            <w:tcBorders>
              <w:top w:val="single" w:sz="6" w:space="0" w:color="000000"/>
              <w:left w:val="single" w:sz="6" w:space="0" w:color="000000"/>
              <w:bottom w:val="nil" w:sz="6" w:space="0" w:color="auto"/>
              <w:right w:val="single" w:sz="6" w:space="0" w:color="000000"/>
            </w:tcBorders>
            <w:shd w:val="clear" w:color="auto" w:fill="D2D2D2"/>
          </w:tcPr>
          <w:p>
            <w:pPr/>
          </w:p>
        </w:tc>
        <w:tc>
          <w:tcPr>
            <w:tcW w:w="1274" w:type="dxa"/>
            <w:tcBorders>
              <w:top w:val="single" w:sz="6" w:space="0" w:color="000000"/>
              <w:left w:val="single" w:sz="6" w:space="0" w:color="000000"/>
              <w:bottom w:val="nil" w:sz="6" w:space="0" w:color="auto"/>
              <w:right w:val="single" w:sz="6" w:space="0" w:color="000000"/>
            </w:tcBorders>
            <w:shd w:val="clear" w:color="auto" w:fill="D2D2D2"/>
          </w:tcPr>
          <w:p>
            <w:pPr/>
          </w:p>
        </w:tc>
        <w:tc>
          <w:tcPr>
            <w:tcW w:w="568"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11"/>
              <w:ind w:left="97" w:right="9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5" w:type="dxa"/>
            <w:vMerge w:val="restart"/>
            <w:tcBorders>
              <w:top w:val="nil" w:sz="6" w:space="0" w:color="auto"/>
              <w:left w:val="single" w:sz="6" w:space="0" w:color="000000"/>
              <w:right w:val="single" w:sz="12" w:space="0" w:color="000000"/>
            </w:tcBorders>
            <w:shd w:val="clear" w:color="auto" w:fill="D2D2D2"/>
          </w:tcPr>
          <w:p>
            <w:pPr>
              <w:pStyle w:val="TableParagraph"/>
              <w:spacing w:line="240" w:lineRule="auto" w:before="11"/>
              <w:ind w:left="26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49" w:hRule="exact"/>
        </w:trPr>
        <w:tc>
          <w:tcPr>
            <w:tcW w:w="682" w:type="dxa"/>
            <w:vMerge w:val="restart"/>
            <w:tcBorders>
              <w:top w:val="nil" w:sz="6" w:space="0" w:color="auto"/>
              <w:left w:val="single" w:sz="12" w:space="0" w:color="000000"/>
              <w:right w:val="single" w:sz="6" w:space="0" w:color="000000"/>
            </w:tcBorders>
            <w:shd w:val="clear" w:color="auto" w:fill="D2D2D2"/>
          </w:tcPr>
          <w:p>
            <w:pPr/>
          </w:p>
        </w:tc>
        <w:tc>
          <w:tcPr>
            <w:tcW w:w="128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7" w:type="dxa"/>
            <w:vMerge/>
            <w:tcBorders>
              <w:left w:val="single" w:sz="6" w:space="0" w:color="000000"/>
              <w:right w:val="single" w:sz="6" w:space="0" w:color="000000"/>
            </w:tcBorders>
            <w:shd w:val="clear" w:color="auto" w:fill="D2D2D2"/>
          </w:tcPr>
          <w:p>
            <w:pPr/>
          </w:p>
        </w:tc>
        <w:tc>
          <w:tcPr>
            <w:tcW w:w="1277" w:type="dxa"/>
            <w:vMerge/>
            <w:tcBorders>
              <w:left w:val="single" w:sz="6" w:space="0" w:color="000000"/>
              <w:bottom w:val="nil" w:sz="6" w:space="0" w:color="auto"/>
              <w:right w:val="single" w:sz="6" w:space="0" w:color="000000"/>
            </w:tcBorders>
            <w:shd w:val="clear" w:color="auto" w:fill="D2D2D2"/>
          </w:tcPr>
          <w:p>
            <w:pPr/>
          </w:p>
        </w:tc>
        <w:tc>
          <w:tcPr>
            <w:tcW w:w="12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6" w:space="0" w:color="000000"/>
              <w:right w:val="single" w:sz="6" w:space="0" w:color="000000"/>
            </w:tcBorders>
            <w:shd w:val="clear" w:color="auto" w:fill="D2D2D2"/>
          </w:tcPr>
          <w:p>
            <w:pPr/>
          </w:p>
        </w:tc>
        <w:tc>
          <w:tcPr>
            <w:tcW w:w="1275" w:type="dxa"/>
            <w:vMerge/>
            <w:tcBorders>
              <w:left w:val="single" w:sz="6" w:space="0" w:color="000000"/>
              <w:bottom w:val="nil" w:sz="6" w:space="0" w:color="auto"/>
              <w:right w:val="single" w:sz="12" w:space="0" w:color="000000"/>
            </w:tcBorders>
            <w:shd w:val="clear" w:color="auto" w:fill="D2D2D2"/>
          </w:tcPr>
          <w:p>
            <w:pPr/>
          </w:p>
        </w:tc>
      </w:tr>
      <w:tr>
        <w:trPr>
          <w:trHeight w:val="163" w:hRule="exact"/>
        </w:trPr>
        <w:tc>
          <w:tcPr>
            <w:tcW w:w="682" w:type="dxa"/>
            <w:vMerge/>
            <w:tcBorders>
              <w:left w:val="single" w:sz="12" w:space="0" w:color="000000"/>
              <w:right w:val="single" w:sz="6" w:space="0" w:color="000000"/>
            </w:tcBorders>
            <w:shd w:val="clear" w:color="auto" w:fill="D2D2D2"/>
          </w:tcPr>
          <w:p>
            <w:pPr/>
          </w:p>
        </w:tc>
        <w:tc>
          <w:tcPr>
            <w:tcW w:w="1287" w:type="dxa"/>
            <w:vMerge/>
            <w:tcBorders>
              <w:left w:val="single" w:sz="6" w:space="0" w:color="000000"/>
              <w:bottom w:val="nil" w:sz="6" w:space="0" w:color="auto"/>
              <w:right w:val="single" w:sz="6" w:space="0" w:color="000000"/>
            </w:tcBorders>
            <w:shd w:val="clear" w:color="auto" w:fill="D2D2D2"/>
          </w:tcPr>
          <w:p>
            <w:pPr/>
          </w:p>
        </w:tc>
        <w:tc>
          <w:tcPr>
            <w:tcW w:w="708" w:type="dxa"/>
            <w:vMerge/>
            <w:tcBorders>
              <w:left w:val="single" w:sz="6" w:space="0" w:color="000000"/>
              <w:bottom w:val="nil" w:sz="6" w:space="0" w:color="auto"/>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567" w:type="dxa"/>
            <w:vMerge/>
            <w:tcBorders>
              <w:left w:val="single" w:sz="6" w:space="0" w:color="000000"/>
              <w:right w:val="single" w:sz="6" w:space="0" w:color="000000"/>
            </w:tcBorders>
            <w:shd w:val="clear" w:color="auto" w:fill="D2D2D2"/>
          </w:tcPr>
          <w:p>
            <w:pPr/>
          </w:p>
        </w:tc>
        <w:tc>
          <w:tcPr>
            <w:tcW w:w="1277" w:type="dxa"/>
            <w:vMerge w:val="restart"/>
            <w:tcBorders>
              <w:top w:val="nil" w:sz="6" w:space="0" w:color="auto"/>
              <w:left w:val="single" w:sz="6" w:space="0" w:color="000000"/>
              <w:right w:val="single" w:sz="6" w:space="0" w:color="000000"/>
            </w:tcBorders>
            <w:shd w:val="clear" w:color="auto" w:fill="D2D2D2"/>
          </w:tcPr>
          <w:p>
            <w:pPr/>
          </w:p>
        </w:tc>
        <w:tc>
          <w:tcPr>
            <w:tcW w:w="1276" w:type="dxa"/>
            <w:vMerge/>
            <w:tcBorders>
              <w:left w:val="single" w:sz="6" w:space="0" w:color="000000"/>
              <w:bottom w:val="nil" w:sz="6" w:space="0" w:color="auto"/>
              <w:right w:val="single" w:sz="6" w:space="0" w:color="000000"/>
            </w:tcBorders>
            <w:shd w:val="clear" w:color="auto" w:fill="D2D2D2"/>
          </w:tcPr>
          <w:p>
            <w:pPr/>
          </w:p>
        </w:tc>
        <w:tc>
          <w:tcPr>
            <w:tcW w:w="710" w:type="dxa"/>
            <w:vMerge/>
            <w:tcBorders>
              <w:left w:val="single" w:sz="6" w:space="0" w:color="000000"/>
              <w:bottom w:val="nil" w:sz="6" w:space="0" w:color="auto"/>
              <w:right w:val="single" w:sz="6" w:space="0" w:color="000000"/>
            </w:tcBorders>
            <w:shd w:val="clear" w:color="auto" w:fill="D2D2D2"/>
          </w:tcPr>
          <w:p>
            <w:pPr/>
          </w:p>
        </w:tc>
        <w:tc>
          <w:tcPr>
            <w:tcW w:w="1274" w:type="dxa"/>
            <w:vMerge/>
            <w:tcBorders>
              <w:left w:val="single" w:sz="6" w:space="0" w:color="000000"/>
              <w:bottom w:val="nil" w:sz="6" w:space="0" w:color="auto"/>
              <w:right w:val="single" w:sz="6" w:space="0" w:color="000000"/>
            </w:tcBorders>
            <w:shd w:val="clear" w:color="auto" w:fill="D2D2D2"/>
          </w:tcPr>
          <w:p>
            <w:pPr/>
          </w:p>
        </w:tc>
        <w:tc>
          <w:tcPr>
            <w:tcW w:w="568" w:type="dxa"/>
            <w:vMerge/>
            <w:tcBorders>
              <w:left w:val="single" w:sz="6" w:space="0" w:color="000000"/>
              <w:right w:val="single" w:sz="6" w:space="0" w:color="000000"/>
            </w:tcBorders>
            <w:shd w:val="clear" w:color="auto" w:fill="D2D2D2"/>
          </w:tcPr>
          <w:p>
            <w:pPr/>
          </w:p>
        </w:tc>
        <w:tc>
          <w:tcPr>
            <w:tcW w:w="1275" w:type="dxa"/>
            <w:vMerge w:val="restart"/>
            <w:tcBorders>
              <w:top w:val="nil" w:sz="6" w:space="0" w:color="auto"/>
              <w:left w:val="single" w:sz="6" w:space="0" w:color="000000"/>
              <w:right w:val="single" w:sz="12" w:space="0" w:color="000000"/>
            </w:tcBorders>
            <w:shd w:val="clear" w:color="auto" w:fill="D2D2D2"/>
          </w:tcPr>
          <w:p>
            <w:pPr/>
          </w:p>
        </w:tc>
      </w:tr>
      <w:tr>
        <w:trPr>
          <w:trHeight w:val="163" w:hRule="exact"/>
        </w:trPr>
        <w:tc>
          <w:tcPr>
            <w:tcW w:w="682" w:type="dxa"/>
            <w:vMerge/>
            <w:tcBorders>
              <w:left w:val="single" w:sz="12" w:space="0" w:color="000000"/>
              <w:bottom w:val="single" w:sz="6" w:space="0" w:color="000000"/>
              <w:right w:val="single" w:sz="6" w:space="0" w:color="000000"/>
            </w:tcBorders>
            <w:shd w:val="clear" w:color="auto" w:fill="D2D2D2"/>
          </w:tcPr>
          <w:p>
            <w:pPr/>
          </w:p>
        </w:tc>
        <w:tc>
          <w:tcPr>
            <w:tcW w:w="1287" w:type="dxa"/>
            <w:tcBorders>
              <w:top w:val="nil" w:sz="6" w:space="0" w:color="auto"/>
              <w:left w:val="single" w:sz="6" w:space="0" w:color="000000"/>
              <w:bottom w:val="single" w:sz="6" w:space="0" w:color="000000"/>
              <w:right w:val="single" w:sz="6" w:space="0" w:color="000000"/>
            </w:tcBorders>
            <w:shd w:val="clear" w:color="auto" w:fill="D2D2D2"/>
          </w:tcPr>
          <w:p>
            <w:pPr/>
          </w:p>
        </w:tc>
        <w:tc>
          <w:tcPr>
            <w:tcW w:w="708"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567" w:type="dxa"/>
            <w:vMerge/>
            <w:tcBorders>
              <w:left w:val="single" w:sz="6" w:space="0" w:color="000000"/>
              <w:bottom w:val="single" w:sz="6" w:space="0" w:color="000000"/>
              <w:right w:val="single" w:sz="6" w:space="0" w:color="000000"/>
            </w:tcBorders>
            <w:shd w:val="clear" w:color="auto" w:fill="D2D2D2"/>
          </w:tcPr>
          <w:p>
            <w:pPr/>
          </w:p>
        </w:tc>
        <w:tc>
          <w:tcPr>
            <w:tcW w:w="1277" w:type="dxa"/>
            <w:vMerge/>
            <w:tcBorders>
              <w:left w:val="single" w:sz="6" w:space="0" w:color="000000"/>
              <w:bottom w:val="single" w:sz="6" w:space="0" w:color="000000"/>
              <w:right w:val="single" w:sz="6" w:space="0" w:color="000000"/>
            </w:tcBorders>
            <w:shd w:val="clear" w:color="auto" w:fill="D2D2D2"/>
          </w:tcPr>
          <w:p>
            <w:pPr/>
          </w:p>
        </w:tc>
        <w:tc>
          <w:tcPr>
            <w:tcW w:w="1276" w:type="dxa"/>
            <w:tcBorders>
              <w:top w:val="nil" w:sz="6" w:space="0" w:color="auto"/>
              <w:left w:val="single" w:sz="6" w:space="0" w:color="000000"/>
              <w:bottom w:val="single" w:sz="6" w:space="0" w:color="000000"/>
              <w:right w:val="single" w:sz="6" w:space="0" w:color="000000"/>
            </w:tcBorders>
            <w:shd w:val="clear" w:color="auto" w:fill="D2D2D2"/>
          </w:tcPr>
          <w:p>
            <w:pPr/>
          </w:p>
        </w:tc>
        <w:tc>
          <w:tcPr>
            <w:tcW w:w="710"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4" w:type="dxa"/>
            <w:tcBorders>
              <w:top w:val="nil" w:sz="6" w:space="0" w:color="auto"/>
              <w:left w:val="single" w:sz="6" w:space="0" w:color="000000"/>
              <w:bottom w:val="single" w:sz="6" w:space="0" w:color="000000"/>
              <w:right w:val="single" w:sz="6" w:space="0" w:color="000000"/>
            </w:tcBorders>
            <w:shd w:val="clear" w:color="auto" w:fill="D2D2D2"/>
          </w:tcPr>
          <w:p>
            <w:pPr/>
          </w:p>
        </w:tc>
        <w:tc>
          <w:tcPr>
            <w:tcW w:w="568" w:type="dxa"/>
            <w:vMerge/>
            <w:tcBorders>
              <w:left w:val="single" w:sz="6" w:space="0" w:color="000000"/>
              <w:bottom w:val="single" w:sz="6" w:space="0" w:color="000000"/>
              <w:right w:val="single" w:sz="6" w:space="0" w:color="000000"/>
            </w:tcBorders>
            <w:shd w:val="clear" w:color="auto" w:fill="D2D2D2"/>
          </w:tcPr>
          <w:p>
            <w:pPr/>
          </w:p>
        </w:tc>
        <w:tc>
          <w:tcPr>
            <w:tcW w:w="1275" w:type="dxa"/>
            <w:vMerge/>
            <w:tcBorders>
              <w:left w:val="single" w:sz="6" w:space="0" w:color="000000"/>
              <w:bottom w:val="single" w:sz="6" w:space="0" w:color="000000"/>
              <w:right w:val="single" w:sz="12" w:space="0" w:color="000000"/>
            </w:tcBorders>
            <w:shd w:val="clear" w:color="auto" w:fill="D2D2D2"/>
          </w:tcPr>
          <w:p>
            <w:pPr/>
          </w:p>
        </w:tc>
      </w:tr>
      <w:tr>
        <w:trPr>
          <w:trHeight w:val="2198" w:hRule="exact"/>
        </w:trPr>
        <w:tc>
          <w:tcPr>
            <w:tcW w:w="68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6" w:right="111"/>
              <w:jc w:val="both"/>
              <w:rPr>
                <w:rFonts w:ascii="宋体" w:hAnsi="宋体" w:cs="宋体" w:eastAsia="宋体" w:hint="default"/>
                <w:sz w:val="18"/>
                <w:szCs w:val="18"/>
              </w:rPr>
            </w:pPr>
            <w:r>
              <w:rPr>
                <w:rFonts w:ascii="宋体" w:hAnsi="宋体" w:cs="宋体" w:eastAsia="宋体" w:hint="default"/>
                <w:sz w:val="18"/>
                <w:szCs w:val="18"/>
              </w:rPr>
              <w:t>单项金 额重大 并单独 计提坏 账准备 的其他 应收款</w:t>
            </w:r>
          </w:p>
        </w:tc>
        <w:tc>
          <w:tcPr>
            <w:tcW w:w="1287"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78,750,000.00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2" w:right="0"/>
              <w:jc w:val="center"/>
              <w:rPr>
                <w:rFonts w:ascii="宋体" w:hAnsi="宋体" w:cs="宋体" w:eastAsia="宋体" w:hint="default"/>
                <w:sz w:val="18"/>
                <w:szCs w:val="18"/>
              </w:rPr>
            </w:pPr>
            <w:r>
              <w:rPr>
                <w:rFonts w:ascii="宋体"/>
                <w:sz w:val="18"/>
              </w:rPr>
              <w:t>85.32%</w:t>
            </w:r>
          </w:p>
        </w:tc>
        <w:tc>
          <w:tcPr>
            <w:tcW w:w="127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1" w:right="0"/>
              <w:jc w:val="center"/>
              <w:rPr>
                <w:rFonts w:ascii="宋体" w:hAnsi="宋体" w:cs="宋体" w:eastAsia="宋体" w:hint="default"/>
                <w:sz w:val="18"/>
                <w:szCs w:val="18"/>
              </w:rPr>
            </w:pPr>
            <w:r>
              <w:rPr>
                <w:rFonts w:ascii="宋体"/>
                <w:sz w:val="18"/>
              </w:rPr>
              <w:t>78,750,000.00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2200" w:hRule="exact"/>
        </w:trPr>
        <w:tc>
          <w:tcPr>
            <w:tcW w:w="68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6" w:right="111"/>
              <w:jc w:val="both"/>
              <w:rPr>
                <w:rFonts w:ascii="宋体" w:hAnsi="宋体" w:cs="宋体" w:eastAsia="宋体" w:hint="default"/>
                <w:sz w:val="18"/>
                <w:szCs w:val="18"/>
              </w:rPr>
            </w:pPr>
            <w:r>
              <w:rPr>
                <w:rFonts w:ascii="宋体" w:hAnsi="宋体" w:cs="宋体" w:eastAsia="宋体" w:hint="default"/>
                <w:sz w:val="18"/>
                <w:szCs w:val="18"/>
              </w:rPr>
              <w:t>按信用 风险特 征组合 计提坏 账准备 的其他 应收款</w:t>
            </w:r>
          </w:p>
        </w:tc>
        <w:tc>
          <w:tcPr>
            <w:tcW w:w="1287" w:type="dxa"/>
            <w:tcBorders>
              <w:top w:val="single" w:sz="6" w:space="0" w:color="000000"/>
              <w:left w:val="single" w:sz="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13,545,005.47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12" w:right="0"/>
              <w:jc w:val="center"/>
              <w:rPr>
                <w:rFonts w:ascii="宋体" w:hAnsi="宋体" w:cs="宋体" w:eastAsia="宋体" w:hint="default"/>
                <w:sz w:val="18"/>
                <w:szCs w:val="18"/>
              </w:rPr>
            </w:pPr>
            <w:r>
              <w:rPr>
                <w:rFonts w:ascii="宋体"/>
                <w:sz w:val="18"/>
              </w:rPr>
              <w:t>14.68%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1,217,323.89</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0" w:right="0"/>
              <w:jc w:val="center"/>
              <w:rPr>
                <w:rFonts w:ascii="宋体" w:hAnsi="宋体" w:cs="宋体" w:eastAsia="宋体" w:hint="default"/>
                <w:sz w:val="18"/>
                <w:szCs w:val="18"/>
              </w:rPr>
            </w:pPr>
            <w:r>
              <w:rPr>
                <w:rFonts w:ascii="宋体"/>
                <w:sz w:val="18"/>
              </w:rPr>
              <w:t>8.99%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1" w:right="0"/>
              <w:jc w:val="center"/>
              <w:rPr>
                <w:rFonts w:ascii="宋体" w:hAnsi="宋体" w:cs="宋体" w:eastAsia="宋体" w:hint="default"/>
                <w:sz w:val="18"/>
                <w:szCs w:val="18"/>
              </w:rPr>
            </w:pPr>
            <w:r>
              <w:rPr>
                <w:rFonts w:ascii="宋体"/>
                <w:sz w:val="18"/>
              </w:rPr>
              <w:t>12,327,681.58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0" w:right="0"/>
              <w:jc w:val="center"/>
              <w:rPr>
                <w:rFonts w:ascii="宋体" w:hAnsi="宋体" w:cs="宋体" w:eastAsia="宋体" w:hint="default"/>
                <w:sz w:val="18"/>
                <w:szCs w:val="18"/>
              </w:rPr>
            </w:pPr>
            <w:r>
              <w:rPr>
                <w:rFonts w:ascii="宋体"/>
                <w:sz w:val="18"/>
              </w:rPr>
              <w:t>73,229,466.55</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sz w:val="18"/>
              </w:rPr>
              <w:t>100.00%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1,145,032.79</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2" w:right="0"/>
              <w:jc w:val="center"/>
              <w:rPr>
                <w:rFonts w:ascii="宋体" w:hAnsi="宋体" w:cs="宋体" w:eastAsia="宋体" w:hint="default"/>
                <w:sz w:val="18"/>
                <w:szCs w:val="18"/>
              </w:rPr>
            </w:pPr>
            <w:r>
              <w:rPr>
                <w:rFonts w:ascii="宋体"/>
                <w:sz w:val="18"/>
              </w:rPr>
              <w:t>1.56%</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8" w:right="0"/>
              <w:jc w:val="center"/>
              <w:rPr>
                <w:rFonts w:ascii="宋体" w:hAnsi="宋体" w:cs="宋体" w:eastAsia="宋体" w:hint="default"/>
                <w:sz w:val="18"/>
                <w:szCs w:val="18"/>
              </w:rPr>
            </w:pPr>
            <w:r>
              <w:rPr>
                <w:rFonts w:ascii="宋体"/>
                <w:sz w:val="18"/>
              </w:rPr>
              <w:t>72,084,433.76</w:t>
            </w:r>
          </w:p>
        </w:tc>
      </w:tr>
      <w:tr>
        <w:trPr>
          <w:trHeight w:val="334" w:hRule="exact"/>
        </w:trPr>
        <w:tc>
          <w:tcPr>
            <w:tcW w:w="68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6" w:space="0" w:color="000000"/>
              <w:left w:val="single" w:sz="8" w:space="0" w:color="D2D2D2"/>
              <w:bottom w:val="single" w:sz="12"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92,295,005.47</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22" w:right="0"/>
              <w:jc w:val="center"/>
              <w:rPr>
                <w:rFonts w:ascii="宋体" w:hAnsi="宋体" w:cs="宋体" w:eastAsia="宋体" w:hint="default"/>
                <w:sz w:val="18"/>
                <w:szCs w:val="18"/>
              </w:rPr>
            </w:pPr>
            <w:r>
              <w:rPr>
                <w:rFonts w:ascii="宋体"/>
                <w:sz w:val="18"/>
              </w:rPr>
              <w:t>100.00%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1,217,323.89</w:t>
            </w:r>
          </w:p>
        </w:tc>
        <w:tc>
          <w:tcPr>
            <w:tcW w:w="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60" w:right="0"/>
              <w:jc w:val="center"/>
              <w:rPr>
                <w:rFonts w:ascii="宋体" w:hAnsi="宋体" w:cs="宋体" w:eastAsia="宋体" w:hint="default"/>
                <w:sz w:val="18"/>
                <w:szCs w:val="18"/>
              </w:rPr>
            </w:pPr>
            <w:r>
              <w:rPr>
                <w:rFonts w:ascii="宋体"/>
                <w:sz w:val="18"/>
              </w:rPr>
              <w:t>1.32%</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51" w:right="0"/>
              <w:jc w:val="center"/>
              <w:rPr>
                <w:rFonts w:ascii="宋体" w:hAnsi="宋体" w:cs="宋体" w:eastAsia="宋体" w:hint="default"/>
                <w:sz w:val="18"/>
                <w:szCs w:val="18"/>
              </w:rPr>
            </w:pPr>
            <w:r>
              <w:rPr>
                <w:rFonts w:ascii="宋体"/>
                <w:sz w:val="18"/>
              </w:rPr>
              <w:t>91,077,681.58</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50" w:right="0"/>
              <w:jc w:val="center"/>
              <w:rPr>
                <w:rFonts w:ascii="宋体" w:hAnsi="宋体" w:cs="宋体" w:eastAsia="宋体" w:hint="default"/>
                <w:sz w:val="18"/>
                <w:szCs w:val="18"/>
              </w:rPr>
            </w:pPr>
            <w:r>
              <w:rPr>
                <w:rFonts w:ascii="宋体"/>
                <w:sz w:val="18"/>
              </w:rPr>
              <w:t>73,229,466.55</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43" w:right="0"/>
              <w:jc w:val="left"/>
              <w:rPr>
                <w:rFonts w:ascii="宋体" w:hAnsi="宋体" w:cs="宋体" w:eastAsia="宋体" w:hint="default"/>
                <w:sz w:val="18"/>
                <w:szCs w:val="18"/>
              </w:rPr>
            </w:pPr>
            <w:r>
              <w:rPr>
                <w:rFonts w:ascii="宋体"/>
                <w:sz w:val="18"/>
              </w:rPr>
              <w:t>100.00%</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1,145,032.79</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left="62" w:right="0"/>
              <w:jc w:val="center"/>
              <w:rPr>
                <w:rFonts w:ascii="宋体" w:hAnsi="宋体" w:cs="宋体" w:eastAsia="宋体" w:hint="default"/>
                <w:sz w:val="18"/>
                <w:szCs w:val="18"/>
              </w:rPr>
            </w:pPr>
            <w:r>
              <w:rPr>
                <w:rFonts w:ascii="宋体"/>
                <w:sz w:val="18"/>
              </w:rPr>
              <w:t>1.56%</w:t>
            </w:r>
          </w:p>
        </w:tc>
        <w:tc>
          <w:tcPr>
            <w:tcW w:w="12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left="58" w:right="0"/>
              <w:jc w:val="center"/>
              <w:rPr>
                <w:rFonts w:ascii="宋体" w:hAnsi="宋体" w:cs="宋体" w:eastAsia="宋体" w:hint="default"/>
                <w:sz w:val="18"/>
                <w:szCs w:val="18"/>
              </w:rPr>
            </w:pPr>
            <w:r>
              <w:rPr>
                <w:rFonts w:ascii="宋体"/>
                <w:sz w:val="18"/>
              </w:rPr>
              <w:t>72,084,433.76</w:t>
            </w:r>
          </w:p>
        </w:tc>
      </w:tr>
    </w:tbl>
    <w:p>
      <w:pPr>
        <w:pStyle w:val="BodyText"/>
        <w:spacing w:line="240" w:lineRule="auto" w:before="63"/>
        <w:ind w:left="754" w:right="789"/>
        <w:jc w:val="left"/>
      </w:pPr>
      <w:r>
        <w:rPr/>
        <w:t>期末单项金额重大并单项计提坏账准备的其他应收款：</w:t>
      </w:r>
    </w:p>
    <w:p>
      <w:pPr>
        <w:spacing w:line="240" w:lineRule="auto" w:before="10"/>
        <w:rPr>
          <w:rFonts w:ascii="宋体" w:hAnsi="宋体" w:cs="宋体" w:eastAsia="宋体" w:hint="default"/>
          <w:sz w:val="14"/>
          <w:szCs w:val="14"/>
        </w:rPr>
      </w:pPr>
    </w:p>
    <w:p>
      <w:pPr>
        <w:pStyle w:val="BodyText"/>
        <w:spacing w:line="240" w:lineRule="auto" w:before="0"/>
        <w:ind w:left="754" w:right="789"/>
        <w:jc w:val="left"/>
      </w:pPr>
      <w:r>
        <w:rPr/>
        <w:t>√ 适用 □</w:t>
      </w:r>
      <w:r>
        <w:rPr>
          <w:spacing w:val="-1"/>
        </w:rPr>
        <w:t> </w:t>
      </w:r>
      <w:r>
        <w:rPr/>
        <w:t>不适用</w:t>
      </w:r>
    </w:p>
    <w:p>
      <w:pPr>
        <w:spacing w:before="140"/>
        <w:ind w:left="0" w:right="7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738" w:type="dxa"/>
        <w:tblLayout w:type="fixed"/>
        <w:tblCellMar>
          <w:top w:w="0" w:type="dxa"/>
          <w:left w:w="0" w:type="dxa"/>
          <w:bottom w:w="0" w:type="dxa"/>
          <w:right w:w="0" w:type="dxa"/>
        </w:tblCellMar>
        <w:tblLook w:val="01E0"/>
      </w:tblPr>
      <w:tblGrid>
        <w:gridCol w:w="2695"/>
        <w:gridCol w:w="1720"/>
        <w:gridCol w:w="1718"/>
        <w:gridCol w:w="1720"/>
        <w:gridCol w:w="1718"/>
      </w:tblGrid>
      <w:tr>
        <w:trPr>
          <w:trHeight w:val="415" w:hRule="exact"/>
        </w:trPr>
        <w:tc>
          <w:tcPr>
            <w:tcW w:w="2695"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876" w:type="dxa"/>
            <w:gridSpan w:val="4"/>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695" w:type="dxa"/>
            <w:vMerge/>
            <w:tcBorders>
              <w:left w:val="single" w:sz="12" w:space="0" w:color="000000"/>
              <w:bottom w:val="single" w:sz="6" w:space="0" w:color="000000"/>
              <w:right w:val="single" w:sz="6" w:space="0" w:color="000000"/>
            </w:tcBorders>
            <w:shd w:val="clear" w:color="auto" w:fill="D2D2D2"/>
          </w:tcPr>
          <w:p>
            <w:pPr/>
          </w:p>
        </w:tc>
        <w:tc>
          <w:tcPr>
            <w:tcW w:w="17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4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4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71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2"/>
              <w:ind w:left="4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7"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江苏光一投资管理有限责任公司</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78,750,000.00</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0.00</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0.00%</w:t>
            </w:r>
          </w:p>
        </w:tc>
        <w:tc>
          <w:tcPr>
            <w:tcW w:w="17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预期可以全部收回</w:t>
            </w:r>
          </w:p>
        </w:tc>
      </w:tr>
      <w:tr>
        <w:trPr>
          <w:trHeight w:val="416" w:hRule="exact"/>
        </w:trPr>
        <w:tc>
          <w:tcPr>
            <w:tcW w:w="26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78,750,000.00</w:t>
            </w:r>
          </w:p>
        </w:tc>
        <w:tc>
          <w:tcPr>
            <w:tcW w:w="1718" w:type="dxa"/>
            <w:tcBorders>
              <w:top w:val="single" w:sz="6" w:space="0" w:color="000000"/>
              <w:left w:val="single" w:sz="6" w:space="0" w:color="000000"/>
              <w:bottom w:val="single" w:sz="12" w:space="0" w:color="000000"/>
              <w:right w:val="single" w:sz="8" w:space="0" w:color="D2D2D2"/>
            </w:tcBorders>
          </w:tcPr>
          <w:p>
            <w:pPr/>
          </w:p>
        </w:tc>
        <w:tc>
          <w:tcPr>
            <w:tcW w:w="1720"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718"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sz w:val="18"/>
              </w:rPr>
              <w:t>--</w:t>
            </w:r>
          </w:p>
        </w:tc>
      </w:tr>
    </w:tbl>
    <w:p>
      <w:pPr>
        <w:pStyle w:val="BodyText"/>
        <w:spacing w:line="240" w:lineRule="auto" w:before="63"/>
        <w:ind w:left="754" w:right="789"/>
        <w:jc w:val="left"/>
      </w:pPr>
      <w:r>
        <w:rPr/>
        <w:t>组合中，按账龄分析法计提坏账准备的其他应收款：</w:t>
      </w:r>
    </w:p>
    <w:p>
      <w:pPr>
        <w:spacing w:line="240" w:lineRule="auto" w:before="10"/>
        <w:rPr>
          <w:rFonts w:ascii="宋体" w:hAnsi="宋体" w:cs="宋体" w:eastAsia="宋体" w:hint="default"/>
          <w:sz w:val="14"/>
          <w:szCs w:val="14"/>
        </w:rPr>
      </w:pPr>
    </w:p>
    <w:p>
      <w:pPr>
        <w:pStyle w:val="BodyText"/>
        <w:spacing w:line="240" w:lineRule="auto" w:before="0"/>
        <w:ind w:left="754" w:right="789"/>
        <w:jc w:val="left"/>
      </w:pPr>
      <w:r>
        <w:rPr/>
        <w:t>√ 适用 □</w:t>
      </w:r>
      <w:r>
        <w:rPr>
          <w:spacing w:val="-1"/>
        </w:rPr>
        <w:t> </w:t>
      </w:r>
      <w:r>
        <w:rPr/>
        <w:t>不适用</w:t>
      </w:r>
    </w:p>
    <w:p>
      <w:pPr>
        <w:spacing w:before="141"/>
        <w:ind w:left="0" w:right="7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738" w:type="dxa"/>
        <w:tblLayout w:type="fixed"/>
        <w:tblCellMar>
          <w:top w:w="0" w:type="dxa"/>
          <w:left w:w="0" w:type="dxa"/>
          <w:bottom w:w="0" w:type="dxa"/>
          <w:right w:w="0" w:type="dxa"/>
        </w:tblCellMar>
        <w:tblLook w:val="01E0"/>
      </w:tblPr>
      <w:tblGrid>
        <w:gridCol w:w="2495"/>
        <w:gridCol w:w="2295"/>
        <w:gridCol w:w="2391"/>
        <w:gridCol w:w="2396"/>
      </w:tblGrid>
      <w:tr>
        <w:trPr>
          <w:trHeight w:val="413" w:hRule="exact"/>
        </w:trPr>
        <w:tc>
          <w:tcPr>
            <w:tcW w:w="2495" w:type="dxa"/>
            <w:vMerge w:val="restart"/>
            <w:tcBorders>
              <w:top w:val="single" w:sz="12" w:space="0" w:color="000000"/>
              <w:left w:val="single" w:sz="12"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2495" w:type="dxa"/>
            <w:vMerge/>
            <w:tcBorders>
              <w:left w:val="single" w:sz="12" w:space="0" w:color="000000"/>
              <w:bottom w:val="single" w:sz="12" w:space="0" w:color="000000"/>
              <w:right w:val="single" w:sz="6" w:space="0" w:color="000000"/>
            </w:tcBorders>
            <w:shd w:val="clear" w:color="auto" w:fill="D2D2D2"/>
          </w:tcPr>
          <w:p>
            <w:pPr/>
          </w:p>
        </w:tc>
        <w:tc>
          <w:tcPr>
            <w:tcW w:w="2295"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747" w:footer="1000" w:top="1040" w:bottom="1180" w:left="380" w:right="36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2495"/>
        <w:gridCol w:w="2295"/>
        <w:gridCol w:w="2391"/>
        <w:gridCol w:w="2389"/>
      </w:tblGrid>
      <w:tr>
        <w:trPr>
          <w:trHeight w:val="415" w:hRule="exact"/>
        </w:trPr>
        <w:tc>
          <w:tcPr>
            <w:tcW w:w="9569" w:type="dxa"/>
            <w:gridSpan w:val="4"/>
            <w:tcBorders>
              <w:top w:val="single" w:sz="12"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12,532,654.89</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375,744.45</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12,524,814.89</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375,744.45</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82,249.68</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8,224.97</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930,100.90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833,354.47</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89.60%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59,000.00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29,500.00</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50.00%</w:t>
            </w:r>
          </w:p>
        </w:tc>
      </w:tr>
      <w:tr>
        <w:trPr>
          <w:trHeight w:val="408"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224,154.76</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156,908.33</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70.00%</w:t>
            </w:r>
          </w:p>
        </w:tc>
      </w:tr>
      <w:tr>
        <w:trPr>
          <w:trHeight w:val="407" w:hRule="exact"/>
        </w:trPr>
        <w:tc>
          <w:tcPr>
            <w:tcW w:w="24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646,946.14</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646,946.14</w:t>
            </w:r>
          </w:p>
        </w:tc>
        <w:tc>
          <w:tcPr>
            <w:tcW w:w="2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100.00%</w:t>
            </w:r>
          </w:p>
        </w:tc>
      </w:tr>
      <w:tr>
        <w:trPr>
          <w:trHeight w:val="415" w:hRule="exact"/>
        </w:trPr>
        <w:tc>
          <w:tcPr>
            <w:tcW w:w="24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13,545,005.47</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1,217,323.89</w:t>
            </w:r>
          </w:p>
        </w:tc>
        <w:tc>
          <w:tcPr>
            <w:tcW w:w="2389"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408" w:lineRule="auto" w:before="63"/>
        <w:ind w:left="154" w:right="4522"/>
        <w:jc w:val="left"/>
      </w:pPr>
      <w:r>
        <w:rPr/>
        <w:t>确定该组合依据的说明： 组合中，采用余额百分比法计提坏账准备的其他应收款：</w:t>
      </w:r>
    </w:p>
    <w:p>
      <w:pPr>
        <w:pStyle w:val="BodyText"/>
        <w:spacing w:line="408" w:lineRule="auto"/>
        <w:ind w:left="154" w:right="4942"/>
        <w:jc w:val="left"/>
      </w:pPr>
      <w:r>
        <w:rPr/>
        <w:t>□ 适用 √</w:t>
      </w:r>
      <w:r>
        <w:rPr>
          <w:spacing w:val="-1"/>
        </w:rPr>
        <w:t> </w:t>
      </w:r>
      <w:r>
        <w:rPr/>
        <w:t>不适用</w:t>
      </w:r>
      <w:r>
        <w:rPr/>
        <w:t> 组合中，采用其他方法计提坏账准备的其他应收款：</w:t>
      </w:r>
    </w:p>
    <w:p>
      <w:pPr>
        <w:pStyle w:val="BodyText"/>
        <w:spacing w:line="240" w:lineRule="auto"/>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本期计提、收回或转回的坏账准备情况" w:id="435"/>
      <w:bookmarkEnd w:id="435"/>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本期计提坏账准备金额</w:t>
      </w:r>
      <w:r>
        <w:rPr>
          <w:spacing w:val="-53"/>
        </w:rPr>
        <w:t> </w:t>
      </w:r>
      <w:r>
        <w:rPr>
          <w:rFonts w:ascii="宋体" w:hAnsi="宋体" w:cs="宋体" w:eastAsia="宋体" w:hint="default"/>
        </w:rPr>
        <w:t>72,291.10</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Heading4"/>
        <w:spacing w:line="240" w:lineRule="auto"/>
        <w:ind w:left="153" w:right="0"/>
        <w:jc w:val="left"/>
        <w:rPr>
          <w:b w:val="0"/>
          <w:bCs w:val="0"/>
        </w:rPr>
      </w:pPr>
      <w:bookmarkStart w:name="（3）本期实际核销的其他应收款情况" w:id="436"/>
      <w:bookmarkEnd w:id="436"/>
      <w:r>
        <w:rPr>
          <w:b w:val="0"/>
          <w:bCs w:val="0"/>
        </w:rPr>
      </w:r>
      <w:r>
        <w:rPr/>
        <w:t>（</w:t>
      </w:r>
      <w:r>
        <w:rPr>
          <w:rFonts w:ascii="宋体" w:hAnsi="宋体" w:cs="宋体" w:eastAsia="宋体" w:hint="default"/>
        </w:rPr>
        <w:t>3</w:t>
      </w:r>
      <w:r>
        <w:rPr/>
        <w:t>）本期实际核销的其他应收款情况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4）其他应收款按款项性质分类情况" w:id="437"/>
      <w:bookmarkEnd w:id="437"/>
      <w:r>
        <w:rPr>
          <w:b w:val="0"/>
          <w:bCs w:val="0"/>
        </w:rPr>
      </w:r>
      <w:r>
        <w:rPr/>
        <w:t>（</w:t>
      </w:r>
      <w:r>
        <w:rPr>
          <w:rFonts w:ascii="宋体" w:hAnsi="宋体" w:cs="宋体" w:eastAsia="宋体" w:hint="default"/>
        </w:rPr>
        <w:t>4</w:t>
      </w:r>
      <w:r>
        <w:rPr/>
        <w:t>）其他应收款按款项性质分类情况</w:t>
      </w:r>
      <w:r>
        <w:rPr>
          <w:b w:val="0"/>
          <w:bCs w:val="0"/>
        </w:rPr>
      </w:r>
    </w:p>
    <w:p>
      <w:pPr>
        <w:spacing w:line="240" w:lineRule="auto" w:before="6"/>
        <w:rPr>
          <w:rFonts w:ascii="宋体" w:hAnsi="宋体" w:cs="宋体" w:eastAsia="宋体" w:hint="default"/>
          <w:b/>
          <w:bCs/>
          <w:sz w:val="10"/>
          <w:szCs w:val="10"/>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369"/>
        <w:gridCol w:w="3100"/>
        <w:gridCol w:w="3099"/>
      </w:tblGrid>
      <w:tr>
        <w:trPr>
          <w:trHeight w:val="413" w:hRule="exact"/>
        </w:trPr>
        <w:tc>
          <w:tcPr>
            <w:tcW w:w="33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7" w:hRule="exact"/>
        </w:trPr>
        <w:tc>
          <w:tcPr>
            <w:tcW w:w="3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股权债权转让款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78,750,000.00</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7,052,800.00</w:t>
            </w:r>
          </w:p>
        </w:tc>
      </w:tr>
      <w:tr>
        <w:trPr>
          <w:trHeight w:val="408" w:hRule="exact"/>
        </w:trPr>
        <w:tc>
          <w:tcPr>
            <w:tcW w:w="3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9,386,300.00</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4,426,567.00</w:t>
            </w:r>
          </w:p>
        </w:tc>
      </w:tr>
      <w:tr>
        <w:trPr>
          <w:trHeight w:val="407" w:hRule="exact"/>
        </w:trPr>
        <w:tc>
          <w:tcPr>
            <w:tcW w:w="3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应收租金及保证金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915,010.50</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3,400.00</w:t>
            </w:r>
          </w:p>
        </w:tc>
      </w:tr>
      <w:tr>
        <w:trPr>
          <w:trHeight w:val="407" w:hRule="exact"/>
        </w:trPr>
        <w:tc>
          <w:tcPr>
            <w:tcW w:w="3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1,675,739.49</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1,520,818.33</w:t>
            </w:r>
          </w:p>
        </w:tc>
      </w:tr>
      <w:tr>
        <w:trPr>
          <w:trHeight w:val="407" w:hRule="exact"/>
        </w:trPr>
        <w:tc>
          <w:tcPr>
            <w:tcW w:w="3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422,305.52</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28,742.00</w:t>
            </w:r>
          </w:p>
        </w:tc>
      </w:tr>
      <w:tr>
        <w:trPr>
          <w:trHeight w:val="407" w:hRule="exact"/>
        </w:trPr>
        <w:tc>
          <w:tcPr>
            <w:tcW w:w="3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内部关联方往来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7,840.00</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59,292,835.11</w:t>
            </w:r>
          </w:p>
        </w:tc>
      </w:tr>
      <w:tr>
        <w:trPr>
          <w:trHeight w:val="407" w:hRule="exact"/>
        </w:trPr>
        <w:tc>
          <w:tcPr>
            <w:tcW w:w="33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1,137,809.96</w:t>
            </w:r>
          </w:p>
        </w:tc>
        <w:tc>
          <w:tcPr>
            <w:tcW w:w="3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904,304.11</w:t>
            </w:r>
          </w:p>
        </w:tc>
      </w:tr>
      <w:tr>
        <w:trPr>
          <w:trHeight w:val="416" w:hRule="exact"/>
        </w:trPr>
        <w:tc>
          <w:tcPr>
            <w:tcW w:w="33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92,295,005.47</w:t>
            </w:r>
          </w:p>
        </w:tc>
        <w:tc>
          <w:tcPr>
            <w:tcW w:w="30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73,229,466.55</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按欠款方归集的期末余额前五吊的其他应收款情况" w:id="438"/>
      <w:bookmarkEnd w:id="438"/>
      <w:r>
        <w:rPr>
          <w:b w:val="0"/>
          <w:bCs w:val="0"/>
        </w:rPr>
      </w: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3"/>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844"/>
        <w:gridCol w:w="1392"/>
        <w:gridCol w:w="1552"/>
        <w:gridCol w:w="1553"/>
        <w:gridCol w:w="1614"/>
        <w:gridCol w:w="1615"/>
      </w:tblGrid>
      <w:tr>
        <w:trPr>
          <w:trHeight w:val="646" w:hRule="exact"/>
        </w:trPr>
        <w:tc>
          <w:tcPr>
            <w:tcW w:w="184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79" w:right="78"/>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638"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186"/>
              <w:jc w:val="left"/>
              <w:rPr>
                <w:rFonts w:ascii="宋体" w:hAnsi="宋体" w:cs="宋体" w:eastAsia="宋体" w:hint="default"/>
                <w:sz w:val="18"/>
                <w:szCs w:val="18"/>
              </w:rPr>
            </w:pPr>
            <w:r>
              <w:rPr>
                <w:rFonts w:ascii="宋体" w:hAnsi="宋体" w:cs="宋体" w:eastAsia="宋体" w:hint="default"/>
                <w:sz w:val="18"/>
                <w:szCs w:val="18"/>
              </w:rPr>
              <w:t>江苏光一投资管理有 限责任公司</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股权债权转让款</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78,750,000.00</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85.32%</w:t>
            </w:r>
          </w:p>
        </w:tc>
        <w:tc>
          <w:tcPr>
            <w:tcW w:w="1615"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2"/>
              <w:ind w:left="13" w:right="186"/>
              <w:jc w:val="left"/>
              <w:rPr>
                <w:rFonts w:ascii="宋体" w:hAnsi="宋体" w:cs="宋体" w:eastAsia="宋体" w:hint="default"/>
                <w:sz w:val="18"/>
                <w:szCs w:val="18"/>
              </w:rPr>
            </w:pPr>
            <w:r>
              <w:rPr>
                <w:rFonts w:ascii="宋体" w:hAnsi="宋体" w:cs="宋体" w:eastAsia="宋体" w:hint="default"/>
                <w:sz w:val="18"/>
                <w:szCs w:val="18"/>
              </w:rPr>
              <w:t>中通安徽智慧城市投 资有限公司</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6,000,000.00</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6.50%</w:t>
            </w:r>
          </w:p>
        </w:tc>
        <w:tc>
          <w:tcPr>
            <w:tcW w:w="16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180,000.00</w:t>
            </w:r>
          </w:p>
        </w:tc>
      </w:tr>
      <w:tr>
        <w:trPr>
          <w:trHeight w:val="412"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1,500,000.00</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1.63%</w:t>
            </w:r>
          </w:p>
        </w:tc>
        <w:tc>
          <w:tcPr>
            <w:tcW w:w="16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45,000.00</w:t>
            </w:r>
          </w:p>
        </w:tc>
      </w:tr>
      <w:tr>
        <w:trPr>
          <w:trHeight w:val="640"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3" w:right="186"/>
              <w:jc w:val="left"/>
              <w:rPr>
                <w:rFonts w:ascii="宋体" w:hAnsi="宋体" w:cs="宋体" w:eastAsia="宋体" w:hint="default"/>
                <w:sz w:val="18"/>
                <w:szCs w:val="18"/>
              </w:rPr>
            </w:pPr>
            <w:r>
              <w:rPr>
                <w:rFonts w:ascii="宋体" w:hAnsi="宋体" w:cs="宋体" w:eastAsia="宋体" w:hint="default"/>
                <w:sz w:val="18"/>
                <w:szCs w:val="18"/>
              </w:rPr>
              <w:t>北京华熙中环物业管 理有限公司</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租赁保证金</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600,010.50</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0.65%</w:t>
            </w:r>
          </w:p>
        </w:tc>
        <w:tc>
          <w:tcPr>
            <w:tcW w:w="16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18,000.32</w:t>
            </w:r>
          </w:p>
        </w:tc>
      </w:tr>
      <w:tr>
        <w:trPr>
          <w:trHeight w:val="412"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广州供电局有限公司</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600,000.00</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0.65%</w:t>
            </w:r>
          </w:p>
        </w:tc>
        <w:tc>
          <w:tcPr>
            <w:tcW w:w="16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18,000.00</w:t>
            </w:r>
          </w:p>
        </w:tc>
      </w:tr>
      <w:tr>
        <w:trPr>
          <w:trHeight w:val="419" w:hRule="exact"/>
        </w:trPr>
        <w:tc>
          <w:tcPr>
            <w:tcW w:w="1844"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2"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5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87,450,010.50</w:t>
            </w:r>
          </w:p>
        </w:tc>
        <w:tc>
          <w:tcPr>
            <w:tcW w:w="1553" w:type="dxa"/>
            <w:tcBorders>
              <w:top w:val="single" w:sz="6" w:space="0" w:color="000000"/>
              <w:left w:val="single" w:sz="6" w:space="0" w:color="000000"/>
              <w:bottom w:val="single" w:sz="12"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6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94.75%</w:t>
            </w:r>
          </w:p>
        </w:tc>
        <w:tc>
          <w:tcPr>
            <w:tcW w:w="16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261,000.32</w:t>
            </w:r>
          </w:p>
        </w:tc>
      </w:tr>
    </w:tbl>
    <w:p>
      <w:pPr>
        <w:pStyle w:val="Heading4"/>
        <w:spacing w:line="240" w:lineRule="auto" w:before="63"/>
        <w:ind w:right="0"/>
        <w:jc w:val="left"/>
        <w:rPr>
          <w:b w:val="0"/>
          <w:bCs w:val="0"/>
        </w:rPr>
      </w:pPr>
      <w:bookmarkStart w:name="（6）涉及政府补助的应收款项" w:id="439"/>
      <w:bookmarkEnd w:id="439"/>
      <w:r>
        <w:rPr>
          <w:b w:val="0"/>
          <w:bCs w:val="0"/>
        </w:rPr>
      </w:r>
      <w:r>
        <w:rPr/>
        <w:t>（</w:t>
      </w:r>
      <w:r>
        <w:rPr>
          <w:rFonts w:ascii="宋体" w:hAnsi="宋体" w:cs="宋体" w:eastAsia="宋体" w:hint="default"/>
        </w:rPr>
        <w:t>6</w:t>
      </w:r>
      <w:r>
        <w:rPr/>
        <w:t>）涉及政府补助的应收款项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7）因金融资产转移而终止确认的其他应收款" w:id="440"/>
      <w:bookmarkEnd w:id="440"/>
      <w:r>
        <w:rPr>
          <w:b w:val="0"/>
          <w:bCs w:val="0"/>
        </w:rPr>
      </w:r>
      <w:r>
        <w:rPr/>
        <w:t>（</w:t>
      </w:r>
      <w:r>
        <w:rPr>
          <w:rFonts w:ascii="宋体" w:hAnsi="宋体" w:cs="宋体" w:eastAsia="宋体"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8）转移其他应收款且继续涉入形成的资产、负债金额" w:id="441"/>
      <w:bookmarkEnd w:id="441"/>
      <w:r>
        <w:rPr>
          <w:b w:val="0"/>
          <w:bCs w:val="0"/>
        </w:rPr>
      </w:r>
      <w:r>
        <w:rPr/>
        <w:t>（</w:t>
      </w:r>
      <w:r>
        <w:rPr>
          <w:rFonts w:ascii="宋体" w:hAnsi="宋体" w:cs="宋体" w:eastAsia="宋体"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14"/>
          <w:szCs w:val="14"/>
        </w:rPr>
      </w:pPr>
    </w:p>
    <w:p>
      <w:pPr>
        <w:spacing w:line="408" w:lineRule="auto" w:before="0"/>
        <w:ind w:left="154"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3、长期股权投资" w:id="442"/>
      <w:bookmarkEnd w:id="442"/>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30" w:lineRule="exact"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352"/>
        <w:gridCol w:w="1378"/>
        <w:gridCol w:w="1367"/>
        <w:gridCol w:w="1367"/>
        <w:gridCol w:w="1368"/>
        <w:gridCol w:w="1367"/>
        <w:gridCol w:w="1366"/>
      </w:tblGrid>
      <w:tr>
        <w:trPr>
          <w:trHeight w:val="219" w:hRule="exact"/>
        </w:trPr>
        <w:tc>
          <w:tcPr>
            <w:tcW w:w="1352" w:type="dxa"/>
            <w:tcBorders>
              <w:top w:val="single" w:sz="12" w:space="0" w:color="000000"/>
              <w:left w:val="single" w:sz="12" w:space="0" w:color="000000"/>
              <w:bottom w:val="nil" w:sz="6" w:space="0" w:color="auto"/>
              <w:right w:val="single" w:sz="6" w:space="0" w:color="000000"/>
            </w:tcBorders>
            <w:shd w:val="clear" w:color="auto" w:fill="D2D2D2"/>
          </w:tcPr>
          <w:p>
            <w:pPr/>
          </w:p>
        </w:tc>
        <w:tc>
          <w:tcPr>
            <w:tcW w:w="4112" w:type="dxa"/>
            <w:gridSpan w:val="3"/>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2"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6" w:space="0" w:color="000000"/>
              <w:bottom w:val="single" w:sz="6" w:space="0" w:color="000000"/>
              <w:right w:val="single" w:sz="6" w:space="0" w:color="000000"/>
            </w:tcBorders>
            <w:shd w:val="clear" w:color="auto" w:fill="D2D2D2"/>
          </w:tcPr>
          <w:p>
            <w:pPr/>
          </w:p>
        </w:tc>
        <w:tc>
          <w:tcPr>
            <w:tcW w:w="4101" w:type="dxa"/>
            <w:gridSpan w:val="3"/>
            <w:vMerge/>
            <w:tcBorders>
              <w:left w:val="single" w:sz="6" w:space="0" w:color="000000"/>
              <w:bottom w:val="single" w:sz="6" w:space="0" w:color="000000"/>
              <w:right w:val="single" w:sz="12" w:space="0" w:color="000000"/>
            </w:tcBorders>
            <w:shd w:val="clear" w:color="auto" w:fill="D2D2D2"/>
          </w:tcPr>
          <w:p>
            <w:pPr/>
          </w:p>
        </w:tc>
      </w:tr>
      <w:tr>
        <w:trPr>
          <w:trHeight w:val="196" w:hRule="exact"/>
        </w:trPr>
        <w:tc>
          <w:tcPr>
            <w:tcW w:w="1352" w:type="dxa"/>
            <w:vMerge/>
            <w:tcBorders>
              <w:left w:val="single" w:sz="12" w:space="0" w:color="000000"/>
              <w:bottom w:val="nil" w:sz="6" w:space="0" w:color="auto"/>
              <w:right w:val="single" w:sz="6" w:space="0" w:color="000000"/>
            </w:tcBorders>
            <w:shd w:val="clear" w:color="auto" w:fill="D2D2D2"/>
          </w:tcPr>
          <w:p>
            <w:pPr/>
          </w:p>
        </w:tc>
        <w:tc>
          <w:tcPr>
            <w:tcW w:w="137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0" w:hRule="exact"/>
        </w:trPr>
        <w:tc>
          <w:tcPr>
            <w:tcW w:w="1352" w:type="dxa"/>
            <w:tcBorders>
              <w:top w:val="nil" w:sz="6" w:space="0" w:color="auto"/>
              <w:left w:val="single" w:sz="12" w:space="0" w:color="000000"/>
              <w:bottom w:val="single" w:sz="6" w:space="0" w:color="000000"/>
              <w:right w:val="single" w:sz="6" w:space="0" w:color="000000"/>
            </w:tcBorders>
            <w:shd w:val="clear" w:color="auto" w:fill="D2D2D2"/>
          </w:tcPr>
          <w:p>
            <w:pPr/>
          </w:p>
        </w:tc>
        <w:tc>
          <w:tcPr>
            <w:tcW w:w="1378"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8"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1352"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8"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768,109,976.16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4" w:right="0"/>
              <w:jc w:val="center"/>
              <w:rPr>
                <w:rFonts w:ascii="宋体" w:hAnsi="宋体" w:cs="宋体" w:eastAsia="宋体" w:hint="default"/>
                <w:sz w:val="18"/>
                <w:szCs w:val="18"/>
              </w:rPr>
            </w:pPr>
            <w:r>
              <w:rPr>
                <w:rFonts w:ascii="宋体"/>
                <w:sz w:val="18"/>
              </w:rPr>
              <w:t>768,109,976.16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52,138,200.00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52,138,200.00</w:t>
            </w:r>
          </w:p>
        </w:tc>
      </w:tr>
      <w:tr>
        <w:trPr>
          <w:trHeight w:val="416" w:hRule="exact"/>
        </w:trPr>
        <w:tc>
          <w:tcPr>
            <w:tcW w:w="1352"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768,109,976.16</w:t>
            </w:r>
          </w:p>
        </w:tc>
        <w:tc>
          <w:tcPr>
            <w:tcW w:w="1367" w:type="dxa"/>
            <w:tcBorders>
              <w:top w:val="single" w:sz="6" w:space="0" w:color="000000"/>
              <w:left w:val="single" w:sz="6" w:space="0" w:color="000000"/>
              <w:bottom w:val="single" w:sz="12" w:space="0" w:color="000000"/>
              <w:right w:val="single" w:sz="6" w:space="0" w:color="000000"/>
            </w:tcBorders>
          </w:tcPr>
          <w:p>
            <w:pP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54" w:right="0"/>
              <w:jc w:val="center"/>
              <w:rPr>
                <w:rFonts w:ascii="宋体" w:hAnsi="宋体" w:cs="宋体" w:eastAsia="宋体" w:hint="default"/>
                <w:sz w:val="18"/>
                <w:szCs w:val="18"/>
              </w:rPr>
            </w:pPr>
            <w:r>
              <w:rPr>
                <w:rFonts w:ascii="宋体"/>
                <w:sz w:val="18"/>
              </w:rPr>
              <w:t>768,109,976.16</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52,138,200.00</w:t>
            </w:r>
          </w:p>
        </w:tc>
        <w:tc>
          <w:tcPr>
            <w:tcW w:w="1367" w:type="dxa"/>
            <w:tcBorders>
              <w:top w:val="single" w:sz="6" w:space="0" w:color="000000"/>
              <w:left w:val="single" w:sz="6" w:space="0" w:color="000000"/>
              <w:bottom w:val="single" w:sz="12" w:space="0" w:color="000000"/>
              <w:right w:val="single" w:sz="6" w:space="0" w:color="000000"/>
            </w:tcBorders>
          </w:tcPr>
          <w:p>
            <w:pP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52,138,200.00</w:t>
            </w:r>
          </w:p>
        </w:tc>
      </w:tr>
    </w:tbl>
    <w:p>
      <w:pPr>
        <w:spacing w:line="240" w:lineRule="auto" w:before="1"/>
        <w:rPr>
          <w:rFonts w:ascii="宋体" w:hAnsi="宋体" w:cs="宋体" w:eastAsia="宋体" w:hint="default"/>
          <w:sz w:val="14"/>
          <w:szCs w:val="14"/>
        </w:rPr>
      </w:pPr>
    </w:p>
    <w:p>
      <w:pPr>
        <w:pStyle w:val="Heading4"/>
        <w:spacing w:line="240" w:lineRule="auto" w:before="35"/>
        <w:ind w:right="0"/>
        <w:jc w:val="left"/>
        <w:rPr>
          <w:b w:val="0"/>
          <w:bCs w:val="0"/>
        </w:rPr>
      </w:pPr>
      <w:bookmarkStart w:name="（1）对子公司投资" w:id="443"/>
      <w:bookmarkEnd w:id="443"/>
      <w:r>
        <w:rPr>
          <w:b w:val="0"/>
          <w:bCs w:val="0"/>
        </w:rPr>
      </w:r>
      <w:r>
        <w:rPr/>
        <w:t>（</w:t>
      </w:r>
      <w:r>
        <w:rPr>
          <w:rFonts w:ascii="宋体" w:hAnsi="宋体" w:cs="宋体" w:eastAsia="宋体" w:hint="default"/>
        </w:rPr>
        <w:t>1</w:t>
      </w:r>
      <w:r>
        <w:rPr/>
        <w:t>）对子公司投资</w:t>
      </w:r>
      <w:r>
        <w:rPr>
          <w:b w:val="0"/>
          <w:bCs w:val="0"/>
        </w:rPr>
      </w:r>
    </w:p>
    <w:p>
      <w:pPr>
        <w:spacing w:before="14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269"/>
        <w:gridCol w:w="1276"/>
        <w:gridCol w:w="1419"/>
        <w:gridCol w:w="1276"/>
        <w:gridCol w:w="1418"/>
        <w:gridCol w:w="992"/>
        <w:gridCol w:w="919"/>
      </w:tblGrid>
      <w:tr>
        <w:trPr>
          <w:trHeight w:val="646" w:hRule="exact"/>
        </w:trPr>
        <w:tc>
          <w:tcPr>
            <w:tcW w:w="2269"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1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1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0"/>
              <w:ind w:left="219" w:right="36"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91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316" w:lineRule="auto" w:before="10"/>
              <w:ind w:left="91" w:right="8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12" w:hRule="exact"/>
        </w:trPr>
        <w:tc>
          <w:tcPr>
            <w:tcW w:w="22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江苏苏源光一科技有限公司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0" w:right="0"/>
              <w:jc w:val="center"/>
              <w:rPr>
                <w:rFonts w:ascii="宋体" w:hAnsi="宋体" w:cs="宋体" w:eastAsia="宋体" w:hint="default"/>
                <w:sz w:val="18"/>
                <w:szCs w:val="18"/>
              </w:rPr>
            </w:pPr>
            <w:r>
              <w:rPr>
                <w:rFonts w:ascii="宋体"/>
                <w:sz w:val="18"/>
              </w:rPr>
              <w:t>29,638,200.00</w:t>
            </w:r>
          </w:p>
        </w:tc>
        <w:tc>
          <w:tcPr>
            <w:tcW w:w="141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29,638,200.00</w:t>
            </w:r>
          </w:p>
        </w:tc>
        <w:tc>
          <w:tcPr>
            <w:tcW w:w="992"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2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南京宇能仪表有限公司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0" w:right="0"/>
              <w:jc w:val="center"/>
              <w:rPr>
                <w:rFonts w:ascii="宋体" w:hAnsi="宋体" w:cs="宋体" w:eastAsia="宋体" w:hint="default"/>
                <w:sz w:val="18"/>
                <w:szCs w:val="18"/>
              </w:rPr>
            </w:pPr>
            <w:r>
              <w:rPr>
                <w:rFonts w:ascii="宋体"/>
                <w:sz w:val="18"/>
              </w:rPr>
              <w:t>22,500,000.00</w:t>
            </w:r>
          </w:p>
        </w:tc>
        <w:tc>
          <w:tcPr>
            <w:tcW w:w="1419"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8" w:right="0"/>
              <w:jc w:val="center"/>
              <w:rPr>
                <w:rFonts w:ascii="宋体" w:hAnsi="宋体" w:cs="宋体" w:eastAsia="宋体" w:hint="default"/>
                <w:sz w:val="18"/>
                <w:szCs w:val="18"/>
              </w:rPr>
            </w:pPr>
            <w:r>
              <w:rPr>
                <w:rFonts w:ascii="宋体"/>
                <w:sz w:val="18"/>
              </w:rPr>
              <w:t>22,500,000.00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0.00</w:t>
            </w:r>
          </w:p>
        </w:tc>
        <w:tc>
          <w:tcPr>
            <w:tcW w:w="992"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2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724,031,776.16</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724,031,776.16</w:t>
            </w:r>
          </w:p>
        </w:tc>
        <w:tc>
          <w:tcPr>
            <w:tcW w:w="992"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12" w:space="0" w:color="000000"/>
            </w:tcBorders>
          </w:tcPr>
          <w:p>
            <w:pPr/>
          </w:p>
        </w:tc>
      </w:tr>
      <w:tr>
        <w:trPr>
          <w:trHeight w:val="639" w:hRule="exact"/>
        </w:trPr>
        <w:tc>
          <w:tcPr>
            <w:tcW w:w="226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3" w:right="71"/>
              <w:jc w:val="left"/>
              <w:rPr>
                <w:rFonts w:ascii="宋体" w:hAnsi="宋体" w:cs="宋体" w:eastAsia="宋体" w:hint="default"/>
                <w:sz w:val="18"/>
                <w:szCs w:val="18"/>
              </w:rPr>
            </w:pPr>
            <w:r>
              <w:rPr>
                <w:rFonts w:ascii="宋体" w:hAnsi="宋体" w:cs="宋体" w:eastAsia="宋体" w:hint="default"/>
                <w:sz w:val="18"/>
                <w:szCs w:val="18"/>
              </w:rPr>
              <w:t>南京云商天下信息技术有限 公司</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11,440,000.00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11,440,000.00</w:t>
            </w:r>
          </w:p>
        </w:tc>
        <w:tc>
          <w:tcPr>
            <w:tcW w:w="992"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12" w:space="0" w:color="000000"/>
            </w:tcBorders>
          </w:tcPr>
          <w:p>
            <w:pPr/>
          </w:p>
        </w:tc>
      </w:tr>
      <w:tr>
        <w:trPr>
          <w:trHeight w:val="640" w:hRule="exact"/>
        </w:trPr>
        <w:tc>
          <w:tcPr>
            <w:tcW w:w="226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1"/>
              <w:ind w:left="13" w:right="71"/>
              <w:jc w:val="left"/>
              <w:rPr>
                <w:rFonts w:ascii="宋体" w:hAnsi="宋体" w:cs="宋体" w:eastAsia="宋体" w:hint="default"/>
                <w:sz w:val="18"/>
                <w:szCs w:val="18"/>
              </w:rPr>
            </w:pPr>
            <w:r>
              <w:rPr>
                <w:rFonts w:ascii="宋体" w:hAnsi="宋体" w:cs="宋体" w:eastAsia="宋体" w:hint="default"/>
                <w:sz w:val="18"/>
                <w:szCs w:val="18"/>
              </w:rPr>
              <w:t>南京智友尚云信息技术有限 公司</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3,000,000.00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3,000,000.00</w:t>
            </w:r>
          </w:p>
        </w:tc>
        <w:tc>
          <w:tcPr>
            <w:tcW w:w="992"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12" w:space="0" w:color="000000"/>
            </w:tcBorders>
          </w:tcPr>
          <w:p>
            <w:pPr/>
          </w:p>
        </w:tc>
      </w:tr>
      <w:tr>
        <w:trPr>
          <w:trHeight w:val="419" w:hRule="exact"/>
        </w:trPr>
        <w:tc>
          <w:tcPr>
            <w:tcW w:w="2269"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50" w:right="0"/>
              <w:jc w:val="center"/>
              <w:rPr>
                <w:rFonts w:ascii="宋体" w:hAnsi="宋体" w:cs="宋体" w:eastAsia="宋体" w:hint="default"/>
                <w:sz w:val="18"/>
                <w:szCs w:val="18"/>
              </w:rPr>
            </w:pPr>
            <w:r>
              <w:rPr>
                <w:rFonts w:ascii="宋体"/>
                <w:sz w:val="18"/>
              </w:rPr>
              <w:t>52,138,200.00</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738,471,776.16</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48" w:right="0"/>
              <w:jc w:val="center"/>
              <w:rPr>
                <w:rFonts w:ascii="宋体" w:hAnsi="宋体" w:cs="宋体" w:eastAsia="宋体" w:hint="default"/>
                <w:sz w:val="18"/>
                <w:szCs w:val="18"/>
              </w:rPr>
            </w:pPr>
            <w:r>
              <w:rPr>
                <w:rFonts w:ascii="宋体"/>
                <w:sz w:val="18"/>
              </w:rPr>
              <w:t>22,500,000.00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768,109,976.16</w:t>
            </w:r>
          </w:p>
        </w:tc>
        <w:tc>
          <w:tcPr>
            <w:tcW w:w="992" w:type="dxa"/>
            <w:tcBorders>
              <w:top w:val="single" w:sz="6" w:space="0" w:color="000000"/>
              <w:left w:val="single" w:sz="6" w:space="0" w:color="000000"/>
              <w:bottom w:val="single" w:sz="12" w:space="0" w:color="000000"/>
              <w:right w:val="single" w:sz="6" w:space="0" w:color="000000"/>
            </w:tcBorders>
          </w:tcPr>
          <w:p>
            <w:pPr/>
          </w:p>
        </w:tc>
        <w:tc>
          <w:tcPr>
            <w:tcW w:w="91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153" w:right="0"/>
        <w:jc w:val="left"/>
        <w:rPr>
          <w:b w:val="0"/>
          <w:bCs w:val="0"/>
        </w:rPr>
      </w:pPr>
      <w:bookmarkStart w:name="（2）对联营、合营企业投资" w:id="444"/>
      <w:bookmarkEnd w:id="444"/>
      <w:r>
        <w:rPr>
          <w:b w:val="0"/>
          <w:bCs w:val="0"/>
        </w:rPr>
      </w:r>
      <w:r>
        <w:rPr/>
        <w:t>（</w:t>
      </w:r>
      <w:r>
        <w:rPr>
          <w:rFonts w:ascii="宋体" w:hAnsi="宋体" w:cs="宋体" w:eastAsia="宋体" w:hint="default"/>
        </w:rPr>
        <w:t>2</w:t>
      </w:r>
      <w:r>
        <w:rPr/>
        <w:t>）对联营、合营企业投资</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其他说明" w:id="445"/>
      <w:bookmarkEnd w:id="445"/>
      <w:r>
        <w:rPr>
          <w:b w:val="0"/>
          <w:bCs w:val="0"/>
        </w:rPr>
      </w:r>
      <w:r>
        <w:rPr/>
        <w:t>（</w:t>
      </w:r>
      <w:r>
        <w:rPr>
          <w:rFonts w:ascii="宋体" w:hAnsi="宋体" w:cs="宋体" w:eastAsia="宋体" w:hint="default"/>
        </w:rPr>
        <w:t>3</w:t>
      </w:r>
      <w:r>
        <w:rPr/>
        <w:t>）其他说明</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79" w:firstLine="423"/>
        <w:jc w:val="both"/>
      </w:pPr>
      <w:r>
        <w:rPr/>
        <w:t>长期股权投资年末数比年初数增加</w:t>
      </w:r>
      <w:r>
        <w:rPr>
          <w:spacing w:val="-54"/>
        </w:rPr>
        <w:t> </w:t>
      </w:r>
      <w:r>
        <w:rPr>
          <w:rFonts w:ascii="宋体" w:hAnsi="宋体" w:cs="宋体" w:eastAsia="宋体" w:hint="default"/>
        </w:rPr>
        <w:t>715,971,776.16</w:t>
      </w:r>
      <w:r>
        <w:rPr>
          <w:rFonts w:ascii="宋体" w:hAnsi="宋体" w:cs="宋体" w:eastAsia="宋体" w:hint="default"/>
          <w:spacing w:val="-53"/>
        </w:rPr>
        <w:t> </w:t>
      </w:r>
      <w:r>
        <w:rPr/>
        <w:t>元，增加比例为</w:t>
      </w:r>
      <w:r>
        <w:rPr>
          <w:spacing w:val="-55"/>
        </w:rPr>
        <w:t> </w:t>
      </w:r>
      <w:r>
        <w:rPr>
          <w:rFonts w:ascii="宋体" w:hAnsi="宋体" w:cs="宋体" w:eastAsia="宋体" w:hint="default"/>
        </w:rPr>
        <w:t>1373.22%</w:t>
      </w:r>
      <w:r>
        <w:rPr/>
        <w:t>，增加原因为：①本年 投资设立南京智友尚云信息技术有限公司，收购南京云商天下信息技术有限公司</w:t>
      </w:r>
      <w:r>
        <w:rPr>
          <w:spacing w:val="-53"/>
        </w:rPr>
        <w:t> </w:t>
      </w:r>
      <w:r>
        <w:rPr>
          <w:rFonts w:ascii="宋体" w:hAnsi="宋体" w:cs="宋体" w:eastAsia="宋体" w:hint="default"/>
        </w:rPr>
        <w:t>51%</w:t>
      </w:r>
      <w:r>
        <w:rPr/>
        <w:t>的股权、收购湖北索 瑞电气有限公司</w:t>
      </w:r>
      <w:r>
        <w:rPr>
          <w:spacing w:val="-52"/>
        </w:rPr>
        <w:t> </w:t>
      </w:r>
      <w:r>
        <w:rPr>
          <w:rFonts w:ascii="宋体" w:hAnsi="宋体" w:cs="宋体" w:eastAsia="宋体" w:hint="default"/>
        </w:rPr>
        <w:t>84.82%</w:t>
      </w:r>
      <w:r>
        <w:rPr/>
        <w:t>股权。②本年处置了对南京宇能仪表有限公司的投资。</w:t>
      </w:r>
    </w:p>
    <w:p>
      <w:pPr>
        <w:pStyle w:val="Heading4"/>
        <w:spacing w:line="240" w:lineRule="auto" w:before="46"/>
        <w:ind w:left="153" w:right="0"/>
        <w:jc w:val="left"/>
        <w:rPr>
          <w:b w:val="0"/>
          <w:bCs w:val="0"/>
        </w:rPr>
      </w:pPr>
      <w:bookmarkStart w:name="4、营业收入和营业成本" w:id="446"/>
      <w:bookmarkEnd w:id="446"/>
      <w:r>
        <w:rPr>
          <w:b w:val="0"/>
          <w:bCs w:val="0"/>
        </w:rPr>
      </w:r>
      <w:r>
        <w:rPr>
          <w:rFonts w:ascii="宋体" w:hAnsi="宋体" w:cs="宋体" w:eastAsia="宋体" w:hint="default"/>
        </w:rPr>
        <w:t>4</w:t>
      </w:r>
      <w:r>
        <w:rPr/>
        <w:t>、营业收入和营业成本</w:t>
      </w:r>
      <w:r>
        <w:rPr>
          <w:b w:val="0"/>
          <w:bCs w:val="0"/>
        </w:rPr>
      </w:r>
    </w:p>
    <w:p>
      <w:pPr>
        <w:spacing w:line="240" w:lineRule="auto" w:before="9"/>
        <w:rPr>
          <w:rFonts w:ascii="宋体" w:hAnsi="宋体" w:cs="宋体" w:eastAsia="宋体" w:hint="default"/>
          <w:b/>
          <w:bCs/>
          <w:sz w:val="16"/>
          <w:szCs w:val="1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995"/>
        <w:gridCol w:w="1838"/>
        <w:gridCol w:w="1913"/>
        <w:gridCol w:w="1913"/>
        <w:gridCol w:w="1912"/>
      </w:tblGrid>
      <w:tr>
        <w:trPr>
          <w:trHeight w:val="242" w:hRule="exact"/>
        </w:trPr>
        <w:tc>
          <w:tcPr>
            <w:tcW w:w="1995"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750" w:type="dxa"/>
            <w:gridSpan w:val="2"/>
            <w:vMerge w:val="restart"/>
            <w:tcBorders>
              <w:top w:val="single" w:sz="12" w:space="0" w:color="000000"/>
              <w:left w:val="single" w:sz="6" w:space="0" w:color="000000"/>
              <w:right w:val="single" w:sz="6"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5"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31"/>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6" w:hRule="exact"/>
        </w:trPr>
        <w:tc>
          <w:tcPr>
            <w:tcW w:w="1995"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6" w:space="0" w:color="000000"/>
              <w:bottom w:val="single" w:sz="6" w:space="0" w:color="000000"/>
              <w:right w:val="single" w:sz="6" w:space="0" w:color="000000"/>
            </w:tcBorders>
            <w:shd w:val="clear" w:color="auto" w:fill="D2D2D2"/>
          </w:tcPr>
          <w:p>
            <w:pPr/>
          </w:p>
        </w:tc>
        <w:tc>
          <w:tcPr>
            <w:tcW w:w="3825" w:type="dxa"/>
            <w:gridSpan w:val="2"/>
            <w:vMerge/>
            <w:tcBorders>
              <w:left w:val="single" w:sz="6" w:space="0" w:color="000000"/>
              <w:bottom w:val="single" w:sz="6" w:space="0" w:color="000000"/>
              <w:right w:val="single" w:sz="12" w:space="0" w:color="000000"/>
            </w:tcBorders>
            <w:shd w:val="clear" w:color="auto" w:fill="D2D2D2"/>
          </w:tcPr>
          <w:p>
            <w:pPr/>
          </w:p>
        </w:tc>
      </w:tr>
      <w:tr>
        <w:trPr>
          <w:trHeight w:val="156" w:hRule="exact"/>
        </w:trPr>
        <w:tc>
          <w:tcPr>
            <w:tcW w:w="1995" w:type="dxa"/>
            <w:vMerge/>
            <w:tcBorders>
              <w:left w:val="single" w:sz="12" w:space="0" w:color="000000"/>
              <w:bottom w:val="nil" w:sz="6" w:space="0" w:color="auto"/>
              <w:right w:val="single" w:sz="6" w:space="0" w:color="000000"/>
            </w:tcBorders>
            <w:shd w:val="clear" w:color="auto" w:fill="D2D2D2"/>
          </w:tcPr>
          <w:p>
            <w:pPr/>
          </w:p>
        </w:tc>
        <w:tc>
          <w:tcPr>
            <w:tcW w:w="183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27" w:hRule="exact"/>
        </w:trPr>
        <w:tc>
          <w:tcPr>
            <w:tcW w:w="1995" w:type="dxa"/>
            <w:tcBorders>
              <w:top w:val="nil" w:sz="6" w:space="0" w:color="auto"/>
              <w:left w:val="single" w:sz="12" w:space="0" w:color="000000"/>
              <w:bottom w:val="single" w:sz="6" w:space="0" w:color="000000"/>
              <w:right w:val="single" w:sz="6" w:space="0" w:color="000000"/>
            </w:tcBorders>
            <w:shd w:val="clear" w:color="auto" w:fill="D2D2D2"/>
          </w:tcPr>
          <w:p>
            <w:pPr/>
          </w:p>
        </w:tc>
        <w:tc>
          <w:tcPr>
            <w:tcW w:w="1838"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6" w:space="0" w:color="000000"/>
            </w:tcBorders>
            <w:shd w:val="clear" w:color="auto" w:fill="D2D2D2"/>
          </w:tcPr>
          <w:p>
            <w:pPr/>
          </w:p>
        </w:tc>
        <w:tc>
          <w:tcPr>
            <w:tcW w:w="1912" w:type="dxa"/>
            <w:vMerge/>
            <w:tcBorders>
              <w:left w:val="single" w:sz="6" w:space="0" w:color="000000"/>
              <w:bottom w:val="single" w:sz="6" w:space="0" w:color="000000"/>
              <w:right w:val="single" w:sz="12" w:space="0" w:color="000000"/>
            </w:tcBorders>
            <w:shd w:val="clear" w:color="auto" w:fill="D2D2D2"/>
          </w:tcPr>
          <w:p>
            <w:pPr/>
          </w:p>
        </w:tc>
      </w:tr>
      <w:tr>
        <w:trPr>
          <w:trHeight w:val="440" w:hRule="exact"/>
        </w:trPr>
        <w:tc>
          <w:tcPr>
            <w:tcW w:w="19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23" w:space="0" w:color="D2D2D2"/>
              <w:left w:val="single" w:sz="9" w:space="0" w:color="D2D2D2"/>
              <w:bottom w:val="single" w:sz="6" w:space="0" w:color="000000"/>
              <w:right w:val="single" w:sz="6"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z w:val="18"/>
              </w:rPr>
              <w:t>336,756,308.76</w:t>
            </w:r>
          </w:p>
        </w:tc>
        <w:tc>
          <w:tcPr>
            <w:tcW w:w="1913" w:type="dxa"/>
            <w:tcBorders>
              <w:top w:val="single" w:sz="23" w:space="0" w:color="D2D2D2"/>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257,516,170.20</w:t>
            </w:r>
          </w:p>
        </w:tc>
        <w:tc>
          <w:tcPr>
            <w:tcW w:w="1913" w:type="dxa"/>
            <w:tcBorders>
              <w:top w:val="single" w:sz="23" w:space="0" w:color="D2D2D2"/>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322,964,010.42</w:t>
            </w:r>
          </w:p>
        </w:tc>
        <w:tc>
          <w:tcPr>
            <w:tcW w:w="1912"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246,301,906.59</w:t>
            </w:r>
          </w:p>
        </w:tc>
      </w:tr>
      <w:tr>
        <w:trPr>
          <w:trHeight w:val="413" w:hRule="exact"/>
        </w:trPr>
        <w:tc>
          <w:tcPr>
            <w:tcW w:w="19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1,030,990.75</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805,957.71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285,941.88</w:t>
            </w:r>
          </w:p>
        </w:tc>
        <w:tc>
          <w:tcPr>
            <w:tcW w:w="1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267,748.22</w:t>
            </w:r>
          </w:p>
        </w:tc>
      </w:tr>
      <w:tr>
        <w:trPr>
          <w:trHeight w:val="419" w:hRule="exact"/>
        </w:trPr>
        <w:tc>
          <w:tcPr>
            <w:tcW w:w="19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6" w:space="0" w:color="000000"/>
              <w:left w:val="single" w:sz="9" w:space="0" w:color="D2D2D2"/>
              <w:bottom w:val="single" w:sz="12" w:space="0" w:color="000000"/>
              <w:right w:val="single" w:sz="6"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337,787,299.51</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258,322,127.91</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323,249,952.30</w:t>
            </w:r>
          </w:p>
        </w:tc>
        <w:tc>
          <w:tcPr>
            <w:tcW w:w="19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246,569,654.81</w:t>
            </w:r>
          </w:p>
        </w:tc>
      </w:tr>
    </w:tbl>
    <w:p>
      <w:pPr>
        <w:pStyle w:val="Heading4"/>
        <w:spacing w:line="240" w:lineRule="auto" w:before="63"/>
        <w:ind w:right="0"/>
        <w:jc w:val="left"/>
        <w:rPr>
          <w:b w:val="0"/>
          <w:bCs w:val="0"/>
        </w:rPr>
      </w:pPr>
      <w:bookmarkStart w:name="5、投资收益" w:id="447"/>
      <w:bookmarkEnd w:id="447"/>
      <w:r>
        <w:rPr>
          <w:b w:val="0"/>
          <w:bCs w:val="0"/>
        </w:rPr>
      </w:r>
      <w:r>
        <w:rPr>
          <w:rFonts w:ascii="宋体" w:hAnsi="宋体" w:cs="宋体" w:eastAsia="宋体" w:hint="default"/>
        </w:rPr>
        <w:t>5</w:t>
      </w:r>
      <w:r>
        <w:rPr/>
        <w:t>、投资收益</w:t>
      </w:r>
      <w:r>
        <w:rPr>
          <w:b w:val="0"/>
          <w:bCs w:val="0"/>
        </w:rPr>
      </w:r>
    </w:p>
    <w:p>
      <w:pPr>
        <w:spacing w:before="14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3325"/>
        <w:gridCol w:w="3059"/>
        <w:gridCol w:w="3186"/>
      </w:tblGrid>
      <w:tr>
        <w:trPr>
          <w:trHeight w:val="370" w:hRule="exact"/>
        </w:trPr>
        <w:tc>
          <w:tcPr>
            <w:tcW w:w="332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40" w:hRule="exact"/>
        </w:trPr>
        <w:tc>
          <w:tcPr>
            <w:tcW w:w="332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17" w:space="0" w:color="D2D2D2"/>
              <w:left w:val="single" w:sz="14" w:space="0" w:color="D2D2D2"/>
              <w:bottom w:val="single" w:sz="6" w:space="0" w:color="000000"/>
              <w:right w:val="single" w:sz="6" w:space="0" w:color="000000"/>
            </w:tcBorders>
          </w:tcPr>
          <w:p>
            <w:pPr/>
          </w:p>
        </w:tc>
        <w:tc>
          <w:tcPr>
            <w:tcW w:w="3186"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-2,686.52</w:t>
            </w:r>
          </w:p>
        </w:tc>
      </w:tr>
      <w:tr>
        <w:trPr>
          <w:trHeight w:val="413" w:hRule="exact"/>
        </w:trPr>
        <w:tc>
          <w:tcPr>
            <w:tcW w:w="332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6" w:space="0" w:color="000000"/>
              <w:left w:val="single" w:sz="14" w:space="0" w:color="D2D2D2"/>
              <w:bottom w:val="single" w:sz="6" w:space="0" w:color="000000"/>
              <w:right w:val="single" w:sz="6" w:space="0" w:color="000000"/>
            </w:tcBorders>
          </w:tcPr>
          <w:p>
            <w:pPr/>
          </w:p>
        </w:tc>
        <w:tc>
          <w:tcPr>
            <w:tcW w:w="31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312,835.59</w:t>
            </w:r>
          </w:p>
        </w:tc>
      </w:tr>
      <w:tr>
        <w:trPr>
          <w:trHeight w:val="419" w:hRule="exact"/>
        </w:trPr>
        <w:tc>
          <w:tcPr>
            <w:tcW w:w="332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6" w:space="0" w:color="000000"/>
              <w:left w:val="single" w:sz="14" w:space="0" w:color="D2D2D2"/>
              <w:bottom w:val="single" w:sz="12" w:space="0" w:color="000000"/>
              <w:right w:val="single" w:sz="6" w:space="0" w:color="000000"/>
            </w:tcBorders>
          </w:tcPr>
          <w:p>
            <w:pPr/>
          </w:p>
        </w:tc>
        <w:tc>
          <w:tcPr>
            <w:tcW w:w="31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310,149.07</w:t>
            </w:r>
          </w:p>
        </w:tc>
      </w:tr>
    </w:tbl>
    <w:p>
      <w:pPr>
        <w:spacing w:line="240" w:lineRule="auto" w:before="0"/>
        <w:rPr>
          <w:rFonts w:ascii="宋体" w:hAnsi="宋体" w:cs="宋体" w:eastAsia="宋体" w:hint="default"/>
          <w:sz w:val="13"/>
          <w:szCs w:val="13"/>
        </w:rPr>
      </w:pPr>
    </w:p>
    <w:p>
      <w:pPr>
        <w:pStyle w:val="Heading2"/>
        <w:spacing w:line="240" w:lineRule="auto"/>
        <w:ind w:left="154" w:right="0"/>
        <w:jc w:val="left"/>
        <w:rPr>
          <w:b w:val="0"/>
          <w:bCs w:val="0"/>
        </w:rPr>
      </w:pPr>
      <w:bookmarkStart w:name="十八、补充资料" w:id="448"/>
      <w:bookmarkEnd w:id="448"/>
      <w:r>
        <w:rPr>
          <w:b w:val="0"/>
          <w:bCs w:val="0"/>
        </w:rPr>
      </w:r>
      <w:r>
        <w:rPr/>
        <w:t>十八、补充资料</w:t>
      </w:r>
      <w:r>
        <w:rPr>
          <w:b w:val="0"/>
          <w:bCs w:val="0"/>
        </w:rPr>
      </w:r>
    </w:p>
    <w:p>
      <w:pPr>
        <w:pStyle w:val="Heading4"/>
        <w:spacing w:line="240" w:lineRule="auto" w:before="177"/>
        <w:ind w:left="153" w:right="0"/>
        <w:jc w:val="left"/>
        <w:rPr>
          <w:b w:val="0"/>
          <w:bCs w:val="0"/>
        </w:rPr>
      </w:pPr>
      <w:bookmarkStart w:name="1、当期非经常性损益明细表" w:id="449"/>
      <w:bookmarkEnd w:id="449"/>
      <w:r>
        <w:rPr>
          <w:b w:val="0"/>
          <w:bCs w:val="0"/>
        </w:rPr>
      </w:r>
      <w:r>
        <w:rPr>
          <w:rFonts w:ascii="宋体" w:hAnsi="宋体" w:cs="宋体" w:eastAsia="宋体" w:hint="default"/>
        </w:rPr>
        <w:t>1</w:t>
      </w:r>
      <w:r>
        <w:rPr/>
        <w:t>、当期非经常性损益明细表</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right="0"/>
        <w:jc w:val="left"/>
      </w:pPr>
      <w:r>
        <w:rPr/>
        <w:t>√ 适用 □</w:t>
      </w:r>
      <w:r>
        <w:rPr>
          <w:spacing w:val="-1"/>
        </w:rPr>
        <w:t> </w:t>
      </w:r>
      <w:r>
        <w:rPr/>
        <w:t>不适用</w:t>
      </w:r>
    </w:p>
    <w:p>
      <w:pPr>
        <w:spacing w:before="14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3325"/>
        <w:gridCol w:w="3059"/>
        <w:gridCol w:w="3186"/>
      </w:tblGrid>
      <w:tr>
        <w:trPr>
          <w:trHeight w:val="370" w:hRule="exact"/>
        </w:trPr>
        <w:tc>
          <w:tcPr>
            <w:tcW w:w="332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40" w:hRule="exact"/>
        </w:trPr>
        <w:tc>
          <w:tcPr>
            <w:tcW w:w="332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1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-16,469.78</w:t>
            </w:r>
          </w:p>
        </w:tc>
        <w:tc>
          <w:tcPr>
            <w:tcW w:w="3186" w:type="dxa"/>
            <w:tcBorders>
              <w:top w:val="single" w:sz="23" w:space="0" w:color="D2D2D2"/>
              <w:left w:val="single" w:sz="6" w:space="0" w:color="000000"/>
              <w:bottom w:val="single" w:sz="6" w:space="0" w:color="000000"/>
              <w:right w:val="single" w:sz="12" w:space="0" w:color="000000"/>
            </w:tcBorders>
          </w:tcPr>
          <w:p>
            <w:pPr/>
          </w:p>
        </w:tc>
      </w:tr>
      <w:tr>
        <w:trPr>
          <w:trHeight w:val="952" w:hRule="exact"/>
        </w:trPr>
        <w:tc>
          <w:tcPr>
            <w:tcW w:w="332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1"/>
              <w:ind w:left="13" w:right="4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宋体"/>
                <w:sz w:val="18"/>
              </w:rPr>
              <w:t>9,949,303.00</w:t>
            </w: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32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25,461.61</w:t>
            </w: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332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1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4"/>
              <w:ind w:right="19"/>
              <w:jc w:val="right"/>
              <w:rPr>
                <w:rFonts w:ascii="宋体" w:hAnsi="宋体" w:cs="宋体" w:eastAsia="宋体" w:hint="default"/>
                <w:sz w:val="18"/>
                <w:szCs w:val="18"/>
              </w:rPr>
            </w:pPr>
            <w:r>
              <w:rPr>
                <w:rFonts w:ascii="宋体"/>
                <w:sz w:val="18"/>
              </w:rPr>
              <w:t>1,493,744.22</w:t>
            </w:r>
          </w:p>
        </w:tc>
        <w:tc>
          <w:tcPr>
            <w:tcW w:w="3186"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332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5,077.88</w:t>
            </w:r>
          </w:p>
        </w:tc>
        <w:tc>
          <w:tcPr>
            <w:tcW w:w="3186" w:type="dxa"/>
            <w:tcBorders>
              <w:top w:val="single" w:sz="6" w:space="0" w:color="000000"/>
              <w:left w:val="single" w:sz="6" w:space="0" w:color="000000"/>
              <w:bottom w:val="single" w:sz="23" w:space="0" w:color="D2D2D2"/>
              <w:right w:val="single" w:sz="12" w:space="0" w:color="000000"/>
            </w:tcBorders>
          </w:tcPr>
          <w:p>
            <w:pPr/>
          </w:p>
        </w:tc>
      </w:tr>
      <w:tr>
        <w:trPr>
          <w:trHeight w:val="419" w:hRule="exact"/>
        </w:trPr>
        <w:tc>
          <w:tcPr>
            <w:tcW w:w="332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6" w:space="0" w:color="000000"/>
              <w:left w:val="single" w:sz="14" w:space="0" w:color="D2D2D2"/>
              <w:bottom w:val="single" w:sz="12" w:space="0" w:color="000000"/>
              <w:right w:val="single" w:sz="14" w:space="0" w:color="D2D2D2"/>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8,459,472.73</w:t>
            </w:r>
          </w:p>
        </w:tc>
        <w:tc>
          <w:tcPr>
            <w:tcW w:w="3186" w:type="dxa"/>
            <w:tcBorders>
              <w:top w:val="single" w:sz="6" w:space="0" w:color="000000"/>
              <w:left w:val="single" w:sz="6" w:space="0" w:color="000000"/>
              <w:bottom w:val="single" w:sz="12" w:space="0" w:color="000000"/>
              <w:right w:val="single" w:sz="12"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left="721" w:right="0"/>
        <w:jc w:val="left"/>
      </w:pPr>
      <w:r>
        <w:rPr/>
        <w:t>对公司根据《公开发行证券的公司信息披露解释性公告第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3"/>
        </w:rPr>
        <w:t> </w:t>
      </w:r>
      <w:r>
        <w:rPr/>
        <w:t>号——非经常性损益》定义界定的非经</w:t>
      </w:r>
    </w:p>
    <w:p>
      <w:pPr>
        <w:spacing w:line="240" w:lineRule="auto" w:before="10"/>
        <w:rPr>
          <w:rFonts w:ascii="宋体" w:hAnsi="宋体" w:cs="宋体" w:eastAsia="宋体" w:hint="default"/>
          <w:sz w:val="14"/>
          <w:szCs w:val="14"/>
        </w:rPr>
      </w:pPr>
    </w:p>
    <w:p>
      <w:pPr>
        <w:pStyle w:val="BodyText"/>
        <w:spacing w:line="408" w:lineRule="auto" w:before="0"/>
        <w:ind w:right="136"/>
        <w:jc w:val="left"/>
      </w:pPr>
      <w:r>
        <w:rPr/>
        <w:t>常性损益项目，以及把《公开发行证券的公司信息披露解释性公告第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号——非经常性损益》中列举的非 经常性损益项目界定为经常性损益的项目，应说明原因。</w:t>
      </w:r>
    </w:p>
    <w:p>
      <w:pPr>
        <w:spacing w:line="408" w:lineRule="auto" w:before="46"/>
        <w:ind w:left="154" w:right="7136"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净资产收益率及每股收益" w:id="450"/>
      <w:bookmarkEnd w:id="450"/>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tbl>
      <w:tblPr>
        <w:tblW w:w="0" w:type="auto"/>
        <w:jc w:val="left"/>
        <w:tblInd w:w="145" w:type="dxa"/>
        <w:tblLayout w:type="fixed"/>
        <w:tblCellMar>
          <w:top w:w="0" w:type="dxa"/>
          <w:left w:w="0" w:type="dxa"/>
          <w:bottom w:w="0" w:type="dxa"/>
          <w:right w:w="0" w:type="dxa"/>
        </w:tblCellMar>
        <w:tblLook w:val="01E0"/>
      </w:tblPr>
      <w:tblGrid>
        <w:gridCol w:w="2656"/>
        <w:gridCol w:w="3081"/>
        <w:gridCol w:w="1913"/>
        <w:gridCol w:w="1912"/>
      </w:tblGrid>
      <w:tr>
        <w:trPr>
          <w:trHeight w:val="219" w:hRule="exact"/>
        </w:trPr>
        <w:tc>
          <w:tcPr>
            <w:tcW w:w="2656" w:type="dxa"/>
            <w:tcBorders>
              <w:top w:val="single" w:sz="12" w:space="0" w:color="000000"/>
              <w:left w:val="single" w:sz="12" w:space="0" w:color="000000"/>
              <w:bottom w:val="nil" w:sz="6" w:space="0" w:color="auto"/>
              <w:right w:val="single" w:sz="6" w:space="0" w:color="000000"/>
            </w:tcBorders>
            <w:shd w:val="clear" w:color="auto" w:fill="D2D2D2"/>
          </w:tcPr>
          <w:p>
            <w:pPr/>
          </w:p>
        </w:tc>
        <w:tc>
          <w:tcPr>
            <w:tcW w:w="3081" w:type="dxa"/>
            <w:tcBorders>
              <w:top w:val="single" w:sz="12" w:space="0" w:color="000000"/>
              <w:left w:val="single" w:sz="6" w:space="0" w:color="000000"/>
              <w:bottom w:val="nil" w:sz="6" w:space="0" w:color="auto"/>
              <w:right w:val="single" w:sz="6" w:space="0" w:color="000000"/>
            </w:tcBorders>
            <w:shd w:val="clear" w:color="auto" w:fill="D2D2D2"/>
          </w:tcPr>
          <w:p>
            <w:pPr/>
          </w:p>
        </w:tc>
        <w:tc>
          <w:tcPr>
            <w:tcW w:w="3825" w:type="dxa"/>
            <w:gridSpan w:val="2"/>
            <w:vMerge w:val="restart"/>
            <w:tcBorders>
              <w:top w:val="single" w:sz="12" w:space="0" w:color="000000"/>
              <w:left w:val="single" w:sz="6" w:space="0" w:color="000000"/>
              <w:right w:val="single" w:sz="12" w:space="0" w:color="000000"/>
            </w:tcBorders>
            <w:shd w:val="clear" w:color="auto" w:fill="D2D2D2"/>
          </w:tcPr>
          <w:p>
            <w:pPr>
              <w:pStyle w:val="TableParagraph"/>
              <w:spacing w:line="240" w:lineRule="auto" w:before="34"/>
              <w:ind w:left="8"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88" w:hRule="exact"/>
        </w:trPr>
        <w:tc>
          <w:tcPr>
            <w:tcW w:w="2656" w:type="dxa"/>
            <w:vMerge w:val="restart"/>
            <w:tcBorders>
              <w:top w:val="nil" w:sz="6" w:space="0" w:color="auto"/>
              <w:left w:val="single" w:sz="12" w:space="0" w:color="000000"/>
              <w:right w:val="single" w:sz="6" w:space="0" w:color="000000"/>
            </w:tcBorders>
            <w:shd w:val="clear" w:color="auto" w:fill="D2D2D2"/>
          </w:tcPr>
          <w:p>
            <w:pPr>
              <w:pStyle w:val="TableParagraph"/>
              <w:spacing w:line="240" w:lineRule="auto" w:before="34"/>
              <w:ind w:left="860"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34"/>
              <w:ind w:left="63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5" w:type="dxa"/>
            <w:gridSpan w:val="2"/>
            <w:vMerge/>
            <w:tcBorders>
              <w:left w:val="single" w:sz="6" w:space="0" w:color="000000"/>
              <w:bottom w:val="single" w:sz="6" w:space="0" w:color="000000"/>
              <w:right w:val="single" w:sz="12" w:space="0" w:color="000000"/>
            </w:tcBorders>
            <w:shd w:val="clear" w:color="auto" w:fill="D2D2D2"/>
          </w:tcPr>
          <w:p>
            <w:pPr/>
          </w:p>
        </w:tc>
      </w:tr>
      <w:tr>
        <w:trPr>
          <w:trHeight w:val="203" w:hRule="exact"/>
        </w:trPr>
        <w:tc>
          <w:tcPr>
            <w:tcW w:w="2656" w:type="dxa"/>
            <w:vMerge/>
            <w:tcBorders>
              <w:left w:val="single" w:sz="12" w:space="0" w:color="000000"/>
              <w:bottom w:val="nil" w:sz="6" w:space="0" w:color="auto"/>
              <w:right w:val="single" w:sz="6" w:space="0" w:color="000000"/>
            </w:tcBorders>
            <w:shd w:val="clear" w:color="auto" w:fill="D2D2D2"/>
          </w:tcPr>
          <w:p>
            <w:pPr/>
          </w:p>
        </w:tc>
        <w:tc>
          <w:tcPr>
            <w:tcW w:w="3081" w:type="dxa"/>
            <w:vMerge/>
            <w:tcBorders>
              <w:left w:val="single" w:sz="6" w:space="0" w:color="000000"/>
              <w:bottom w:val="nil" w:sz="6" w:space="0" w:color="auto"/>
              <w:right w:val="single" w:sz="6" w:space="0" w:color="000000"/>
            </w:tcBorders>
            <w:shd w:val="clear" w:color="auto" w:fill="D2D2D2"/>
          </w:tcPr>
          <w:p>
            <w:pPr/>
          </w:p>
        </w:tc>
        <w:tc>
          <w:tcPr>
            <w:tcW w:w="19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1"/>
              <w:ind w:left="20" w:right="-13"/>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2" w:type="dxa"/>
            <w:vMerge w:val="restart"/>
            <w:tcBorders>
              <w:top w:val="single" w:sz="6" w:space="0" w:color="000000"/>
              <w:left w:val="single" w:sz="6" w:space="0" w:color="000000"/>
              <w:right w:val="single" w:sz="12" w:space="0" w:color="000000"/>
            </w:tcBorders>
            <w:shd w:val="clear" w:color="auto" w:fill="D2D2D2"/>
          </w:tcPr>
          <w:p>
            <w:pPr>
              <w:pStyle w:val="TableParagraph"/>
              <w:spacing w:line="240" w:lineRule="auto" w:before="41"/>
              <w:ind w:left="21" w:right="-22"/>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11" w:hRule="exact"/>
        </w:trPr>
        <w:tc>
          <w:tcPr>
            <w:tcW w:w="2656" w:type="dxa"/>
            <w:tcBorders>
              <w:top w:val="nil" w:sz="6" w:space="0" w:color="auto"/>
              <w:left w:val="single" w:sz="12" w:space="0" w:color="000000"/>
              <w:bottom w:val="single" w:sz="6" w:space="0" w:color="000000"/>
              <w:right w:val="single" w:sz="6" w:space="0" w:color="000000"/>
            </w:tcBorders>
            <w:shd w:val="clear" w:color="auto" w:fill="D2D2D2"/>
          </w:tcPr>
          <w:p>
            <w:pPr/>
          </w:p>
        </w:tc>
        <w:tc>
          <w:tcPr>
            <w:tcW w:w="3081"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3" w:type="dxa"/>
            <w:vMerge/>
            <w:tcBorders>
              <w:left w:val="single" w:sz="6" w:space="0" w:color="000000"/>
              <w:bottom w:val="single" w:sz="6" w:space="0" w:color="000000"/>
              <w:right w:val="single" w:sz="6" w:space="0" w:color="000000"/>
            </w:tcBorders>
            <w:shd w:val="clear" w:color="auto" w:fill="D2D2D2"/>
          </w:tcPr>
          <w:p>
            <w:pPr/>
          </w:p>
        </w:tc>
        <w:tc>
          <w:tcPr>
            <w:tcW w:w="1912" w:type="dxa"/>
            <w:vMerge/>
            <w:tcBorders>
              <w:left w:val="single" w:sz="6" w:space="0" w:color="000000"/>
              <w:bottom w:val="single" w:sz="6" w:space="0" w:color="000000"/>
              <w:right w:val="single" w:sz="12" w:space="0" w:color="000000"/>
            </w:tcBorders>
            <w:shd w:val="clear" w:color="auto" w:fill="D2D2D2"/>
          </w:tcPr>
          <w:p>
            <w:pPr/>
          </w:p>
        </w:tc>
      </w:tr>
      <w:tr>
        <w:trPr>
          <w:trHeight w:val="407" w:hRule="exact"/>
        </w:trPr>
        <w:tc>
          <w:tcPr>
            <w:tcW w:w="2656"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4"/>
              <w:ind w:left="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5.21%</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0.2764</w:t>
            </w:r>
          </w:p>
        </w:tc>
        <w:tc>
          <w:tcPr>
            <w:tcW w:w="1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z w:val="18"/>
              </w:rPr>
              <w:t>0.2764</w:t>
            </w:r>
          </w:p>
        </w:tc>
      </w:tr>
      <w:tr>
        <w:trPr>
          <w:trHeight w:val="727" w:hRule="exact"/>
        </w:trPr>
        <w:tc>
          <w:tcPr>
            <w:tcW w:w="2656"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9" w:lineRule="auto" w:before="34"/>
              <w:ind w:left="6" w:right="10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3.98%</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8"/>
              <w:jc w:val="right"/>
              <w:rPr>
                <w:rFonts w:ascii="宋体" w:hAnsi="宋体" w:cs="宋体" w:eastAsia="宋体" w:hint="default"/>
                <w:sz w:val="18"/>
                <w:szCs w:val="18"/>
              </w:rPr>
            </w:pPr>
            <w:r>
              <w:rPr>
                <w:rFonts w:ascii="宋体"/>
                <w:sz w:val="18"/>
              </w:rPr>
              <w:t>0.2113</w:t>
            </w:r>
          </w:p>
        </w:tc>
        <w:tc>
          <w:tcPr>
            <w:tcW w:w="19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8"/>
              <w:jc w:val="right"/>
              <w:rPr>
                <w:rFonts w:ascii="宋体" w:hAnsi="宋体" w:cs="宋体" w:eastAsia="宋体" w:hint="default"/>
                <w:sz w:val="18"/>
                <w:szCs w:val="18"/>
              </w:rPr>
            </w:pPr>
            <w:r>
              <w:rPr>
                <w:rFonts w:ascii="宋体"/>
                <w:sz w:val="18"/>
              </w:rPr>
              <w:t>0.2113</w:t>
            </w:r>
          </w:p>
        </w:tc>
      </w:tr>
    </w:tbl>
    <w:p>
      <w:pPr>
        <w:pStyle w:val="Heading4"/>
        <w:spacing w:line="240" w:lineRule="auto" w:before="46"/>
        <w:ind w:right="0"/>
        <w:jc w:val="left"/>
        <w:rPr>
          <w:b w:val="0"/>
          <w:bCs w:val="0"/>
        </w:rPr>
      </w:pPr>
      <w:bookmarkStart w:name="3、境内外会计准则下会计数据差异" w:id="451"/>
      <w:bookmarkEnd w:id="451"/>
      <w:r>
        <w:rPr>
          <w:b w:val="0"/>
          <w:bCs w:val="0"/>
        </w:rPr>
      </w:r>
      <w:r>
        <w:rPr>
          <w:rFonts w:ascii="宋体" w:hAnsi="宋体" w:cs="宋体" w:eastAsia="宋体" w:hint="default"/>
        </w:rPr>
        <w:t>3</w:t>
      </w:r>
      <w:r>
        <w:rPr/>
        <w:t>、境内外会计准则下会计数据差异</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right="0"/>
        <w:jc w:val="left"/>
        <w:rPr>
          <w:b w:val="0"/>
          <w:bCs w:val="0"/>
        </w:rPr>
      </w:pPr>
      <w:bookmarkStart w:name="（1）同时按照国际会计准则与按中国会计准则披露的财务报告中净利润和净资产差异情况" w:id="452"/>
      <w:bookmarkEnd w:id="452"/>
      <w:r>
        <w:rPr>
          <w:b w:val="0"/>
          <w:bCs w:val="0"/>
        </w:rPr>
      </w: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同时按照境外会计准则与按中国会计准则披露的财务报告中净利润和净资产差异情况" w:id="453"/>
      <w:bookmarkEnd w:id="453"/>
      <w:r>
        <w:rPr>
          <w:b w:val="0"/>
          <w:bCs w:val="0"/>
        </w:rPr>
      </w: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Heading4"/>
        <w:spacing w:line="408" w:lineRule="auto"/>
        <w:ind w:right="0"/>
        <w:jc w:val="left"/>
        <w:rPr>
          <w:b w:val="0"/>
          <w:bCs w:val="0"/>
        </w:rPr>
      </w:pPr>
      <w:bookmarkStart w:name="（3）境内外会计准则下会计数据差异原因说明，对已经境外审计机构审计的数据进行差异" w:id="454"/>
      <w:bookmarkEnd w:id="454"/>
      <w:r>
        <w:rPr>
          <w:b w:val="0"/>
          <w:bCs w:val="0"/>
        </w:rPr>
      </w:r>
      <w:r>
        <w:rPr/>
        <w:t>（</w:t>
      </w:r>
      <w:r>
        <w:rPr>
          <w:rFonts w:ascii="宋体" w:hAnsi="宋体" w:cs="宋体" w:eastAsia="宋体"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408" w:lineRule="auto" w:before="46"/>
        <w:ind w:left="154" w:right="692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会计政策变更相关补充资料" w:id="455"/>
      <w:bookmarkEnd w:id="455"/>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、会计政策变更相关补充资料</w:t>
      </w:r>
      <w:r>
        <w:rPr>
          <w:rFonts w:ascii="宋体" w:hAnsi="宋体" w:cs="宋体" w:eastAsia="宋体" w:hint="default"/>
          <w:sz w:val="21"/>
          <w:szCs w:val="21"/>
        </w:rPr>
      </w:r>
    </w:p>
    <w:p>
      <w:pPr>
        <w:pStyle w:val="BodyText"/>
        <w:spacing w:line="240" w:lineRule="auto"/>
        <w:ind w:left="154"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240" w:lineRule="auto" w:before="0"/>
        <w:ind w:left="154" w:right="0"/>
        <w:jc w:val="left"/>
      </w:pPr>
      <w:r>
        <w:rPr/>
        <w:t>公司根据财政部</w:t>
      </w:r>
      <w:r>
        <w:rPr>
          <w:spacing w:val="-33"/>
        </w:rPr>
        <w:t> </w:t>
      </w:r>
      <w:r>
        <w:rPr>
          <w:rFonts w:ascii="宋体" w:hAnsi="宋体" w:cs="宋体" w:eastAsia="宋体" w:hint="default"/>
        </w:rPr>
        <w:t>2014</w:t>
      </w:r>
      <w:r>
        <w:rPr>
          <w:rFonts w:ascii="宋体" w:hAnsi="宋体" w:cs="宋体" w:eastAsia="宋体" w:hint="default"/>
          <w:spacing w:val="-33"/>
        </w:rPr>
        <w:t> </w:t>
      </w:r>
      <w:r>
        <w:rPr/>
        <w:t>年发布的《企业会计准则第</w:t>
      </w:r>
      <w:r>
        <w:rPr>
          <w:spacing w:val="-33"/>
        </w:rPr>
        <w:t> </w:t>
      </w:r>
      <w:r>
        <w:rPr>
          <w:rFonts w:ascii="宋体" w:hAnsi="宋体" w:cs="宋体" w:eastAsia="宋体" w:hint="default"/>
        </w:rPr>
        <w:t>2</w:t>
      </w:r>
      <w:r>
        <w:rPr>
          <w:rFonts w:ascii="宋体" w:hAnsi="宋体" w:cs="宋体" w:eastAsia="宋体" w:hint="default"/>
          <w:spacing w:val="-33"/>
        </w:rPr>
        <w:t> </w:t>
      </w:r>
      <w:r>
        <w:rPr/>
        <w:t>号——长期股权投资》等八项会计准则变更了相关会</w:t>
      </w:r>
    </w:p>
    <w:p>
      <w:pPr>
        <w:spacing w:line="240" w:lineRule="auto" w:before="10"/>
        <w:rPr>
          <w:rFonts w:ascii="宋体" w:hAnsi="宋体" w:cs="宋体" w:eastAsia="宋体" w:hint="default"/>
          <w:sz w:val="14"/>
          <w:szCs w:val="14"/>
        </w:rPr>
      </w:pPr>
    </w:p>
    <w:p>
      <w:pPr>
        <w:pStyle w:val="BodyText"/>
        <w:spacing w:line="408" w:lineRule="auto" w:before="0"/>
        <w:ind w:right="149"/>
        <w:jc w:val="left"/>
      </w:pPr>
      <w:r>
        <w:rPr/>
        <w:t>计政策并对比较财务报表进行了追溯重述，重述后的</w:t>
      </w:r>
      <w:r>
        <w:rPr>
          <w:spacing w:val="-50"/>
        </w:rPr>
        <w:t> </w:t>
      </w:r>
      <w:r>
        <w:rPr>
          <w:rFonts w:ascii="宋体" w:hAnsi="宋体" w:cs="宋体" w:eastAsia="宋体" w:hint="default"/>
        </w:rPr>
        <w:t>2013</w:t>
      </w:r>
      <w:r>
        <w:rPr>
          <w:rFonts w:ascii="宋体" w:hAnsi="宋体" w:cs="宋体" w:eastAsia="宋体" w:hint="default"/>
          <w:spacing w:val="-52"/>
        </w:rPr>
        <w:t> </w:t>
      </w:r>
      <w:r>
        <w:rPr/>
        <w:t>年</w:t>
      </w:r>
      <w:r>
        <w:rPr>
          <w:spacing w:val="-51"/>
        </w:rPr>
        <w:t> </w:t>
      </w:r>
      <w:r>
        <w:rPr>
          <w:rFonts w:ascii="宋体" w:hAnsi="宋体" w:cs="宋体" w:eastAsia="宋体" w:hint="default"/>
        </w:rPr>
        <w:t>1</w:t>
      </w:r>
      <w:r>
        <w:rPr>
          <w:rFonts w:ascii="宋体" w:hAnsi="宋体" w:cs="宋体" w:eastAsia="宋体" w:hint="default"/>
          <w:spacing w:val="-51"/>
        </w:rPr>
        <w:t> </w:t>
      </w:r>
      <w:r>
        <w:rPr/>
        <w:t>月</w:t>
      </w:r>
      <w:r>
        <w:rPr>
          <w:spacing w:val="-51"/>
        </w:rPr>
        <w:t> </w:t>
      </w:r>
      <w:r>
        <w:rPr>
          <w:rFonts w:ascii="宋体" w:hAnsi="宋体" w:cs="宋体" w:eastAsia="宋体" w:hint="default"/>
        </w:rPr>
        <w:t>1</w:t>
      </w:r>
      <w:r>
        <w:rPr>
          <w:rFonts w:ascii="宋体" w:hAnsi="宋体" w:cs="宋体" w:eastAsia="宋体" w:hint="default"/>
          <w:spacing w:val="-51"/>
        </w:rPr>
        <w:t> </w:t>
      </w:r>
      <w:r>
        <w:rPr/>
        <w:t>日、</w:t>
      </w:r>
      <w:r>
        <w:rPr>
          <w:rFonts w:ascii="宋体" w:hAnsi="宋体" w:cs="宋体" w:eastAsia="宋体" w:hint="default"/>
        </w:rPr>
        <w:t>2013</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52"/>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日合并资产负债 表如下：</w:t>
      </w:r>
    </w:p>
    <w:p>
      <w:pPr>
        <w:spacing w:before="3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695"/>
        <w:gridCol w:w="2291"/>
        <w:gridCol w:w="2291"/>
        <w:gridCol w:w="2291"/>
      </w:tblGrid>
      <w:tr>
        <w:trPr>
          <w:trHeight w:val="398"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1158"/>
              <w:jc w:val="right"/>
              <w:rPr>
                <w:rFonts w:ascii="宋体" w:hAnsi="宋体" w:cs="宋体" w:eastAsia="宋体" w:hint="default"/>
                <w:sz w:val="18"/>
                <w:szCs w:val="18"/>
              </w:rPr>
            </w:pPr>
            <w:r>
              <w:rPr>
                <w:rFonts w:ascii="宋体" w:hAnsi="宋体" w:cs="宋体" w:eastAsia="宋体" w:hint="default"/>
                <w:sz w:val="18"/>
                <w:szCs w:val="18"/>
              </w:rPr>
              <w:t>项目</w:t>
            </w:r>
          </w:p>
        </w:tc>
        <w:tc>
          <w:tcPr>
            <w:tcW w:w="22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48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39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39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8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91"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1"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61"/>
              <w:ind w:left="985" w:right="0"/>
              <w:jc w:val="left"/>
              <w:rPr>
                <w:rFonts w:ascii="宋体" w:hAnsi="宋体" w:cs="宋体" w:eastAsia="宋体" w:hint="default"/>
                <w:sz w:val="18"/>
                <w:szCs w:val="18"/>
              </w:rPr>
            </w:pPr>
            <w:r>
              <w:rPr>
                <w:rFonts w:ascii="宋体"/>
                <w:sz w:val="18"/>
              </w:rPr>
              <w:t>474,178,650.82</w:t>
            </w:r>
          </w:p>
        </w:tc>
        <w:tc>
          <w:tcPr>
            <w:tcW w:w="2291" w:type="dxa"/>
            <w:tcBorders>
              <w:top w:val="single" w:sz="23" w:space="0" w:color="D2D2D2"/>
              <w:left w:val="single" w:sz="6" w:space="0" w:color="000000"/>
              <w:bottom w:val="single" w:sz="6" w:space="0" w:color="000000"/>
              <w:right w:val="single" w:sz="6" w:space="0" w:color="000000"/>
            </w:tcBorders>
          </w:tcPr>
          <w:p>
            <w:pPr>
              <w:pStyle w:val="TableParagraph"/>
              <w:spacing w:line="240" w:lineRule="auto" w:before="61"/>
              <w:ind w:right="17"/>
              <w:jc w:val="right"/>
              <w:rPr>
                <w:rFonts w:ascii="宋体" w:hAnsi="宋体" w:cs="宋体" w:eastAsia="宋体" w:hint="default"/>
                <w:sz w:val="18"/>
                <w:szCs w:val="18"/>
              </w:rPr>
            </w:pPr>
            <w:r>
              <w:rPr>
                <w:rFonts w:ascii="宋体"/>
                <w:sz w:val="18"/>
              </w:rPr>
              <w:t>361,377,372.29</w:t>
            </w:r>
          </w:p>
        </w:tc>
        <w:tc>
          <w:tcPr>
            <w:tcW w:w="2291"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left="997" w:right="0"/>
              <w:jc w:val="left"/>
              <w:rPr>
                <w:rFonts w:ascii="宋体" w:hAnsi="宋体" w:cs="宋体" w:eastAsia="宋体" w:hint="default"/>
                <w:sz w:val="18"/>
                <w:szCs w:val="18"/>
              </w:rPr>
            </w:pPr>
            <w:r>
              <w:rPr>
                <w:rFonts w:ascii="宋体"/>
                <w:sz w:val="18"/>
              </w:rPr>
              <w:t>376,665,386.10</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3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入当期损益的金融资产</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7,176.57</w:t>
            </w: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21" w:hRule="exact"/>
        </w:trPr>
        <w:tc>
          <w:tcPr>
            <w:tcW w:w="26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right="1217"/>
              <w:jc w:val="right"/>
              <w:rPr>
                <w:rFonts w:ascii="宋体" w:hAnsi="宋体" w:cs="宋体" w:eastAsia="宋体" w:hint="default"/>
                <w:sz w:val="18"/>
                <w:szCs w:val="18"/>
              </w:rPr>
            </w:pPr>
            <w:r>
              <w:rPr>
                <w:rFonts w:ascii="宋体" w:hAnsi="宋体" w:cs="宋体" w:eastAsia="宋体" w:hint="default"/>
                <w:sz w:val="18"/>
                <w:szCs w:val="18"/>
              </w:rPr>
              <w:t>衍生金融资产</w:t>
            </w:r>
          </w:p>
        </w:tc>
        <w:tc>
          <w:tcPr>
            <w:tcW w:w="2291" w:type="dxa"/>
            <w:tcBorders>
              <w:top w:val="single" w:sz="6" w:space="0" w:color="000000"/>
              <w:left w:val="single" w:sz="14" w:space="0" w:color="D2D2D2"/>
              <w:bottom w:val="single" w:sz="12" w:space="0" w:color="000000"/>
              <w:right w:val="single" w:sz="6" w:space="0" w:color="000000"/>
            </w:tcBorders>
          </w:tcPr>
          <w:p>
            <w:pPr/>
          </w:p>
        </w:tc>
        <w:tc>
          <w:tcPr>
            <w:tcW w:w="2291" w:type="dxa"/>
            <w:tcBorders>
              <w:top w:val="single" w:sz="6" w:space="0" w:color="000000"/>
              <w:left w:val="single" w:sz="6" w:space="0" w:color="000000"/>
              <w:bottom w:val="single" w:sz="12" w:space="0" w:color="000000"/>
              <w:right w:val="single" w:sz="6" w:space="0" w:color="000000"/>
            </w:tcBorders>
          </w:tcPr>
          <w:p>
            <w:pPr/>
          </w:p>
        </w:tc>
        <w:tc>
          <w:tcPr>
            <w:tcW w:w="229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2695"/>
        <w:gridCol w:w="2291"/>
        <w:gridCol w:w="2291"/>
        <w:gridCol w:w="2291"/>
      </w:tblGrid>
      <w:tr>
        <w:trPr>
          <w:trHeight w:val="370"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2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48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39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39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40"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91" w:type="dxa"/>
            <w:tcBorders>
              <w:top w:val="single" w:sz="17" w:space="0" w:color="D2D2D2"/>
              <w:left w:val="single" w:sz="14" w:space="0" w:color="D2D2D2"/>
              <w:bottom w:val="single" w:sz="6" w:space="0" w:color="000000"/>
              <w:right w:val="single" w:sz="6" w:space="0" w:color="000000"/>
            </w:tcBorders>
          </w:tcPr>
          <w:p>
            <w:pPr/>
          </w:p>
        </w:tc>
        <w:tc>
          <w:tcPr>
            <w:tcW w:w="2291" w:type="dxa"/>
            <w:tcBorders>
              <w:top w:val="single" w:sz="17" w:space="0" w:color="D2D2D2"/>
              <w:left w:val="single" w:sz="6" w:space="0" w:color="000000"/>
              <w:bottom w:val="single" w:sz="6" w:space="0" w:color="000000"/>
              <w:right w:val="single" w:sz="6" w:space="0" w:color="000000"/>
            </w:tcBorders>
          </w:tcPr>
          <w:p>
            <w:pPr>
              <w:pStyle w:val="TableParagraph"/>
              <w:spacing w:line="240" w:lineRule="auto" w:before="68"/>
              <w:ind w:right="17"/>
              <w:jc w:val="right"/>
              <w:rPr>
                <w:rFonts w:ascii="宋体" w:hAnsi="宋体" w:cs="宋体" w:eastAsia="宋体" w:hint="default"/>
                <w:sz w:val="18"/>
                <w:szCs w:val="18"/>
              </w:rPr>
            </w:pPr>
            <w:r>
              <w:rPr>
                <w:rFonts w:ascii="宋体"/>
                <w:sz w:val="18"/>
              </w:rPr>
              <w:t>2,300,000.00</w:t>
            </w:r>
          </w:p>
        </w:tc>
        <w:tc>
          <w:tcPr>
            <w:tcW w:w="2291"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8,450,720.00</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118,166,642.69</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206,552,047.30</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603,335,604.49</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7,972,033.78</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27,928,759.55</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4,715,210.33</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725,792.34</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579,682.22</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3,775,718.33</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39,115,035.02</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100,657,233.68</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38,033,551.02</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66,691,475.21</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84,813,968.80</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2,162,210.01</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21,865,619.26</w:t>
            </w:r>
          </w:p>
        </w:tc>
      </w:tr>
      <w:tr>
        <w:trPr>
          <w:trHeight w:val="43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91"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642,126,596.64</w:t>
            </w:r>
          </w:p>
        </w:tc>
        <w:tc>
          <w:tcPr>
            <w:tcW w:w="2291" w:type="dxa"/>
            <w:tcBorders>
              <w:top w:val="single" w:sz="6" w:space="0" w:color="000000"/>
              <w:left w:val="single" w:sz="6" w:space="0" w:color="000000"/>
              <w:bottom w:val="single" w:sz="23" w:space="0" w:color="D2D2D2"/>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706,859,868.29</w:t>
            </w:r>
          </w:p>
        </w:tc>
        <w:tc>
          <w:tcPr>
            <w:tcW w:w="2291"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1,201,083,424.88</w:t>
            </w:r>
          </w:p>
        </w:tc>
      </w:tr>
      <w:tr>
        <w:trPr>
          <w:trHeight w:val="36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91"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1"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291" w:type="dxa"/>
            <w:tcBorders>
              <w:top w:val="single" w:sz="17" w:space="0" w:color="D2D2D2"/>
              <w:left w:val="single" w:sz="14" w:space="0" w:color="D2D2D2"/>
              <w:bottom w:val="single" w:sz="6" w:space="0" w:color="000000"/>
              <w:right w:val="single" w:sz="6" w:space="0" w:color="000000"/>
            </w:tcBorders>
          </w:tcPr>
          <w:p>
            <w:pPr/>
          </w:p>
        </w:tc>
        <w:tc>
          <w:tcPr>
            <w:tcW w:w="2291" w:type="dxa"/>
            <w:tcBorders>
              <w:top w:val="single" w:sz="17" w:space="0" w:color="D2D2D2"/>
              <w:left w:val="single" w:sz="6" w:space="0" w:color="000000"/>
              <w:bottom w:val="single" w:sz="6" w:space="0" w:color="000000"/>
              <w:right w:val="single" w:sz="6" w:space="0" w:color="000000"/>
            </w:tcBorders>
          </w:tcPr>
          <w:p>
            <w:pPr/>
          </w:p>
        </w:tc>
        <w:tc>
          <w:tcPr>
            <w:tcW w:w="2291" w:type="dxa"/>
            <w:tcBorders>
              <w:top w:val="single" w:sz="17" w:space="0" w:color="D2D2D2"/>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700,000.00</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6,742,650.93</w:t>
            </w: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9,762,489.22</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11,069,385.27</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91,452,069.20</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114,210,568.72</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138,314,060.18</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9,560,318.33</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49,943,662.52</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160,258,437.13</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36,129,735.87</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36,290,914.33</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136,774,938.04</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323,305,967.10</w:t>
            </w:r>
          </w:p>
        </w:tc>
      </w:tr>
      <w:tr>
        <w:trPr>
          <w:trHeight w:val="421" w:hRule="exact"/>
        </w:trPr>
        <w:tc>
          <w:tcPr>
            <w:tcW w:w="26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91" w:type="dxa"/>
            <w:tcBorders>
              <w:top w:val="single" w:sz="6" w:space="0" w:color="000000"/>
              <w:left w:val="single" w:sz="14" w:space="0" w:color="D2D2D2"/>
              <w:bottom w:val="single" w:sz="12" w:space="0" w:color="000000"/>
              <w:right w:val="single" w:sz="6" w:space="0" w:color="000000"/>
            </w:tcBorders>
          </w:tcPr>
          <w:p>
            <w:pPr/>
          </w:p>
        </w:tc>
        <w:tc>
          <w:tcPr>
            <w:tcW w:w="2291" w:type="dxa"/>
            <w:tcBorders>
              <w:top w:val="single" w:sz="6" w:space="0" w:color="000000"/>
              <w:left w:val="single" w:sz="6" w:space="0" w:color="000000"/>
              <w:bottom w:val="single" w:sz="12" w:space="0" w:color="000000"/>
              <w:right w:val="single" w:sz="6" w:space="0" w:color="000000"/>
            </w:tcBorders>
          </w:tcPr>
          <w:p>
            <w:pPr/>
          </w:p>
        </w:tc>
        <w:tc>
          <w:tcPr>
            <w:tcW w:w="22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513,541.67</w:t>
            </w:r>
          </w:p>
        </w:tc>
      </w:tr>
    </w:tbl>
    <w:p>
      <w:pPr>
        <w:spacing w:after="0" w:line="240" w:lineRule="auto"/>
        <w:jc w:val="right"/>
        <w:rPr>
          <w:rFonts w:ascii="宋体" w:hAnsi="宋体" w:cs="宋体" w:eastAsia="宋体" w:hint="default"/>
          <w:sz w:val="18"/>
          <w:szCs w:val="18"/>
        </w:rPr>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2695"/>
        <w:gridCol w:w="2291"/>
        <w:gridCol w:w="2291"/>
        <w:gridCol w:w="2291"/>
      </w:tblGrid>
      <w:tr>
        <w:trPr>
          <w:trHeight w:val="370"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2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48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39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39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40"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91" w:type="dxa"/>
            <w:tcBorders>
              <w:top w:val="single" w:sz="17" w:space="0" w:color="D2D2D2"/>
              <w:left w:val="single" w:sz="14" w:space="0" w:color="D2D2D2"/>
              <w:bottom w:val="single" w:sz="6" w:space="0" w:color="000000"/>
              <w:right w:val="single" w:sz="6" w:space="0" w:color="000000"/>
            </w:tcBorders>
          </w:tcPr>
          <w:p>
            <w:pPr/>
          </w:p>
        </w:tc>
        <w:tc>
          <w:tcPr>
            <w:tcW w:w="2291" w:type="dxa"/>
            <w:tcBorders>
              <w:top w:val="single" w:sz="17" w:space="0" w:color="D2D2D2"/>
              <w:left w:val="single" w:sz="6" w:space="0" w:color="000000"/>
              <w:bottom w:val="single" w:sz="6" w:space="0" w:color="000000"/>
              <w:right w:val="single" w:sz="6" w:space="0" w:color="000000"/>
            </w:tcBorders>
          </w:tcPr>
          <w:p>
            <w:pPr/>
          </w:p>
        </w:tc>
        <w:tc>
          <w:tcPr>
            <w:tcW w:w="2291"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5,579,880.84</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10,123,503.45</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145,017,216.19</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223,767,077.80</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786,639,713.68</w:t>
            </w:r>
          </w:p>
        </w:tc>
      </w:tr>
      <w:tr>
        <w:trPr>
          <w:trHeight w:val="43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91" w:type="dxa"/>
            <w:tcBorders>
              <w:top w:val="single" w:sz="6" w:space="0" w:color="000000"/>
              <w:left w:val="single" w:sz="14" w:space="0" w:color="D2D2D2"/>
              <w:bottom w:val="single" w:sz="17"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787,143,812.83</w:t>
            </w:r>
          </w:p>
        </w:tc>
        <w:tc>
          <w:tcPr>
            <w:tcW w:w="2291" w:type="dxa"/>
            <w:tcBorders>
              <w:top w:val="single" w:sz="6" w:space="0" w:color="000000"/>
              <w:left w:val="single" w:sz="6" w:space="0" w:color="000000"/>
              <w:bottom w:val="single" w:sz="17" w:space="0" w:color="D2D2D2"/>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930,626,946.09</w:t>
            </w:r>
          </w:p>
        </w:tc>
        <w:tc>
          <w:tcPr>
            <w:tcW w:w="2291" w:type="dxa"/>
            <w:tcBorders>
              <w:top w:val="single" w:sz="6" w:space="0" w:color="000000"/>
              <w:left w:val="single" w:sz="6" w:space="0" w:color="000000"/>
              <w:bottom w:val="single" w:sz="17"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1,987,723,138.56</w:t>
            </w:r>
          </w:p>
        </w:tc>
      </w:tr>
      <w:tr>
        <w:trPr>
          <w:trHeight w:val="36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91"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1"/>
              <w:ind w:left="3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1" w:type="dxa"/>
            <w:tcBorders>
              <w:top w:val="single" w:sz="23" w:space="0" w:color="D2D2D2"/>
              <w:left w:val="single" w:sz="14" w:space="0" w:color="D2D2D2"/>
              <w:bottom w:val="single" w:sz="6" w:space="0" w:color="000000"/>
              <w:right w:val="single" w:sz="6" w:space="0" w:color="000000"/>
            </w:tcBorders>
          </w:tcPr>
          <w:p>
            <w:pPr>
              <w:pStyle w:val="TableParagraph"/>
              <w:spacing w:line="240" w:lineRule="auto" w:before="59"/>
              <w:ind w:right="18"/>
              <w:jc w:val="right"/>
              <w:rPr>
                <w:rFonts w:ascii="宋体" w:hAnsi="宋体" w:cs="宋体" w:eastAsia="宋体" w:hint="default"/>
                <w:sz w:val="18"/>
                <w:szCs w:val="18"/>
              </w:rPr>
            </w:pPr>
            <w:r>
              <w:rPr>
                <w:rFonts w:ascii="宋体"/>
                <w:sz w:val="18"/>
              </w:rPr>
              <w:t>13,000,000.00</w:t>
            </w:r>
          </w:p>
        </w:tc>
        <w:tc>
          <w:tcPr>
            <w:tcW w:w="2291" w:type="dxa"/>
            <w:tcBorders>
              <w:top w:val="single" w:sz="23" w:space="0" w:color="D2D2D2"/>
              <w:left w:val="single" w:sz="6" w:space="0" w:color="000000"/>
              <w:bottom w:val="single" w:sz="6" w:space="0" w:color="000000"/>
              <w:right w:val="single" w:sz="6" w:space="0" w:color="000000"/>
            </w:tcBorders>
          </w:tcPr>
          <w:p>
            <w:pPr>
              <w:pStyle w:val="TableParagraph"/>
              <w:spacing w:line="240" w:lineRule="auto" w:before="59"/>
              <w:ind w:right="17"/>
              <w:jc w:val="right"/>
              <w:rPr>
                <w:rFonts w:ascii="宋体" w:hAnsi="宋体" w:cs="宋体" w:eastAsia="宋体" w:hint="default"/>
                <w:sz w:val="18"/>
                <w:szCs w:val="18"/>
              </w:rPr>
            </w:pPr>
            <w:r>
              <w:rPr>
                <w:rFonts w:ascii="宋体"/>
                <w:sz w:val="18"/>
              </w:rPr>
              <w:t>78,500,000.00</w:t>
            </w:r>
          </w:p>
        </w:tc>
        <w:tc>
          <w:tcPr>
            <w:tcW w:w="2291"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108,000,000.00</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3" w:right="13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入当期损益的金融负债</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31,236,928.32</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27,613,002.65</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34,749,821.02</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49,821,094.01</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109,196,845.14</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224,596,179.23</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4,111,571.20</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3,373,022.38</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5,761,844.69</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4"/>
              <w:ind w:left="37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12,166,439.23</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8,525,275.61</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10,264,707.18</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9,710,176.77</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7,250,678.19</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17,410,458.78</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15,525,288.00</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3,906,724.03</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2,276,716.31</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113,082,287.59</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35"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91" w:type="dxa"/>
            <w:tcBorders>
              <w:top w:val="single" w:sz="6" w:space="0" w:color="000000"/>
              <w:left w:val="single" w:sz="14" w:space="0" w:color="D2D2D2"/>
              <w:bottom w:val="single" w:sz="17"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123,952,933.56</w:t>
            </w:r>
          </w:p>
        </w:tc>
        <w:tc>
          <w:tcPr>
            <w:tcW w:w="2291" w:type="dxa"/>
            <w:tcBorders>
              <w:top w:val="single" w:sz="6" w:space="0" w:color="000000"/>
              <w:left w:val="single" w:sz="6" w:space="0" w:color="000000"/>
              <w:bottom w:val="single" w:sz="17" w:space="0" w:color="D2D2D2"/>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236,735,540.28</w:t>
            </w:r>
          </w:p>
        </w:tc>
        <w:tc>
          <w:tcPr>
            <w:tcW w:w="2291" w:type="dxa"/>
            <w:tcBorders>
              <w:top w:val="single" w:sz="6" w:space="0" w:color="000000"/>
              <w:left w:val="single" w:sz="6" w:space="0" w:color="000000"/>
              <w:bottom w:val="single" w:sz="17"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529,390,586.49</w:t>
            </w:r>
          </w:p>
        </w:tc>
      </w:tr>
      <w:tr>
        <w:trPr>
          <w:trHeight w:val="36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91"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1" w:type="dxa"/>
            <w:tcBorders>
              <w:top w:val="single" w:sz="23" w:space="0" w:color="D2D2D2"/>
              <w:left w:val="single" w:sz="14" w:space="0" w:color="D2D2D2"/>
              <w:bottom w:val="single" w:sz="6" w:space="0" w:color="000000"/>
              <w:right w:val="single" w:sz="6" w:space="0" w:color="000000"/>
            </w:tcBorders>
          </w:tcPr>
          <w:p>
            <w:pPr/>
          </w:p>
        </w:tc>
        <w:tc>
          <w:tcPr>
            <w:tcW w:w="2291" w:type="dxa"/>
            <w:tcBorders>
              <w:top w:val="single" w:sz="23" w:space="0" w:color="D2D2D2"/>
              <w:left w:val="single" w:sz="6" w:space="0" w:color="000000"/>
              <w:bottom w:val="single" w:sz="6" w:space="0" w:color="000000"/>
              <w:right w:val="single" w:sz="6" w:space="0" w:color="000000"/>
            </w:tcBorders>
          </w:tcPr>
          <w:p>
            <w:pPr/>
          </w:p>
        </w:tc>
        <w:tc>
          <w:tcPr>
            <w:tcW w:w="2291" w:type="dxa"/>
            <w:tcBorders>
              <w:top w:val="single" w:sz="23" w:space="0" w:color="D2D2D2"/>
              <w:left w:val="single" w:sz="6" w:space="0" w:color="000000"/>
              <w:bottom w:val="single" w:sz="6" w:space="0" w:color="000000"/>
              <w:right w:val="single" w:sz="12"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30,515,796.00</w:t>
            </w:r>
          </w:p>
        </w:tc>
      </w:tr>
      <w:tr>
        <w:trPr>
          <w:trHeight w:val="421" w:hRule="exact"/>
        </w:trPr>
        <w:tc>
          <w:tcPr>
            <w:tcW w:w="26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91" w:type="dxa"/>
            <w:tcBorders>
              <w:top w:val="single" w:sz="6" w:space="0" w:color="000000"/>
              <w:left w:val="single" w:sz="14" w:space="0" w:color="D2D2D2"/>
              <w:bottom w:val="single" w:sz="12" w:space="0" w:color="000000"/>
              <w:right w:val="single" w:sz="6" w:space="0" w:color="000000"/>
            </w:tcBorders>
          </w:tcPr>
          <w:p>
            <w:pPr/>
          </w:p>
        </w:tc>
        <w:tc>
          <w:tcPr>
            <w:tcW w:w="2291" w:type="dxa"/>
            <w:tcBorders>
              <w:top w:val="single" w:sz="6" w:space="0" w:color="000000"/>
              <w:left w:val="single" w:sz="6" w:space="0" w:color="000000"/>
              <w:bottom w:val="single" w:sz="12" w:space="0" w:color="000000"/>
              <w:right w:val="single" w:sz="6" w:space="0" w:color="000000"/>
            </w:tcBorders>
          </w:tcPr>
          <w:p>
            <w:pPr/>
          </w:p>
        </w:tc>
        <w:tc>
          <w:tcPr>
            <w:tcW w:w="229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747" w:footer="1000" w:top="104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2695"/>
        <w:gridCol w:w="2291"/>
        <w:gridCol w:w="2291"/>
        <w:gridCol w:w="2291"/>
      </w:tblGrid>
      <w:tr>
        <w:trPr>
          <w:trHeight w:val="370" w:hRule="exact"/>
        </w:trPr>
        <w:tc>
          <w:tcPr>
            <w:tcW w:w="269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2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48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1"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1"/>
              <w:ind w:left="39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1"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31"/>
              <w:ind w:left="39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40"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91" w:type="dxa"/>
            <w:tcBorders>
              <w:top w:val="single" w:sz="17" w:space="0" w:color="D2D2D2"/>
              <w:left w:val="single" w:sz="14" w:space="0" w:color="D2D2D2"/>
              <w:bottom w:val="single" w:sz="6" w:space="0" w:color="000000"/>
              <w:right w:val="single" w:sz="6" w:space="0" w:color="000000"/>
            </w:tcBorders>
          </w:tcPr>
          <w:p>
            <w:pPr/>
          </w:p>
        </w:tc>
        <w:tc>
          <w:tcPr>
            <w:tcW w:w="2291" w:type="dxa"/>
            <w:tcBorders>
              <w:top w:val="single" w:sz="17" w:space="0" w:color="D2D2D2"/>
              <w:left w:val="single" w:sz="6" w:space="0" w:color="000000"/>
              <w:bottom w:val="single" w:sz="6" w:space="0" w:color="000000"/>
              <w:right w:val="single" w:sz="6" w:space="0" w:color="000000"/>
            </w:tcBorders>
          </w:tcPr>
          <w:p>
            <w:pPr/>
          </w:p>
        </w:tc>
        <w:tc>
          <w:tcPr>
            <w:tcW w:w="2291" w:type="dxa"/>
            <w:tcBorders>
              <w:top w:val="single" w:sz="17" w:space="0" w:color="D2D2D2"/>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54"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20,000,000.00</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5,512,503.00</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5,332,503.00</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20,675,000.00</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7,451,945.14</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4,450,000.00</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5,512,503.00</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5,332,503.00</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83,092,741.14</w:t>
            </w:r>
          </w:p>
        </w:tc>
      </w:tr>
      <w:tr>
        <w:trPr>
          <w:trHeight w:val="434"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91" w:type="dxa"/>
            <w:tcBorders>
              <w:top w:val="single" w:sz="6" w:space="0" w:color="000000"/>
              <w:left w:val="single" w:sz="14" w:space="0" w:color="D2D2D2"/>
              <w:bottom w:val="single" w:sz="23" w:space="0" w:color="D2D2D2"/>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129,465,436.56</w:t>
            </w:r>
          </w:p>
        </w:tc>
        <w:tc>
          <w:tcPr>
            <w:tcW w:w="2291" w:type="dxa"/>
            <w:tcBorders>
              <w:top w:val="single" w:sz="6" w:space="0" w:color="000000"/>
              <w:left w:val="single" w:sz="6" w:space="0" w:color="000000"/>
              <w:bottom w:val="single" w:sz="23" w:space="0" w:color="D2D2D2"/>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242,068,043.28</w:t>
            </w:r>
          </w:p>
        </w:tc>
        <w:tc>
          <w:tcPr>
            <w:tcW w:w="2291" w:type="dxa"/>
            <w:tcBorders>
              <w:top w:val="single" w:sz="6" w:space="0" w:color="000000"/>
              <w:left w:val="single" w:sz="6" w:space="0" w:color="000000"/>
              <w:bottom w:val="single" w:sz="23" w:space="0" w:color="D2D2D2"/>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612,483,327.63</w:t>
            </w:r>
          </w:p>
        </w:tc>
      </w:tr>
      <w:tr>
        <w:trPr>
          <w:trHeight w:val="36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31"/>
              <w:ind w:left="1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91" w:type="dxa"/>
            <w:tcBorders>
              <w:top w:val="single" w:sz="6" w:space="0" w:color="000000"/>
              <w:left w:val="single" w:sz="6" w:space="0" w:color="000000"/>
              <w:bottom w:val="single" w:sz="6" w:space="0" w:color="000000"/>
              <w:right w:val="single" w:sz="12" w:space="0" w:color="000000"/>
            </w:tcBorders>
            <w:shd w:val="clear" w:color="auto" w:fill="D2D2D2"/>
          </w:tcPr>
          <w:p>
            <w:pPr/>
          </w:p>
        </w:tc>
      </w:tr>
      <w:tr>
        <w:trPr>
          <w:trHeight w:val="440"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2"/>
              <w:ind w:left="3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91" w:type="dxa"/>
            <w:tcBorders>
              <w:top w:val="single" w:sz="17" w:space="0" w:color="D2D2D2"/>
              <w:left w:val="single" w:sz="14" w:space="0" w:color="D2D2D2"/>
              <w:bottom w:val="single" w:sz="6" w:space="0" w:color="000000"/>
              <w:right w:val="single" w:sz="6" w:space="0" w:color="000000"/>
            </w:tcBorders>
          </w:tcPr>
          <w:p>
            <w:pPr>
              <w:pStyle w:val="TableParagraph"/>
              <w:spacing w:line="240" w:lineRule="auto" w:before="68"/>
              <w:ind w:right="18"/>
              <w:jc w:val="right"/>
              <w:rPr>
                <w:rFonts w:ascii="宋体" w:hAnsi="宋体" w:cs="宋体" w:eastAsia="宋体" w:hint="default"/>
                <w:sz w:val="18"/>
                <w:szCs w:val="18"/>
              </w:rPr>
            </w:pPr>
            <w:r>
              <w:rPr>
                <w:rFonts w:ascii="宋体"/>
                <w:sz w:val="18"/>
              </w:rPr>
              <w:t>86,670,000.00</w:t>
            </w:r>
          </w:p>
        </w:tc>
        <w:tc>
          <w:tcPr>
            <w:tcW w:w="2291" w:type="dxa"/>
            <w:tcBorders>
              <w:top w:val="single" w:sz="17" w:space="0" w:color="D2D2D2"/>
              <w:left w:val="single" w:sz="6" w:space="0" w:color="000000"/>
              <w:bottom w:val="single" w:sz="6" w:space="0" w:color="000000"/>
              <w:right w:val="single" w:sz="6" w:space="0" w:color="000000"/>
            </w:tcBorders>
          </w:tcPr>
          <w:p>
            <w:pPr>
              <w:pStyle w:val="TableParagraph"/>
              <w:spacing w:line="240" w:lineRule="auto" w:before="68"/>
              <w:ind w:right="17"/>
              <w:jc w:val="right"/>
              <w:rPr>
                <w:rFonts w:ascii="宋体" w:hAnsi="宋体" w:cs="宋体" w:eastAsia="宋体" w:hint="default"/>
                <w:sz w:val="18"/>
                <w:szCs w:val="18"/>
              </w:rPr>
            </w:pPr>
            <w:r>
              <w:rPr>
                <w:rFonts w:ascii="宋体"/>
                <w:sz w:val="18"/>
              </w:rPr>
              <w:t>130,005,000.00</w:t>
            </w:r>
          </w:p>
        </w:tc>
        <w:tc>
          <w:tcPr>
            <w:tcW w:w="2291" w:type="dxa"/>
            <w:tcBorders>
              <w:top w:val="single" w:sz="17" w:space="0" w:color="D2D2D2"/>
              <w:left w:val="single" w:sz="6" w:space="0" w:color="000000"/>
              <w:bottom w:val="single" w:sz="6" w:space="0" w:color="000000"/>
              <w:right w:val="single" w:sz="12" w:space="0" w:color="000000"/>
            </w:tcBorders>
          </w:tcPr>
          <w:p>
            <w:pPr>
              <w:pStyle w:val="TableParagraph"/>
              <w:spacing w:line="240" w:lineRule="auto" w:before="68"/>
              <w:ind w:right="11"/>
              <w:jc w:val="right"/>
              <w:rPr>
                <w:rFonts w:ascii="宋体" w:hAnsi="宋体" w:cs="宋体" w:eastAsia="宋体" w:hint="default"/>
                <w:sz w:val="18"/>
                <w:szCs w:val="18"/>
              </w:rPr>
            </w:pPr>
            <w:r>
              <w:rPr>
                <w:rFonts w:ascii="宋体"/>
                <w:sz w:val="18"/>
              </w:rPr>
              <w:t>161,221,848.00</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54"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407,225,702.61</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363,890,702.61</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926,883,002.46</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15,221,838.35</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17,728,817.66</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20,423,426.70</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148,560,835.31</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167,389,661.85</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187,625,505.35</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657,678,376.27</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679,014,182.12</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1,296,153,782.51</w:t>
            </w:r>
          </w:p>
        </w:tc>
      </w:tr>
      <w:tr>
        <w:trPr>
          <w:trHeight w:val="412"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37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91" w:type="dxa"/>
            <w:tcBorders>
              <w:top w:val="single" w:sz="6" w:space="0" w:color="000000"/>
              <w:left w:val="single" w:sz="14" w:space="0" w:color="D2D2D2"/>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9,544,720.69</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79,086,028.42</w:t>
            </w:r>
          </w:p>
        </w:tc>
      </w:tr>
      <w:tr>
        <w:trPr>
          <w:trHeight w:val="413" w:hRule="exact"/>
        </w:trPr>
        <w:tc>
          <w:tcPr>
            <w:tcW w:w="269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91" w:type="dxa"/>
            <w:tcBorders>
              <w:top w:val="single" w:sz="6" w:space="0" w:color="000000"/>
              <w:left w:val="single" w:sz="14" w:space="0" w:color="D2D2D2"/>
              <w:bottom w:val="single" w:sz="6" w:space="0" w:color="000000"/>
              <w:right w:val="single" w:sz="6"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657,678,376.27</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688,558,902.81</w:t>
            </w:r>
          </w:p>
        </w:tc>
        <w:tc>
          <w:tcPr>
            <w:tcW w:w="22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1,375,239,810.93</w:t>
            </w:r>
          </w:p>
        </w:tc>
      </w:tr>
      <w:tr>
        <w:trPr>
          <w:trHeight w:val="419" w:hRule="exact"/>
        </w:trPr>
        <w:tc>
          <w:tcPr>
            <w:tcW w:w="269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91" w:type="dxa"/>
            <w:tcBorders>
              <w:top w:val="single" w:sz="6" w:space="0" w:color="000000"/>
              <w:left w:val="single" w:sz="14" w:space="0" w:color="D2D2D2"/>
              <w:bottom w:val="single" w:sz="12" w:space="0" w:color="000000"/>
              <w:right w:val="single" w:sz="6"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787,143,812.83</w:t>
            </w:r>
          </w:p>
        </w:tc>
        <w:tc>
          <w:tcPr>
            <w:tcW w:w="22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930,626,946.09</w:t>
            </w:r>
          </w:p>
        </w:tc>
        <w:tc>
          <w:tcPr>
            <w:tcW w:w="22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1,987,723,138.56</w:t>
            </w:r>
          </w:p>
        </w:tc>
      </w:tr>
    </w:tbl>
    <w:p>
      <w:pPr>
        <w:pStyle w:val="Heading4"/>
        <w:spacing w:line="240" w:lineRule="auto" w:before="63"/>
        <w:ind w:right="0"/>
        <w:jc w:val="left"/>
        <w:rPr>
          <w:b w:val="0"/>
          <w:bCs w:val="0"/>
        </w:rPr>
      </w:pPr>
      <w:bookmarkStart w:name="5、其他" w:id="456"/>
      <w:bookmarkEnd w:id="456"/>
      <w:r>
        <w:rPr>
          <w:b w:val="0"/>
          <w:bCs w:val="0"/>
        </w:rPr>
      </w:r>
      <w:r>
        <w:rPr>
          <w:rFonts w:ascii="宋体" w:hAnsi="宋体" w:cs="宋体" w:eastAsia="宋体" w:hint="default"/>
        </w:rPr>
        <w:t>5</w:t>
      </w:r>
      <w:r>
        <w:rPr/>
        <w:t>、其他</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54" w:right="0"/>
        <w:jc w:val="left"/>
      </w:pPr>
      <w:r>
        <w:rPr/>
        <w:t>□ 适用 √</w:t>
      </w:r>
      <w:r>
        <w:rPr>
          <w:spacing w:val="-1"/>
        </w:rPr>
        <w:t> </w:t>
      </w:r>
      <w:r>
        <w:rPr/>
        <w:t>不适用</w:t>
      </w:r>
    </w:p>
    <w:p>
      <w:pPr>
        <w:spacing w:after="0" w:line="240" w:lineRule="auto"/>
        <w:jc w:val="left"/>
        <w:sectPr>
          <w:pgSz w:w="11910" w:h="16840"/>
          <w:pgMar w:header="747" w:footer="1000" w:top="104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right="150"/>
        <w:jc w:val="center"/>
        <w:rPr>
          <w:b w:val="0"/>
          <w:bCs w:val="0"/>
        </w:rPr>
      </w:pPr>
      <w:bookmarkStart w:name="第十节 备查文件目录" w:id="457"/>
      <w:bookmarkEnd w:id="457"/>
      <w:r>
        <w:rPr>
          <w:b w:val="0"/>
          <w:bCs w:val="0"/>
        </w:rPr>
      </w:r>
      <w:bookmarkStart w:name="_bookmark9" w:id="458"/>
      <w:bookmarkEnd w:id="458"/>
      <w:r>
        <w:rPr>
          <w:b w:val="0"/>
          <w:bCs w:val="0"/>
        </w:rPr>
      </w:r>
      <w:r>
        <w:rPr/>
        <w:t>第十节</w:t>
      </w:r>
      <w:r>
        <w:rPr>
          <w:spacing w:val="-7"/>
        </w:rPr>
        <w:t> </w:t>
      </w:r>
      <w:r>
        <w:rPr/>
        <w:t>备查文件目录</w:t>
      </w:r>
      <w:r>
        <w:rPr>
          <w:b w:val="0"/>
          <w:bCs w:val="0"/>
        </w:rPr>
      </w:r>
    </w:p>
    <w:p>
      <w:pPr>
        <w:spacing w:line="240" w:lineRule="auto" w:before="10"/>
        <w:rPr>
          <w:rFonts w:ascii="宋体" w:hAnsi="宋体" w:cs="宋体" w:eastAsia="宋体" w:hint="default"/>
          <w:b/>
          <w:bCs/>
          <w:sz w:val="44"/>
          <w:szCs w:val="44"/>
        </w:rPr>
      </w:pPr>
    </w:p>
    <w:p>
      <w:pPr>
        <w:pStyle w:val="Heading3"/>
        <w:spacing w:line="357" w:lineRule="auto"/>
        <w:ind w:left="578" w:right="228"/>
        <w:jc w:val="left"/>
      </w:pPr>
      <w:r>
        <w:rPr/>
        <w:t>一、载有法定代表人、财务负责人、财务报表编制人签名并盖章的会计报表。 二、载有会计师事务所盖章、注册会计师签名并盖章的审计报告原件。 三、报告期内在中国证监会指定信息披露网站上披露的所有公司文件的正本及公告的原</w:t>
      </w:r>
    </w:p>
    <w:p>
      <w:pPr>
        <w:pStyle w:val="Heading3"/>
        <w:spacing w:line="240" w:lineRule="auto" w:before="36"/>
        <w:ind w:right="0"/>
        <w:jc w:val="left"/>
      </w:pPr>
      <w:r>
        <w:rPr/>
        <w:t>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5"/>
          <w:szCs w:val="35"/>
        </w:rPr>
      </w:pPr>
    </w:p>
    <w:p>
      <w:pPr>
        <w:pStyle w:val="Heading3"/>
        <w:spacing w:line="357" w:lineRule="auto"/>
        <w:ind w:left="7393" w:right="150"/>
        <w:jc w:val="center"/>
      </w:pPr>
      <w:r>
        <w:rPr/>
        <w:t>光一科技股份有限公司 董事长：龙昌明 </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22</w:t>
      </w:r>
      <w:r>
        <w:rPr/>
        <w:t>日</w:t>
      </w:r>
    </w:p>
    <w:sectPr>
      <w:pgSz w:w="11910" w:h="16840"/>
      <w:pgMar w:header="747" w:footer="1000" w:top="104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4.545593pt;width:6.5pt;height:11pt;mso-position-horizontal-relative:page;mso-position-vertical-relative:page;z-index:-9146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0.925598pt;width:13pt;height:11pt;mso-position-horizontal-relative:page;mso-position-vertical-relative:page;z-index:-91446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0.925598pt;width:13pt;height:11pt;mso-position-horizontal-relative:page;mso-position-vertical-relative:page;z-index:-91444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0.925598pt;width:13pt;height:11pt;mso-position-horizontal-relative:page;mso-position-vertical-relative:page;z-index:-9144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0.925598pt;width:13pt;height:11pt;mso-position-horizontal-relative:page;mso-position-vertical-relative:page;z-index:-91439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0.925598pt;width:17.5pt;height:11pt;mso-position-horizontal-relative:page;mso-position-vertical-relative:page;z-index:-91436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0.925598pt;width:17.5pt;height:11pt;mso-position-horizontal-relative:page;mso-position-vertical-relative:page;z-index:-91434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0.925598pt;width:17.5pt;height:11pt;mso-position-horizontal-relative:page;mso-position-vertical-relative:page;z-index:-91432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0.925598pt;width:17.5pt;height:11pt;mso-position-horizontal-relative:page;mso-position-vertical-relative:page;z-index:-91429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0.925598pt;width:17.5pt;height:11pt;mso-position-horizontal-relative:page;mso-position-vertical-relative:page;z-index:-9142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0.925598pt;width:17.5pt;height:11pt;mso-position-horizontal-relative:page;mso-position-vertical-relative:page;z-index:-9142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0.925598pt;width:13pt;height:11pt;mso-position-horizontal-relative:page;mso-position-vertical-relative:page;z-index:-9146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0.925598pt;width:17.5pt;height:11pt;mso-position-horizontal-relative:page;mso-position-vertical-relative:page;z-index:-9142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0.925598pt;width:13pt;height:11pt;mso-position-horizontal-relative:page;mso-position-vertical-relative:page;z-index:-91463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0.925598pt;width:13pt;height:11pt;mso-position-horizontal-relative:page;mso-position-vertical-relative:page;z-index:-91460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27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0.925598pt;width:13pt;height:11pt;mso-position-horizontal-relative:page;mso-position-vertical-relative:page;z-index:-91458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28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0.925598pt;width:13pt;height:11pt;mso-position-horizontal-relative:page;mso-position-vertical-relative:page;z-index:-91456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0.925598pt;width:13pt;height:11pt;mso-position-horizontal-relative:page;mso-position-vertical-relative:page;z-index:-91453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0.925598pt;width:13pt;height:11pt;mso-position-horizontal-relative:page;mso-position-vertical-relative:page;z-index:-9145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0.925598pt;width:13pt;height:11pt;mso-position-horizontal-relative:page;mso-position-vertical-relative:page;z-index:-91448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71.160004pt;margin-top:36.325607pt;width:168.55pt;height:11pt;mso-position-horizontal-relative:page;mso-position-vertical-relative:page;z-index:-9147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光一科技股份有限公司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33"/>
      <w:ind w:left="153"/>
    </w:pPr>
    <w:rPr>
      <w:rFonts w:ascii="宋体" w:hAnsi="宋体" w:eastAsia="宋体"/>
      <w:sz w:val="24"/>
      <w:szCs w:val="24"/>
    </w:rPr>
  </w:style>
  <w:style w:styleId="BodyText" w:type="paragraph">
    <w:name w:val="Body Text"/>
    <w:basedOn w:val="Normal"/>
    <w:uiPriority w:val="1"/>
    <w:qFormat/>
    <w:pPr>
      <w:spacing w:before="46"/>
      <w:ind w:left="153"/>
    </w:pPr>
    <w:rPr>
      <w:rFonts w:ascii="宋体" w:hAnsi="宋体" w:eastAsia="宋体"/>
      <w:sz w:val="21"/>
      <w:szCs w:val="21"/>
    </w:rPr>
  </w:style>
  <w:style w:styleId="Heading1" w:type="paragraph">
    <w:name w:val="Heading 1"/>
    <w:basedOn w:val="Normal"/>
    <w:uiPriority w:val="1"/>
    <w:qFormat/>
    <w:pPr>
      <w:spacing w:before="1"/>
      <w:ind w:left="150"/>
      <w:outlineLvl w:val="1"/>
    </w:pPr>
    <w:rPr>
      <w:rFonts w:ascii="宋体" w:hAnsi="宋体" w:eastAsia="宋体"/>
      <w:b/>
      <w:bCs/>
      <w:sz w:val="32"/>
      <w:szCs w:val="32"/>
    </w:rPr>
  </w:style>
  <w:style w:styleId="Heading2" w:type="paragraph">
    <w:name w:val="Heading 2"/>
    <w:basedOn w:val="Normal"/>
    <w:uiPriority w:val="1"/>
    <w:qFormat/>
    <w:pPr>
      <w:spacing w:before="26"/>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elefirst.com/" TargetMode="External"/><Relationship Id="rId10" Type="http://schemas.openxmlformats.org/officeDocument/2006/relationships/hyperlink" Target="mailto:elefirst@elefirst.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yperlink" Target="http://www/" TargetMode="External"/><Relationship Id="rId16" Type="http://schemas.openxmlformats.org/officeDocument/2006/relationships/image" Target="media/image2.png"/><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2020-05-06T19:35:18Z</dcterms:created>
  <dcterms:modified xsi:type="dcterms:W3CDTF">2020-05-06T19:35:18Z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2015-04-21T00:00:00Z</vt:filetime>
  </property>
  <property fmtid="{D5CDD505-2E9C-101B-9397-08002B2CF9AE}" pid="3" name="Creator">
    <vt:lpwstr>Microsoft® Office Word 2007</vt:lpwstr>
  </property>
  <property fmtid="{D5CDD505-2E9C-101B-9397-08002B2CF9AE}" pid="4" name="LastSaved">
    <vt:filetime>2020-05-06T00:00:00Z</vt:filetime>
  </property>
</Properties>
</file>