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line="1278" w:lineRule="exact"/>
        <w:ind w:left="359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drawing>
          <wp:inline distT="0" distB="0" distL="0" distR="0">
            <wp:extent cx="3001453" cy="811529"/>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3001453" cy="811529"/>
                    </a:xfrm>
                    <a:prstGeom prst="rect">
                      <a:avLst/>
                    </a:prstGeom>
                  </pic:spPr>
                </pic:pic>
              </a:graphicData>
            </a:graphic>
          </wp:inline>
        </w:drawing>
      </w:r>
      <w:r>
        <w:rPr>
          <w:rFonts w:ascii="Times New Roman" w:hAnsi="Times New Roman" w:cs="Times New Roman" w:eastAsia="Times New Roman" w:hint="default"/>
          <w:position w:val="-25"/>
          <w:sz w:val="20"/>
          <w:szCs w:val="20"/>
        </w:rPr>
      </w:r>
    </w:p>
    <w:p>
      <w:pPr>
        <w:spacing w:line="240" w:lineRule="auto" w:before="8"/>
        <w:rPr>
          <w:rFonts w:ascii="Times New Roman" w:hAnsi="Times New Roman" w:cs="Times New Roman" w:eastAsia="Times New Roman" w:hint="default"/>
          <w:sz w:val="14"/>
          <w:szCs w:val="14"/>
        </w:rPr>
      </w:pPr>
    </w:p>
    <w:p>
      <w:pPr>
        <w:spacing w:line="585" w:lineRule="exact" w:before="0"/>
        <w:ind w:left="1130" w:right="1130" w:firstLine="0"/>
        <w:jc w:val="center"/>
        <w:rPr>
          <w:rFonts w:ascii="Microsoft JhengHei" w:hAnsi="Microsoft JhengHei" w:cs="Microsoft JhengHei" w:eastAsia="Microsoft JhengHei" w:hint="default"/>
          <w:sz w:val="48"/>
          <w:szCs w:val="48"/>
        </w:rPr>
      </w:pPr>
      <w:r>
        <w:rPr>
          <w:rFonts w:ascii="Microsoft JhengHei" w:hAnsi="Microsoft JhengHei" w:cs="Microsoft JhengHei" w:eastAsia="Microsoft JhengHei" w:hint="default"/>
          <w:b/>
          <w:bCs/>
          <w:sz w:val="48"/>
          <w:szCs w:val="48"/>
        </w:rPr>
        <w:t>光一科技股份有限公司</w:t>
      </w:r>
      <w:r>
        <w:rPr>
          <w:rFonts w:ascii="Microsoft JhengHei" w:hAnsi="Microsoft JhengHei" w:cs="Microsoft JhengHei" w:eastAsia="Microsoft JhengHei" w:hint="default"/>
          <w:sz w:val="48"/>
          <w:szCs w:val="48"/>
        </w:rPr>
      </w:r>
    </w:p>
    <w:p>
      <w:pPr>
        <w:spacing w:before="195"/>
        <w:ind w:left="1130" w:right="1130" w:firstLine="0"/>
        <w:jc w:val="center"/>
        <w:rPr>
          <w:rFonts w:ascii="Microsoft JhengHei" w:hAnsi="Microsoft JhengHei" w:cs="Microsoft JhengHei" w:eastAsia="Microsoft JhengHei" w:hint="default"/>
          <w:sz w:val="48"/>
          <w:szCs w:val="48"/>
        </w:rPr>
      </w:pPr>
      <w:r>
        <w:rPr>
          <w:rFonts w:ascii="Calibri" w:hAnsi="Calibri" w:cs="Calibri" w:eastAsia="Calibri" w:hint="default"/>
          <w:b/>
          <w:bCs/>
          <w:w w:val="95"/>
          <w:sz w:val="48"/>
          <w:szCs w:val="48"/>
        </w:rPr>
        <w:t>2015</w:t>
      </w:r>
      <w:r>
        <w:rPr>
          <w:rFonts w:ascii="Calibri" w:hAnsi="Calibri" w:cs="Calibri" w:eastAsia="Calibri" w:hint="default"/>
          <w:b/>
          <w:bCs/>
          <w:spacing w:val="59"/>
          <w:w w:val="95"/>
          <w:sz w:val="48"/>
          <w:szCs w:val="48"/>
        </w:rPr>
        <w:t> </w:t>
      </w:r>
      <w:r>
        <w:rPr>
          <w:rFonts w:ascii="Microsoft JhengHei" w:hAnsi="Microsoft JhengHei" w:cs="Microsoft JhengHei" w:eastAsia="Microsoft JhengHei" w:hint="default"/>
          <w:b/>
          <w:bCs/>
          <w:w w:val="95"/>
          <w:sz w:val="48"/>
          <w:szCs w:val="48"/>
        </w:rPr>
        <w:t>年年度报告</w:t>
      </w:r>
      <w:r>
        <w:rPr>
          <w:rFonts w:ascii="Microsoft JhengHei" w:hAnsi="Microsoft JhengHei" w:cs="Microsoft JhengHei" w:eastAsia="Microsoft JhengHei" w:hint="default"/>
          <w:w w:val="95"/>
          <w:sz w:val="48"/>
          <w:szCs w:val="48"/>
        </w:rPr>
      </w: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12"/>
        <w:rPr>
          <w:rFonts w:ascii="Microsoft JhengHei" w:hAnsi="Microsoft JhengHei" w:cs="Microsoft JhengHei" w:eastAsia="Microsoft JhengHei" w:hint="default"/>
          <w:b/>
          <w:bCs/>
          <w:sz w:val="56"/>
          <w:szCs w:val="56"/>
        </w:rPr>
      </w:pPr>
    </w:p>
    <w:p>
      <w:pPr>
        <w:spacing w:before="0"/>
        <w:ind w:left="1131" w:right="1130" w:firstLine="0"/>
        <w:jc w:val="center"/>
        <w:rPr>
          <w:rFonts w:ascii="Microsoft JhengHei" w:hAnsi="Microsoft JhengHei" w:cs="Microsoft JhengHei" w:eastAsia="Microsoft JhengHei" w:hint="default"/>
          <w:sz w:val="36"/>
          <w:szCs w:val="36"/>
        </w:rPr>
      </w:pPr>
      <w:r>
        <w:rPr>
          <w:rFonts w:ascii="Calibri" w:hAnsi="Calibri" w:cs="Calibri" w:eastAsia="Calibri" w:hint="default"/>
          <w:b/>
          <w:bCs/>
          <w:sz w:val="36"/>
          <w:szCs w:val="36"/>
        </w:rPr>
        <w:t>2016</w:t>
      </w:r>
      <w:r>
        <w:rPr>
          <w:rFonts w:ascii="Calibri" w:hAnsi="Calibri" w:cs="Calibri" w:eastAsia="Calibri" w:hint="default"/>
          <w:b/>
          <w:bCs/>
          <w:spacing w:val="-39"/>
          <w:sz w:val="36"/>
          <w:szCs w:val="36"/>
        </w:rPr>
        <w:t> </w:t>
      </w:r>
      <w:r>
        <w:rPr>
          <w:rFonts w:ascii="Microsoft JhengHei" w:hAnsi="Microsoft JhengHei" w:cs="Microsoft JhengHei" w:eastAsia="Microsoft JhengHei" w:hint="default"/>
          <w:b/>
          <w:bCs/>
          <w:sz w:val="36"/>
          <w:szCs w:val="36"/>
        </w:rPr>
        <w:t>年</w:t>
      </w:r>
      <w:r>
        <w:rPr>
          <w:rFonts w:ascii="Microsoft JhengHei" w:hAnsi="Microsoft JhengHei" w:cs="Microsoft JhengHei" w:eastAsia="Microsoft JhengHei" w:hint="default"/>
          <w:b/>
          <w:bCs/>
          <w:spacing w:val="-48"/>
          <w:sz w:val="36"/>
          <w:szCs w:val="36"/>
        </w:rPr>
        <w:t> </w:t>
      </w:r>
      <w:r>
        <w:rPr>
          <w:rFonts w:ascii="Calibri" w:hAnsi="Calibri" w:cs="Calibri" w:eastAsia="Calibri" w:hint="default"/>
          <w:b/>
          <w:bCs/>
          <w:sz w:val="36"/>
          <w:szCs w:val="36"/>
        </w:rPr>
        <w:t>04</w:t>
      </w:r>
      <w:r>
        <w:rPr>
          <w:rFonts w:ascii="Calibri" w:hAnsi="Calibri" w:cs="Calibri" w:eastAsia="Calibri" w:hint="default"/>
          <w:b/>
          <w:bCs/>
          <w:spacing w:val="-40"/>
          <w:sz w:val="36"/>
          <w:szCs w:val="36"/>
        </w:rPr>
        <w:t> </w:t>
      </w:r>
      <w:r>
        <w:rPr>
          <w:rFonts w:ascii="Microsoft JhengHei" w:hAnsi="Microsoft JhengHei" w:cs="Microsoft JhengHei" w:eastAsia="Microsoft JhengHei" w:hint="default"/>
          <w:b/>
          <w:bCs/>
          <w:sz w:val="36"/>
          <w:szCs w:val="36"/>
        </w:rPr>
        <w:t>月</w:t>
      </w:r>
      <w:r>
        <w:rPr>
          <w:rFonts w:ascii="Microsoft JhengHei" w:hAnsi="Microsoft JhengHei" w:cs="Microsoft JhengHei" w:eastAsia="Microsoft JhengHei" w:hint="default"/>
          <w:sz w:val="36"/>
          <w:szCs w:val="36"/>
        </w:rPr>
      </w:r>
    </w:p>
    <w:p>
      <w:pPr>
        <w:spacing w:after="0"/>
        <w:jc w:val="center"/>
        <w:rPr>
          <w:rFonts w:ascii="Microsoft JhengHei" w:hAnsi="Microsoft JhengHei" w:cs="Microsoft JhengHei" w:eastAsia="Microsoft JhengHei" w:hint="default"/>
          <w:sz w:val="36"/>
          <w:szCs w:val="36"/>
        </w:rPr>
        <w:sectPr>
          <w:headerReference w:type="default" r:id="rId5"/>
          <w:footerReference w:type="default" r:id="rId6"/>
          <w:type w:val="continuous"/>
          <w:pgSz w:w="11910" w:h="16840"/>
          <w:pgMar w:header="747" w:footer="1000" w:top="1040" w:bottom="1180" w:left="0" w:right="0"/>
        </w:sectPr>
      </w:pPr>
    </w:p>
    <w:p>
      <w:pPr>
        <w:spacing w:line="240" w:lineRule="auto" w:before="13"/>
        <w:rPr>
          <w:rFonts w:ascii="Microsoft JhengHei" w:hAnsi="Microsoft JhengHei" w:cs="Microsoft JhengHei" w:eastAsia="Microsoft JhengHei" w:hint="default"/>
          <w:b/>
          <w:bCs/>
          <w:sz w:val="2"/>
          <w:szCs w:val="2"/>
        </w:rPr>
      </w:pPr>
    </w:p>
    <w:p>
      <w:pPr>
        <w:spacing w:line="20" w:lineRule="exact"/>
        <w:ind w:left="109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240" w:lineRule="auto"/>
        <w:ind w:left="378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10"/>
        <w:rPr>
          <w:rFonts w:ascii="宋体" w:hAnsi="宋体" w:cs="宋体" w:eastAsia="宋体" w:hint="default"/>
          <w:b/>
          <w:bCs/>
          <w:sz w:val="44"/>
          <w:szCs w:val="44"/>
        </w:rPr>
      </w:pPr>
    </w:p>
    <w:p>
      <w:pPr>
        <w:pStyle w:val="Heading2"/>
        <w:spacing w:line="357" w:lineRule="auto" w:before="0"/>
        <w:ind w:right="0" w:firstLine="482"/>
        <w:jc w:val="left"/>
        <w:rPr>
          <w:b w:val="0"/>
          <w:bCs w:val="0"/>
        </w:rPr>
      </w:pPr>
      <w:r>
        <w:rPr>
          <w:w w:val="95"/>
        </w:rPr>
        <w:t>本公司董事会、监事会及董事、监事、高级管理人员保证年度报告内容的真实、准确、</w:t>
      </w:r>
      <w:r>
        <w:rPr>
          <w:w w:val="99"/>
        </w:rPr>
        <w:t> </w:t>
      </w:r>
      <w:r>
        <w:rPr/>
        <w:t>完整，不存在虚假记载、误导性陈述或重大遗漏，并承担个别和连带的法律责任。</w:t>
      </w:r>
      <w:r>
        <w:rPr>
          <w:b w:val="0"/>
          <w:bCs w:val="0"/>
        </w:rPr>
      </w:r>
    </w:p>
    <w:p>
      <w:pPr>
        <w:pStyle w:val="Heading2"/>
        <w:spacing w:line="357" w:lineRule="auto" w:before="36"/>
        <w:ind w:right="0" w:firstLine="482"/>
        <w:jc w:val="left"/>
        <w:rPr>
          <w:b w:val="0"/>
          <w:bCs w:val="0"/>
        </w:rPr>
      </w:pPr>
      <w:r>
        <w:rPr>
          <w:w w:val="95"/>
        </w:rPr>
        <w:t>公司负责人龙昌明先生、主管会计工作负责人及会计机构负责人周振娟女士声明：保证</w:t>
      </w:r>
      <w:r>
        <w:rPr>
          <w:w w:val="99"/>
        </w:rPr>
        <w:t> </w:t>
      </w:r>
      <w:r>
        <w:rPr/>
        <w:t>年度报告中财务报告的真实、准确、完整。</w:t>
      </w:r>
      <w:r>
        <w:rPr>
          <w:b w:val="0"/>
          <w:bCs w:val="0"/>
        </w:rPr>
      </w:r>
    </w:p>
    <w:p>
      <w:pPr>
        <w:spacing w:line="357" w:lineRule="auto" w:before="36"/>
        <w:ind w:left="1613" w:right="0" w:firstLine="2"/>
        <w:jc w:val="left"/>
        <w:rPr>
          <w:rFonts w:ascii="宋体" w:hAnsi="宋体" w:cs="宋体" w:eastAsia="宋体" w:hint="default"/>
          <w:sz w:val="24"/>
          <w:szCs w:val="24"/>
        </w:rPr>
      </w:pPr>
      <w:r>
        <w:rPr>
          <w:rFonts w:ascii="宋体" w:hAnsi="宋体" w:cs="宋体" w:eastAsia="宋体" w:hint="default"/>
          <w:b/>
          <w:bCs/>
          <w:sz w:val="24"/>
          <w:szCs w:val="24"/>
        </w:rPr>
        <w:t>所有董事均已出席了审议本报告的董事会会议。</w:t>
      </w:r>
      <w:r>
        <w:rPr>
          <w:rFonts w:ascii="宋体" w:hAnsi="宋体" w:cs="宋体" w:eastAsia="宋体" w:hint="default"/>
          <w:b/>
          <w:bCs/>
          <w:w w:val="99"/>
          <w:sz w:val="24"/>
          <w:szCs w:val="24"/>
        </w:rPr>
        <w:t> </w:t>
      </w:r>
      <w:r>
        <w:rPr>
          <w:rFonts w:ascii="宋体" w:hAnsi="宋体" w:cs="宋体" w:eastAsia="宋体" w:hint="default"/>
          <w:b/>
          <w:bCs/>
          <w:sz w:val="24"/>
          <w:szCs w:val="24"/>
        </w:rPr>
        <w:t>本公司请投资者认真阅读本年度报告全文，并特别注意下列风险因素</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、传统用电信息采集系统在国网体系内招标规模日益减少的风险 公司所从事的智能用电信息采集系统软硬件的研发、生产和销售，主要销售对象是国家</w:t>
      </w:r>
    </w:p>
    <w:p>
      <w:pPr>
        <w:pStyle w:val="Heading3"/>
        <w:spacing w:line="357" w:lineRule="auto"/>
        <w:ind w:left="1134" w:right="1130"/>
        <w:jc w:val="both"/>
      </w:pPr>
      <w:r>
        <w:rPr>
          <w:spacing w:val="-7"/>
        </w:rPr>
        <w:t>电网及下属各网省公司，业务的发展依赖于电力行业的发展和国家电网公司的需求，预计</w:t>
      </w:r>
      <w:r>
        <w:rPr>
          <w:spacing w:val="-53"/>
        </w:rPr>
        <w:t> </w:t>
      </w:r>
      <w:r>
        <w:rPr>
          <w:rFonts w:ascii="宋体" w:hAnsi="宋体" w:cs="宋体" w:eastAsia="宋体" w:hint="default"/>
        </w:rPr>
        <w:t>2016</w:t>
      </w:r>
      <w:r>
        <w:rPr>
          <w:rFonts w:ascii="宋体" w:hAnsi="宋体" w:cs="宋体" w:eastAsia="宋体" w:hint="default"/>
          <w:spacing w:val="-115"/>
        </w:rPr>
        <w:t> </w:t>
      </w:r>
      <w:r>
        <w:rPr/>
        <w:t>年，该细分市场产品体量日渐饱和可能会对公司用电信息采集系统业绩产生不利的影响。考 虑到上述风险发生的可能性，公司积极探索宽带载波用电信息采集系统的迭代市场，同时积 极开拓南方电网等其他市场；同时通过并购方式整合产业链，发挥协同效应，增加新的经济 增长点，保持公司稳定健康发展。</w:t>
      </w:r>
    </w:p>
    <w:p>
      <w:pPr>
        <w:pStyle w:val="Heading3"/>
        <w:spacing w:line="357" w:lineRule="auto"/>
        <w:ind w:left="1613" w:right="0"/>
        <w:jc w:val="left"/>
      </w:pPr>
      <w:r>
        <w:rPr>
          <w:rFonts w:ascii="宋体" w:hAnsi="宋体" w:cs="宋体" w:eastAsia="宋体" w:hint="default"/>
        </w:rPr>
        <w:t>2</w:t>
      </w:r>
      <w:r>
        <w:rPr/>
        <w:t>、版权云业务开发的风险 数字版权市场前景广阔，产业机会巨大，公司的国家数字音像传播服务平台（版权云）</w:t>
      </w:r>
    </w:p>
    <w:p>
      <w:pPr>
        <w:pStyle w:val="Heading3"/>
        <w:spacing w:line="357" w:lineRule="auto"/>
        <w:ind w:right="1139"/>
        <w:jc w:val="both"/>
      </w:pPr>
      <w:r>
        <w:rPr/>
        <w:t>在国家新闻出版广电总局和贵州省人民政府的大力支持下稳步推进，在项目推进中，存在平 台建设的技术领先性、数字版权商业模式创新性、数字版权产业政策及时性等风险。公司将 密切跟踪国家产业政策导向、关注行业发展动态、组建专业团队，以降低新业务市场开发的 风险。</w:t>
      </w:r>
    </w:p>
    <w:p>
      <w:pPr>
        <w:pStyle w:val="Heading3"/>
        <w:spacing w:line="357" w:lineRule="auto"/>
        <w:ind w:left="1613" w:right="0"/>
        <w:jc w:val="left"/>
      </w:pPr>
      <w:r>
        <w:rPr>
          <w:rFonts w:ascii="宋体" w:hAnsi="宋体" w:cs="宋体" w:eastAsia="宋体" w:hint="default"/>
        </w:rPr>
        <w:t>3</w:t>
      </w:r>
      <w:r>
        <w:rPr/>
        <w:t>、健康管理业务开发的风险 随着移动互联网、物联网、云计算等新技术的成长以及慢性病患者群体的日益庞大，健</w:t>
      </w:r>
    </w:p>
    <w:p>
      <w:pPr>
        <w:pStyle w:val="Heading3"/>
        <w:spacing w:line="357" w:lineRule="auto"/>
        <w:ind w:right="1135"/>
        <w:jc w:val="both"/>
      </w:pPr>
      <w:r>
        <w:rPr/>
        <w:t>康管理市场前景广阔，健康管理产业发展迅速，健康管理项目日渐多元化。公司在业务开发 方面存在能否与医疗机构的数据共享与互联互通、如何取得高质量的数据来源、医疗领域自 身的复杂性等风险。公司控股子公司南京云商天下专注健康管理中的慢性病监测自我管理、 通过机顶盒、移动通讯以及进入连锁药房精准采集个体健康信息，并与南京医科大学合作成</w:t>
      </w:r>
      <w:r>
        <w:rPr>
          <w:spacing w:val="-115"/>
        </w:rPr>
        <w:t> </w:t>
      </w:r>
      <w:r>
        <w:rPr>
          <w:spacing w:val="-115"/>
        </w:rPr>
      </w:r>
      <w:r>
        <w:rPr/>
        <w:t>立南医大光一智慧健康与医疗研究院，利用南医大专业的医学技术和众多附属医院资源开展</w:t>
      </w:r>
    </w:p>
    <w:p>
      <w:pPr>
        <w:spacing w:after="0" w:line="357" w:lineRule="auto"/>
        <w:jc w:val="both"/>
        <w:sectPr>
          <w:footerReference w:type="default" r:id="rId8"/>
          <w:pgSz w:w="11910" w:h="16840"/>
          <w:pgMar w:footer="1000" w:header="747" w:top="1040" w:bottom="1180" w:left="0" w:right="0"/>
          <w:pgNumType w:start="2"/>
        </w:sectPr>
      </w:pPr>
    </w:p>
    <w:p>
      <w:pPr>
        <w:spacing w:line="240" w:lineRule="auto" w:before="9"/>
        <w:rPr>
          <w:rFonts w:ascii="宋体" w:hAnsi="宋体" w:cs="宋体" w:eastAsia="宋体" w:hint="default"/>
          <w:sz w:val="3"/>
          <w:szCs w:val="3"/>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Heading3"/>
        <w:spacing w:line="357" w:lineRule="auto" w:before="26"/>
        <w:ind w:left="1613" w:right="6793" w:hanging="480"/>
        <w:jc w:val="left"/>
      </w:pPr>
      <w:r>
        <w:rPr/>
        <w:t>公司健康管理业务的延伸和拓展。 </w:t>
      </w:r>
      <w:r>
        <w:rPr>
          <w:rFonts w:ascii="宋体" w:hAnsi="宋体" w:cs="宋体" w:eastAsia="宋体" w:hint="default"/>
        </w:rPr>
        <w:t>4</w:t>
      </w:r>
      <w:r>
        <w:rPr/>
        <w:t>、资产并购整合带来的业务风险</w:t>
      </w:r>
    </w:p>
    <w:p>
      <w:pPr>
        <w:pStyle w:val="Heading3"/>
        <w:spacing w:line="357" w:lineRule="auto"/>
        <w:ind w:right="1013" w:firstLine="480"/>
        <w:jc w:val="both"/>
      </w:pPr>
      <w:r>
        <w:rPr/>
        <w:t>公司按照既定战略架构及产业布局，结合公司核心竞争优势及未来发展方向，开展资产 并购业务。资产并购将有助于公司增加新的利润增长点，增强抗风险能力。但是对新市场和</w:t>
      </w:r>
      <w:r>
        <w:rPr>
          <w:spacing w:val="-112"/>
        </w:rPr>
        <w:t> </w:t>
      </w:r>
      <w:r>
        <w:rPr>
          <w:spacing w:val="-112"/>
        </w:rPr>
      </w:r>
      <w:r>
        <w:rPr/>
        <w:t>新行业的开发具有不确定性，因此也可能带来一定的业务风险。公司审慎对待每一次的并购 业务，对新市场和新行业进行充分的了解和论证，对公司既有资源与新资源进行有效联结， </w:t>
      </w:r>
      <w:r>
        <w:rPr>
          <w:spacing w:val="-2"/>
        </w:rPr>
        <w:t>对标的公司引入公司统一管理机制进行管理，努力将资产并购整合带来的业务风险降至最低。</w:t>
      </w:r>
    </w:p>
    <w:p>
      <w:pPr>
        <w:pStyle w:val="Heading3"/>
        <w:spacing w:line="357" w:lineRule="auto"/>
        <w:ind w:left="1613" w:right="0"/>
        <w:jc w:val="left"/>
      </w:pPr>
      <w:r>
        <w:rPr>
          <w:rFonts w:ascii="宋体" w:hAnsi="宋体" w:cs="宋体" w:eastAsia="宋体" w:hint="default"/>
        </w:rPr>
        <w:t>5</w:t>
      </w:r>
      <w:r>
        <w:rPr/>
        <w:t>、资产并购整合带来的管理风险 公司按照战略部署已逐步开展资产并购工作，在并购整合过程中由于各企业不同的历史</w:t>
      </w:r>
    </w:p>
    <w:p>
      <w:pPr>
        <w:pStyle w:val="Heading3"/>
        <w:spacing w:line="357" w:lineRule="auto"/>
        <w:ind w:right="1133"/>
        <w:jc w:val="both"/>
      </w:pPr>
      <w:r>
        <w:rPr/>
        <w:t>沿革、发展规划、企业文化，公司未来可能存在由于资产并购整合带来的管理风险。对此， 公司将从统一战略规划、完善制度规范、派驻关键岗位等方面着手，加强扁平化管理，逐步</w:t>
      </w:r>
      <w:r>
        <w:rPr>
          <w:spacing w:val="-112"/>
        </w:rPr>
        <w:t> </w:t>
      </w:r>
      <w:r>
        <w:rPr>
          <w:spacing w:val="-112"/>
        </w:rPr>
      </w:r>
      <w:r>
        <w:rPr/>
        <w:t>消减整合带来的管理风险。</w:t>
      </w:r>
    </w:p>
    <w:p>
      <w:pPr>
        <w:pStyle w:val="Heading2"/>
        <w:spacing w:line="240" w:lineRule="auto" w:before="36"/>
        <w:ind w:left="1616" w:right="0"/>
        <w:jc w:val="left"/>
        <w:rPr>
          <w:b w:val="0"/>
          <w:bCs w:val="0"/>
        </w:rPr>
      </w:pPr>
      <w:r>
        <w:rPr/>
        <w:t>公司经本次董事会审议通过的利润分配预案为：以</w:t>
      </w:r>
      <w:r>
        <w:rPr>
          <w:spacing w:val="-79"/>
        </w:rPr>
        <w:t> </w:t>
      </w:r>
      <w:r>
        <w:rPr>
          <w:rFonts w:ascii="宋体" w:hAnsi="宋体" w:cs="宋体" w:eastAsia="宋体" w:hint="default"/>
        </w:rPr>
        <w:t>161,221,848</w:t>
      </w:r>
      <w:r>
        <w:rPr>
          <w:rFonts w:ascii="宋体" w:hAnsi="宋体" w:cs="宋体" w:eastAsia="宋体" w:hint="default"/>
          <w:spacing w:val="-80"/>
        </w:rPr>
        <w:t> </w:t>
      </w:r>
      <w:r>
        <w:rPr/>
        <w:t>为基数，向全体股东每</w:t>
      </w:r>
      <w:r>
        <w:rPr>
          <w:b w:val="0"/>
          <w:bCs w:val="0"/>
        </w:rPr>
      </w:r>
    </w:p>
    <w:p>
      <w:pPr>
        <w:pStyle w:val="Heading2"/>
        <w:spacing w:line="240" w:lineRule="auto" w:before="154"/>
        <w:ind w:right="0"/>
        <w:jc w:val="both"/>
        <w:rPr>
          <w:rFonts w:ascii="宋体" w:hAnsi="宋体" w:cs="宋体" w:eastAsia="宋体" w:hint="default"/>
          <w:b w:val="0"/>
          <w:bCs w:val="0"/>
        </w:rPr>
      </w:pPr>
      <w:r>
        <w:rPr>
          <w:rFonts w:ascii="宋体" w:hAnsi="宋体" w:cs="宋体" w:eastAsia="宋体" w:hint="default"/>
        </w:rPr>
        <w:t>10</w:t>
      </w:r>
      <w:r>
        <w:rPr>
          <w:rFonts w:ascii="宋体" w:hAnsi="宋体" w:cs="宋体" w:eastAsia="宋体" w:hint="default"/>
          <w:spacing w:val="-47"/>
        </w:rPr>
        <w:t> </w:t>
      </w:r>
      <w:r>
        <w:rPr/>
        <w:t>股派发现金红利</w:t>
      </w:r>
      <w:r>
        <w:rPr>
          <w:spacing w:val="-46"/>
        </w:rPr>
        <w:t> </w:t>
      </w:r>
      <w:r>
        <w:rPr>
          <w:rFonts w:ascii="宋体" w:hAnsi="宋体" w:cs="宋体" w:eastAsia="宋体" w:hint="default"/>
        </w:rPr>
        <w:t>0.2</w:t>
      </w:r>
      <w:r>
        <w:rPr>
          <w:rFonts w:ascii="宋体" w:hAnsi="宋体" w:cs="宋体" w:eastAsia="宋体" w:hint="default"/>
          <w:spacing w:val="-47"/>
        </w:rPr>
        <w:t> </w:t>
      </w:r>
      <w:r>
        <w:rPr/>
        <w:t>元（含税），送红股</w:t>
      </w:r>
      <w:r>
        <w:rPr>
          <w:spacing w:val="-46"/>
        </w:rPr>
        <w:t> </w:t>
      </w:r>
      <w:r>
        <w:rPr>
          <w:rFonts w:ascii="宋体" w:hAnsi="宋体" w:cs="宋体" w:eastAsia="宋体" w:hint="default"/>
        </w:rPr>
        <w:t>0</w:t>
      </w:r>
      <w:r>
        <w:rPr>
          <w:rFonts w:ascii="宋体" w:hAnsi="宋体" w:cs="宋体" w:eastAsia="宋体" w:hint="default"/>
          <w:spacing w:val="-47"/>
        </w:rPr>
        <w:t> </w:t>
      </w:r>
      <w:r>
        <w:rPr/>
        <w:t>股（含税），以资本公积金向全体股东每</w:t>
      </w:r>
      <w:r>
        <w:rPr>
          <w:spacing w:val="-44"/>
        </w:rPr>
        <w:t> </w:t>
      </w:r>
      <w:r>
        <w:rPr>
          <w:rFonts w:ascii="宋体" w:hAnsi="宋体" w:cs="宋体" w:eastAsia="宋体" w:hint="default"/>
        </w:rPr>
        <w:t>10</w:t>
      </w:r>
      <w:r>
        <w:rPr>
          <w:rFonts w:ascii="宋体" w:hAnsi="宋体" w:cs="宋体" w:eastAsia="宋体" w:hint="default"/>
          <w:b w:val="0"/>
          <w:bCs w:val="0"/>
        </w:rPr>
      </w:r>
    </w:p>
    <w:p>
      <w:pPr>
        <w:pStyle w:val="Heading2"/>
        <w:spacing w:line="240" w:lineRule="auto" w:before="154"/>
        <w:ind w:right="0"/>
        <w:jc w:val="both"/>
        <w:rPr>
          <w:b w:val="0"/>
          <w:bCs w:val="0"/>
        </w:rPr>
      </w:pPr>
      <w:r>
        <w:rPr/>
        <w:t>股转增</w:t>
      </w:r>
      <w:r>
        <w:rPr>
          <w:spacing w:val="-62"/>
        </w:rPr>
        <w:t> </w:t>
      </w:r>
      <w:r>
        <w:rPr>
          <w:rFonts w:ascii="宋体" w:hAnsi="宋体" w:cs="宋体" w:eastAsia="宋体" w:hint="default"/>
        </w:rPr>
        <w:t>0</w:t>
      </w:r>
      <w:r>
        <w:rPr>
          <w:rFonts w:ascii="宋体" w:hAnsi="宋体" w:cs="宋体" w:eastAsia="宋体" w:hint="default"/>
          <w:spacing w:val="-62"/>
        </w:rPr>
        <w:t> </w:t>
      </w:r>
      <w:r>
        <w:rPr/>
        <w:t>股。</w:t>
      </w:r>
      <w:r>
        <w:rPr>
          <w:b w:val="0"/>
          <w:bCs w:val="0"/>
        </w:rPr>
      </w:r>
    </w:p>
    <w:p>
      <w:pPr>
        <w:spacing w:after="0" w:line="240" w:lineRule="auto"/>
        <w:jc w:val="both"/>
        <w:sectPr>
          <w:pgSz w:w="11910" w:h="16840"/>
          <w:pgMar w:header="747" w:footer="1000" w:top="1040" w:bottom="118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spacing w:line="460" w:lineRule="exact" w:before="0"/>
        <w:ind w:left="1131" w:right="113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10762" w:val="right" w:leader="dot"/>
            </w:tabs>
            <w:spacing w:line="240" w:lineRule="auto" w:before="572"/>
            <w:ind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 重要提示、目录和释义</w:t>
            </w:r>
            <w:r>
              <w:rPr>
                <w:rFonts w:ascii="宋体" w:hAnsi="宋体" w:cs="宋体" w:eastAsia="宋体" w:hint="default"/>
              </w:rPr>
              <w:tab/>
              <w:t>2</w:t>
            </w:r>
          </w:hyperlink>
        </w:p>
        <w:p>
          <w:pPr>
            <w:pStyle w:val="TOC1"/>
            <w:tabs>
              <w:tab w:pos="10762" w:val="right" w:leader="dot"/>
            </w:tabs>
            <w:spacing w:line="240" w:lineRule="auto"/>
            <w:ind w:right="0"/>
            <w:jc w:val="left"/>
            <w:rPr>
              <w:rFonts w:ascii="宋体" w:hAnsi="宋体" w:cs="宋体" w:eastAsia="宋体" w:hint="default"/>
            </w:rPr>
          </w:pPr>
          <w:hyperlink w:history="true" w:anchor="_bookmark1">
            <w:r>
              <w:rPr/>
              <w:t>第二节 公司简介和主要财务指标</w:t>
            </w:r>
            <w:r>
              <w:rPr>
                <w:rFonts w:ascii="宋体" w:hAnsi="宋体" w:cs="宋体" w:eastAsia="宋体" w:hint="default"/>
              </w:rPr>
              <w:tab/>
              <w:t>6</w:t>
            </w:r>
          </w:hyperlink>
        </w:p>
        <w:p>
          <w:pPr>
            <w:pStyle w:val="TOC1"/>
            <w:tabs>
              <w:tab w:pos="10762" w:val="right" w:leader="dot"/>
            </w:tabs>
            <w:spacing w:line="240" w:lineRule="auto"/>
            <w:ind w:right="0"/>
            <w:jc w:val="left"/>
            <w:rPr>
              <w:rFonts w:ascii="宋体" w:hAnsi="宋体" w:cs="宋体" w:eastAsia="宋体" w:hint="default"/>
            </w:rPr>
          </w:pPr>
          <w:hyperlink w:history="true" w:anchor="_bookmark2">
            <w:r>
              <w:rPr/>
              <w:t>第三节 公司业务概要</w:t>
            </w:r>
            <w:r>
              <w:rPr>
                <w:rFonts w:ascii="宋体" w:hAnsi="宋体" w:cs="宋体" w:eastAsia="宋体" w:hint="default"/>
              </w:rPr>
              <w:tab/>
              <w:t>9</w:t>
            </w:r>
          </w:hyperlink>
        </w:p>
        <w:p>
          <w:pPr>
            <w:pStyle w:val="TOC1"/>
            <w:tabs>
              <w:tab w:pos="10762" w:val="right" w:leader="dot"/>
            </w:tabs>
            <w:spacing w:line="240" w:lineRule="auto"/>
            <w:ind w:right="0"/>
            <w:jc w:val="left"/>
            <w:rPr>
              <w:rFonts w:ascii="宋体" w:hAnsi="宋体" w:cs="宋体" w:eastAsia="宋体" w:hint="default"/>
            </w:rPr>
          </w:pPr>
          <w:hyperlink w:history="true" w:anchor="_bookmark3">
            <w:r>
              <w:rPr/>
              <w:t>第四节 管理层讨论与分析</w:t>
            </w:r>
            <w:r>
              <w:rPr>
                <w:rFonts w:ascii="宋体" w:hAnsi="宋体" w:cs="宋体" w:eastAsia="宋体" w:hint="default"/>
              </w:rPr>
              <w:tab/>
              <w:t>13</w:t>
            </w:r>
          </w:hyperlink>
        </w:p>
        <w:p>
          <w:pPr>
            <w:pStyle w:val="TOC1"/>
            <w:tabs>
              <w:tab w:pos="10762" w:val="right" w:leader="dot"/>
            </w:tabs>
            <w:spacing w:line="240" w:lineRule="auto"/>
            <w:ind w:right="0"/>
            <w:jc w:val="left"/>
            <w:rPr>
              <w:rFonts w:ascii="宋体" w:hAnsi="宋体" w:cs="宋体" w:eastAsia="宋体" w:hint="default"/>
            </w:rPr>
          </w:pPr>
          <w:hyperlink w:history="true" w:anchor="_bookmark4">
            <w:r>
              <w:rPr/>
              <w:t>第五节 重要事项</w:t>
            </w:r>
            <w:r>
              <w:rPr>
                <w:rFonts w:ascii="宋体" w:hAnsi="宋体" w:cs="宋体" w:eastAsia="宋体" w:hint="default"/>
              </w:rPr>
              <w:tab/>
              <w:t>35</w:t>
            </w:r>
          </w:hyperlink>
        </w:p>
        <w:p>
          <w:pPr>
            <w:pStyle w:val="TOC1"/>
            <w:tabs>
              <w:tab w:pos="10762" w:val="right" w:leader="dot"/>
            </w:tabs>
            <w:spacing w:line="240" w:lineRule="auto"/>
            <w:ind w:right="0"/>
            <w:jc w:val="left"/>
            <w:rPr>
              <w:rFonts w:ascii="宋体" w:hAnsi="宋体" w:cs="宋体" w:eastAsia="宋体" w:hint="default"/>
            </w:rPr>
          </w:pPr>
          <w:hyperlink w:history="true" w:anchor="_bookmark5">
            <w:r>
              <w:rPr/>
              <w:t>第六节 股份变动及股东情况</w:t>
            </w:r>
            <w:r>
              <w:rPr>
                <w:rFonts w:ascii="宋体" w:hAnsi="宋体" w:cs="宋体" w:eastAsia="宋体" w:hint="default"/>
              </w:rPr>
              <w:tab/>
              <w:t>55</w:t>
            </w:r>
          </w:hyperlink>
        </w:p>
        <w:p>
          <w:pPr>
            <w:pStyle w:val="TOC1"/>
            <w:tabs>
              <w:tab w:pos="10762" w:val="right" w:leader="dot"/>
            </w:tabs>
            <w:spacing w:line="240" w:lineRule="auto"/>
            <w:ind w:right="0"/>
            <w:jc w:val="left"/>
            <w:rPr>
              <w:rFonts w:ascii="宋体" w:hAnsi="宋体" w:cs="宋体" w:eastAsia="宋体" w:hint="default"/>
            </w:rPr>
          </w:pPr>
          <w:hyperlink w:history="true" w:anchor="_bookmark6">
            <w:r>
              <w:rPr/>
              <w:t>第七节 优先股相关情况</w:t>
            </w:r>
            <w:r>
              <w:rPr>
                <w:rFonts w:ascii="宋体" w:hAnsi="宋体" w:cs="宋体" w:eastAsia="宋体" w:hint="default"/>
              </w:rPr>
              <w:tab/>
              <w:t>60</w:t>
            </w:r>
          </w:hyperlink>
        </w:p>
        <w:p>
          <w:pPr>
            <w:pStyle w:val="TOC1"/>
            <w:tabs>
              <w:tab w:pos="10762" w:val="right" w:leader="dot"/>
            </w:tabs>
            <w:spacing w:line="240" w:lineRule="auto"/>
            <w:ind w:right="0"/>
            <w:jc w:val="left"/>
            <w:rPr>
              <w:rFonts w:ascii="宋体" w:hAnsi="宋体" w:cs="宋体" w:eastAsia="宋体" w:hint="default"/>
            </w:rPr>
          </w:pPr>
          <w:hyperlink w:history="true" w:anchor="_bookmark7">
            <w:r>
              <w:rPr/>
              <w:t>第八节 董事、监事、高级管理人员和员工情况</w:t>
            </w:r>
            <w:r>
              <w:rPr>
                <w:rFonts w:ascii="宋体" w:hAnsi="宋体" w:cs="宋体" w:eastAsia="宋体" w:hint="default"/>
              </w:rPr>
              <w:tab/>
              <w:t>61</w:t>
            </w:r>
          </w:hyperlink>
        </w:p>
        <w:p>
          <w:pPr>
            <w:pStyle w:val="TOC1"/>
            <w:tabs>
              <w:tab w:pos="10762" w:val="right" w:leader="dot"/>
            </w:tabs>
            <w:spacing w:line="240" w:lineRule="auto"/>
            <w:ind w:right="0"/>
            <w:jc w:val="left"/>
            <w:rPr>
              <w:rFonts w:ascii="宋体" w:hAnsi="宋体" w:cs="宋体" w:eastAsia="宋体" w:hint="default"/>
            </w:rPr>
          </w:pPr>
          <w:hyperlink w:history="true" w:anchor="_bookmark8">
            <w:r>
              <w:rPr/>
              <w:t>第九节 公司治理</w:t>
            </w:r>
            <w:r>
              <w:rPr>
                <w:rFonts w:ascii="宋体" w:hAnsi="宋体" w:cs="宋体" w:eastAsia="宋体" w:hint="default"/>
              </w:rPr>
              <w:tab/>
              <w:t>69</w:t>
            </w:r>
          </w:hyperlink>
        </w:p>
        <w:p>
          <w:pPr>
            <w:pStyle w:val="TOC1"/>
            <w:tabs>
              <w:tab w:pos="10762" w:val="right" w:leader="dot"/>
            </w:tabs>
            <w:spacing w:line="240" w:lineRule="auto"/>
            <w:ind w:right="0"/>
            <w:jc w:val="left"/>
            <w:rPr>
              <w:rFonts w:ascii="宋体" w:hAnsi="宋体" w:cs="宋体" w:eastAsia="宋体" w:hint="default"/>
            </w:rPr>
          </w:pPr>
          <w:hyperlink w:history="true" w:anchor="_bookmark9">
            <w:r>
              <w:rPr/>
              <w:t>第十节 财务报告</w:t>
            </w:r>
            <w:r>
              <w:rPr>
                <w:rFonts w:ascii="宋体" w:hAnsi="宋体" w:cs="宋体" w:eastAsia="宋体" w:hint="default"/>
              </w:rPr>
              <w:tab/>
              <w:t>75</w:t>
            </w:r>
          </w:hyperlink>
        </w:p>
        <w:p>
          <w:pPr>
            <w:pStyle w:val="TOC1"/>
            <w:tabs>
              <w:tab w:pos="10762" w:val="right" w:leader="dot"/>
            </w:tabs>
            <w:spacing w:line="240" w:lineRule="auto"/>
            <w:ind w:right="0"/>
            <w:jc w:val="left"/>
            <w:rPr>
              <w:rFonts w:ascii="宋体" w:hAnsi="宋体" w:cs="宋体" w:eastAsia="宋体" w:hint="default"/>
            </w:rPr>
          </w:pPr>
          <w:hyperlink w:history="true" w:anchor="_bookmark10">
            <w:r>
              <w:rPr/>
              <w:t>第十一节 备查文件目录</w:t>
            </w:r>
            <w:r>
              <w:rPr>
                <w:rFonts w:ascii="宋体" w:hAnsi="宋体" w:cs="宋体" w:eastAsia="宋体" w:hint="default"/>
              </w:rPr>
              <w:tab/>
              <w:t>170</w:t>
            </w:r>
          </w:hyperlink>
        </w:p>
        <w:p>
          <w:pPr/>
          <w:r>
            <w:fldChar w:fldCharType="end"/>
          </w:r>
        </w:p>
      </w:sdtContent>
    </w:sdt>
    <w:p>
      <w:pPr>
        <w:spacing w:after="0"/>
        <w:sectPr>
          <w:pgSz w:w="11910" w:h="16840"/>
          <w:pgMar w:header="747" w:footer="1000" w:top="1040" w:bottom="1180" w:left="0" w:right="0"/>
        </w:sectPr>
      </w:pPr>
    </w:p>
    <w:p>
      <w:pPr>
        <w:spacing w:before="955"/>
        <w:ind w:left="1131" w:right="113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tbl>
      <w:tblPr>
        <w:tblW w:w="0" w:type="auto"/>
        <w:jc w:val="left"/>
        <w:tblInd w:w="1118" w:type="dxa"/>
        <w:tblLayout w:type="fixed"/>
        <w:tblCellMar>
          <w:top w:w="0" w:type="dxa"/>
          <w:left w:w="0" w:type="dxa"/>
          <w:bottom w:w="0" w:type="dxa"/>
          <w:right w:w="0" w:type="dxa"/>
        </w:tblCellMar>
        <w:tblLook w:val="01E0"/>
      </w:tblPr>
      <w:tblGrid>
        <w:gridCol w:w="3536"/>
        <w:gridCol w:w="600"/>
        <w:gridCol w:w="5434"/>
      </w:tblGrid>
      <w:tr>
        <w:trPr>
          <w:trHeight w:val="413" w:hRule="exact"/>
        </w:trPr>
        <w:tc>
          <w:tcPr>
            <w:tcW w:w="353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6"/>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光一科技</w:t>
            </w:r>
            <w:r>
              <w:rPr>
                <w:rFonts w:ascii="宋体" w:hAnsi="宋体" w:cs="宋体" w:eastAsia="宋体" w:hint="default"/>
                <w:sz w:val="18"/>
                <w:szCs w:val="18"/>
              </w:rPr>
              <w:t>/</w:t>
            </w: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本公司</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光一科技股份有限公司</w:t>
            </w:r>
          </w:p>
        </w:tc>
      </w:tr>
      <w:tr>
        <w:trPr>
          <w:trHeight w:val="408"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光一投资</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江苏光一投资管理有限责任公司，本公司控股股东</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苏源光一</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江苏苏源光一科技有限公司、本公司全资子公司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智友尚云</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南京智友尚云信息技术有限公司、本公司全资子公司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光一贵仁</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江苏光一贵仁股权投资基金管理有限公司、本公司全资子公司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德能工程</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江苏光一德能电气工程有限公司、本公司全资子公司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德能设计</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江苏德能电力设计咨询有限公司、本公司全资子公司</w:t>
            </w:r>
          </w:p>
        </w:tc>
      </w:tr>
      <w:tr>
        <w:trPr>
          <w:trHeight w:val="408"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南京云商天下</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南京云商天下信息技术有限公司、本公司控股子公司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索瑞电气</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湖北索瑞电气有限公司、本公司控股子公司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中云文化大数据</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中云文化大数据科技有限公司、本公司参股公司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中广格兰</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北京中广格兰信息科技有限公司、本公司参股公司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九联科技</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广东九联科技股份有限公司、本公司参股公司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山源科技</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荆州市山源科技有限公司、索瑞电气全资子公司，本公司孙公司</w:t>
            </w:r>
          </w:p>
        </w:tc>
      </w:tr>
      <w:tr>
        <w:trPr>
          <w:trHeight w:val="408"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睿博电气</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武汉睿博电气有限责任公司、索瑞电气全资子公司，本公司孙公司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鼎瑞科技</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湖北鼎瑞科技有限公司、索瑞电气全资子公司，本公司孙公司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瑞云软件</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湖北瑞云软件科技有限公司、索瑞电气全资子公司，本公司孙公司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国网公司</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国家电网公司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网省公司</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国家电网公司下属的各省电力公司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南方电网</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中国南方电网有限责任公司</w:t>
            </w:r>
          </w:p>
        </w:tc>
      </w:tr>
      <w:tr>
        <w:trPr>
          <w:trHeight w:val="408"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7"/>
              <w:jc w:val="center"/>
              <w:rPr>
                <w:rFonts w:ascii="宋体" w:hAnsi="宋体" w:cs="宋体" w:eastAsia="宋体" w:hint="default"/>
                <w:sz w:val="18"/>
                <w:szCs w:val="18"/>
              </w:rPr>
            </w:pPr>
            <w:r>
              <w:rPr>
                <w:rFonts w:ascii="宋体"/>
                <w:sz w:val="18"/>
              </w:rPr>
              <w:t>CCDI</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中国文化（出版广电）大数据产业项目</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版权云</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中国数字音像传播服务平台</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报告期</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15" w:hRule="exact"/>
        </w:trPr>
        <w:tc>
          <w:tcPr>
            <w:tcW w:w="3536" w:type="dxa"/>
            <w:tcBorders>
              <w:top w:val="single" w:sz="6" w:space="0" w:color="000000"/>
              <w:left w:val="single" w:sz="12" w:space="0" w:color="000000"/>
              <w:bottom w:val="single" w:sz="12" w:space="0" w:color="000000"/>
              <w:right w:val="single" w:sz="14" w:space="0" w:color="D2D2D2"/>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万元</w:t>
            </w:r>
          </w:p>
        </w:tc>
        <w:tc>
          <w:tcPr>
            <w:tcW w:w="60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宋体" w:hAnsi="宋体" w:cs="宋体" w:eastAsia="宋体" w:hint="default"/>
                <w:sz w:val="18"/>
                <w:szCs w:val="18"/>
              </w:rPr>
              <w:t>/</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0"/>
          <w:szCs w:val="20"/>
        </w:rPr>
      </w:pPr>
    </w:p>
    <w:p>
      <w:pPr>
        <w:pStyle w:val="Heading1"/>
        <w:spacing w:line="240" w:lineRule="auto"/>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8"/>
          <w:szCs w:val="8"/>
        </w:rPr>
      </w:pPr>
    </w:p>
    <w:tbl>
      <w:tblPr>
        <w:tblW w:w="0" w:type="auto"/>
        <w:jc w:val="left"/>
        <w:tblInd w:w="1118" w:type="dxa"/>
        <w:tblLayout w:type="fixed"/>
        <w:tblCellMar>
          <w:top w:w="0" w:type="dxa"/>
          <w:left w:w="0" w:type="dxa"/>
          <w:bottom w:w="0" w:type="dxa"/>
          <w:right w:w="0" w:type="dxa"/>
        </w:tblCellMar>
        <w:tblLook w:val="01E0"/>
      </w:tblPr>
      <w:tblGrid>
        <w:gridCol w:w="2837"/>
        <w:gridCol w:w="2402"/>
        <w:gridCol w:w="2147"/>
        <w:gridCol w:w="2185"/>
      </w:tblGrid>
      <w:tr>
        <w:trPr>
          <w:trHeight w:val="415" w:hRule="exact"/>
        </w:trPr>
        <w:tc>
          <w:tcPr>
            <w:tcW w:w="28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24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光一科技</w:t>
            </w:r>
          </w:p>
        </w:tc>
        <w:tc>
          <w:tcPr>
            <w:tcW w:w="214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5"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sz w:val="18"/>
              </w:rPr>
              <w:t>300356</w:t>
            </w: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公司的中文名称</w:t>
            </w:r>
          </w:p>
        </w:tc>
        <w:tc>
          <w:tcPr>
            <w:tcW w:w="67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光一科技股份有限公司</w:t>
            </w: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公司的中文简称</w:t>
            </w:r>
          </w:p>
        </w:tc>
        <w:tc>
          <w:tcPr>
            <w:tcW w:w="67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光一科技</w:t>
            </w: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公司的外文名称</w:t>
            </w:r>
          </w:p>
        </w:tc>
        <w:tc>
          <w:tcPr>
            <w:tcW w:w="67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sz w:val="18"/>
              </w:rPr>
              <w:t>EleFirst Science &amp; Technology Co., Ltd.</w:t>
            </w: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7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sz w:val="18"/>
              </w:rPr>
              <w:t>EleFirst</w:t>
            </w:r>
          </w:p>
        </w:tc>
      </w:tr>
      <w:tr>
        <w:trPr>
          <w:trHeight w:val="408"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7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龙昌明</w:t>
            </w: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67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南京市江宁经济技术开发区胜太路</w:t>
            </w:r>
            <w:r>
              <w:rPr>
                <w:rFonts w:ascii="宋体" w:hAnsi="宋体" w:cs="宋体" w:eastAsia="宋体" w:hint="default"/>
                <w:spacing w:val="-46"/>
                <w:sz w:val="18"/>
                <w:szCs w:val="18"/>
              </w:rPr>
              <w:t> </w:t>
            </w:r>
            <w:r>
              <w:rPr>
                <w:rFonts w:ascii="宋体" w:hAnsi="宋体" w:cs="宋体" w:eastAsia="宋体" w:hint="default"/>
                <w:sz w:val="18"/>
                <w:szCs w:val="18"/>
              </w:rPr>
              <w:t>88</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7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sz w:val="18"/>
              </w:rPr>
              <w:t>211106</w:t>
            </w: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67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南京市江宁区润麒路</w:t>
            </w:r>
            <w:r>
              <w:rPr>
                <w:rFonts w:ascii="宋体" w:hAnsi="宋体" w:cs="宋体" w:eastAsia="宋体" w:hint="default"/>
                <w:spacing w:val="-46"/>
                <w:sz w:val="18"/>
                <w:szCs w:val="18"/>
              </w:rPr>
              <w:t> </w:t>
            </w:r>
            <w:r>
              <w:rPr>
                <w:rFonts w:ascii="宋体" w:hAnsi="宋体" w:cs="宋体" w:eastAsia="宋体" w:hint="default"/>
                <w:sz w:val="18"/>
                <w:szCs w:val="18"/>
              </w:rPr>
              <w:t>86</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7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sz w:val="18"/>
              </w:rPr>
              <w:t>211103</w:t>
            </w: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7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hyperlink r:id="rId9">
              <w:r>
                <w:rPr>
                  <w:rFonts w:ascii="宋体"/>
                  <w:sz w:val="18"/>
                </w:rPr>
                <w:t>http://www.elefirst.com</w:t>
              </w:r>
            </w:hyperlink>
          </w:p>
        </w:tc>
      </w:tr>
      <w:tr>
        <w:trPr>
          <w:trHeight w:val="416" w:hRule="exact"/>
        </w:trPr>
        <w:tc>
          <w:tcPr>
            <w:tcW w:w="283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6733"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hyperlink r:id="rId10">
              <w:r>
                <w:rPr>
                  <w:rFonts w:ascii="宋体"/>
                  <w:sz w:val="18"/>
                </w:rPr>
                <w:t>elefirst@elefirst.com</w:t>
              </w:r>
            </w:hyperlink>
          </w:p>
        </w:tc>
      </w:tr>
    </w:tbl>
    <w:p>
      <w:pPr>
        <w:pStyle w:val="Heading2"/>
        <w:spacing w:line="240" w:lineRule="auto" w:before="40"/>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8"/>
          <w:szCs w:val="8"/>
        </w:rPr>
      </w:pPr>
    </w:p>
    <w:tbl>
      <w:tblPr>
        <w:tblW w:w="0" w:type="auto"/>
        <w:jc w:val="left"/>
        <w:tblInd w:w="1125" w:type="dxa"/>
        <w:tblLayout w:type="fixed"/>
        <w:tblCellMar>
          <w:top w:w="0" w:type="dxa"/>
          <w:left w:w="0" w:type="dxa"/>
          <w:bottom w:w="0" w:type="dxa"/>
          <w:right w:w="0" w:type="dxa"/>
        </w:tblCellMar>
        <w:tblLook w:val="01E0"/>
      </w:tblPr>
      <w:tblGrid>
        <w:gridCol w:w="2819"/>
        <w:gridCol w:w="3377"/>
        <w:gridCol w:w="3367"/>
      </w:tblGrid>
      <w:tr>
        <w:trPr>
          <w:trHeight w:val="413" w:hRule="exact"/>
        </w:trPr>
        <w:tc>
          <w:tcPr>
            <w:tcW w:w="2819"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33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36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7" w:hRule="exact"/>
        </w:trPr>
        <w:tc>
          <w:tcPr>
            <w:tcW w:w="28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tabs>
                <w:tab w:pos="539" w:val="left" w:leader="none"/>
              </w:tabs>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姓</w:t>
              <w:tab/>
              <w:t>名</w:t>
            </w:r>
          </w:p>
        </w:tc>
        <w:tc>
          <w:tcPr>
            <w:tcW w:w="337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蒋  悦</w:t>
            </w:r>
          </w:p>
        </w:tc>
        <w:tc>
          <w:tcPr>
            <w:tcW w:w="3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李盛春</w:t>
            </w:r>
          </w:p>
        </w:tc>
      </w:tr>
      <w:tr>
        <w:trPr>
          <w:trHeight w:val="408" w:hRule="exact"/>
        </w:trPr>
        <w:tc>
          <w:tcPr>
            <w:tcW w:w="28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37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南京市江宁区润麒路</w:t>
            </w:r>
            <w:r>
              <w:rPr>
                <w:rFonts w:ascii="宋体" w:hAnsi="宋体" w:cs="宋体" w:eastAsia="宋体" w:hint="default"/>
                <w:spacing w:val="-46"/>
                <w:sz w:val="18"/>
                <w:szCs w:val="18"/>
              </w:rPr>
              <w:t> </w:t>
            </w:r>
            <w:r>
              <w:rPr>
                <w:rFonts w:ascii="宋体" w:hAnsi="宋体" w:cs="宋体" w:eastAsia="宋体" w:hint="default"/>
                <w:sz w:val="18"/>
                <w:szCs w:val="18"/>
              </w:rPr>
              <w:t>86</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3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南京市江宁区润麒路</w:t>
            </w:r>
            <w:r>
              <w:rPr>
                <w:rFonts w:ascii="宋体" w:hAnsi="宋体" w:cs="宋体" w:eastAsia="宋体" w:hint="default"/>
                <w:spacing w:val="-46"/>
                <w:sz w:val="18"/>
                <w:szCs w:val="18"/>
              </w:rPr>
              <w:t> </w:t>
            </w:r>
            <w:r>
              <w:rPr>
                <w:rFonts w:ascii="宋体" w:hAnsi="宋体" w:cs="宋体" w:eastAsia="宋体" w:hint="default"/>
                <w:sz w:val="18"/>
                <w:szCs w:val="18"/>
              </w:rPr>
              <w:t>86</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7" w:hRule="exact"/>
        </w:trPr>
        <w:tc>
          <w:tcPr>
            <w:tcW w:w="28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tabs>
                <w:tab w:pos="539" w:val="left" w:leader="none"/>
              </w:tabs>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w:t>
              <w:tab/>
              <w:t>话</w:t>
            </w:r>
          </w:p>
        </w:tc>
        <w:tc>
          <w:tcPr>
            <w:tcW w:w="337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sz w:val="18"/>
              </w:rPr>
              <w:t>025-68531928</w:t>
            </w:r>
          </w:p>
        </w:tc>
        <w:tc>
          <w:tcPr>
            <w:tcW w:w="3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sz w:val="18"/>
              </w:rPr>
              <w:t>025-68531928</w:t>
            </w:r>
          </w:p>
        </w:tc>
      </w:tr>
      <w:tr>
        <w:trPr>
          <w:trHeight w:val="407" w:hRule="exact"/>
        </w:trPr>
        <w:tc>
          <w:tcPr>
            <w:tcW w:w="28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tabs>
                <w:tab w:pos="539" w:val="left" w:leader="none"/>
              </w:tabs>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w:t>
              <w:tab/>
              <w:t>真</w:t>
            </w:r>
          </w:p>
        </w:tc>
        <w:tc>
          <w:tcPr>
            <w:tcW w:w="337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sz w:val="18"/>
              </w:rPr>
              <w:t>025-68531868</w:t>
            </w:r>
          </w:p>
        </w:tc>
        <w:tc>
          <w:tcPr>
            <w:tcW w:w="3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sz w:val="18"/>
              </w:rPr>
              <w:t>025-68531868</w:t>
            </w:r>
          </w:p>
        </w:tc>
      </w:tr>
      <w:tr>
        <w:trPr>
          <w:trHeight w:val="415" w:hRule="exact"/>
        </w:trPr>
        <w:tc>
          <w:tcPr>
            <w:tcW w:w="281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377"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left="6" w:right="0"/>
              <w:jc w:val="center"/>
              <w:rPr>
                <w:rFonts w:ascii="宋体" w:hAnsi="宋体" w:cs="宋体" w:eastAsia="宋体" w:hint="default"/>
                <w:sz w:val="18"/>
                <w:szCs w:val="18"/>
              </w:rPr>
            </w:pPr>
            <w:hyperlink r:id="rId10">
              <w:r>
                <w:rPr>
                  <w:rFonts w:ascii="宋体"/>
                  <w:sz w:val="18"/>
                </w:rPr>
                <w:t>elefirst@elefirst.com</w:t>
              </w:r>
            </w:hyperlink>
          </w:p>
        </w:tc>
        <w:tc>
          <w:tcPr>
            <w:tcW w:w="336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hyperlink r:id="rId10">
              <w:r>
                <w:rPr>
                  <w:rFonts w:ascii="宋体"/>
                  <w:sz w:val="18"/>
                </w:rPr>
                <w:t>elefirst@elefirst.com</w:t>
              </w:r>
            </w:hyperlink>
          </w:p>
        </w:tc>
      </w:tr>
    </w:tbl>
    <w:p>
      <w:pPr>
        <w:pStyle w:val="Heading2"/>
        <w:spacing w:line="240" w:lineRule="auto" w:before="40"/>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8"/>
          <w:szCs w:val="8"/>
        </w:rPr>
      </w:pPr>
    </w:p>
    <w:tbl>
      <w:tblPr>
        <w:tblW w:w="0" w:type="auto"/>
        <w:jc w:val="left"/>
        <w:tblInd w:w="1118" w:type="dxa"/>
        <w:tblLayout w:type="fixed"/>
        <w:tblCellMar>
          <w:top w:w="0" w:type="dxa"/>
          <w:left w:w="0" w:type="dxa"/>
          <w:bottom w:w="0" w:type="dxa"/>
          <w:right w:w="0" w:type="dxa"/>
        </w:tblCellMar>
        <w:tblLook w:val="01E0"/>
      </w:tblPr>
      <w:tblGrid>
        <w:gridCol w:w="2837"/>
        <w:gridCol w:w="6732"/>
      </w:tblGrid>
      <w:tr>
        <w:trPr>
          <w:trHeight w:val="415" w:hRule="exact"/>
        </w:trPr>
        <w:tc>
          <w:tcPr>
            <w:tcW w:w="28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673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中国证券报、上海证券报、证券时报</w:t>
            </w:r>
          </w:p>
        </w:tc>
      </w:tr>
      <w:tr>
        <w:trPr>
          <w:trHeight w:val="758"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0" w:lineRule="auto" w:before="51"/>
              <w:ind w:left="773" w:right="329" w:hanging="451"/>
              <w:jc w:val="left"/>
              <w:rPr>
                <w:rFonts w:ascii="宋体" w:hAnsi="宋体" w:cs="宋体" w:eastAsia="宋体" w:hint="default"/>
                <w:sz w:val="18"/>
                <w:szCs w:val="18"/>
              </w:rPr>
            </w:pPr>
            <w:r>
              <w:rPr>
                <w:rFonts w:ascii="宋体" w:hAnsi="宋体" w:cs="宋体" w:eastAsia="宋体" w:hint="default"/>
                <w:sz w:val="18"/>
                <w:szCs w:val="18"/>
              </w:rPr>
              <w:t>登载年度报告的中国证监会 指定网站的网址</w:t>
            </w:r>
          </w:p>
        </w:tc>
        <w:tc>
          <w:tcPr>
            <w:tcW w:w="6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0" w:right="0"/>
              <w:jc w:val="left"/>
              <w:rPr>
                <w:rFonts w:ascii="宋体" w:hAnsi="宋体" w:cs="宋体" w:eastAsia="宋体" w:hint="default"/>
                <w:sz w:val="18"/>
                <w:szCs w:val="18"/>
              </w:rPr>
            </w:pPr>
            <w:hyperlink r:id="rId11">
              <w:r>
                <w:rPr>
                  <w:rFonts w:ascii="宋体"/>
                  <w:sz w:val="18"/>
                </w:rPr>
                <w:t>http://www.cninfo.com.cn</w:t>
              </w:r>
            </w:hyperlink>
          </w:p>
        </w:tc>
      </w:tr>
      <w:tr>
        <w:trPr>
          <w:trHeight w:val="415" w:hRule="exact"/>
        </w:trPr>
        <w:tc>
          <w:tcPr>
            <w:tcW w:w="283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67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pStyle w:val="Heading2"/>
        <w:spacing w:line="240" w:lineRule="auto" w:before="40"/>
        <w:ind w:left="1134" w:right="0"/>
        <w:jc w:val="left"/>
        <w:rPr>
          <w:b w:val="0"/>
          <w:bCs w:val="0"/>
        </w:rPr>
      </w:pPr>
      <w:bookmarkStart w:name="四、其他有关资料" w:id="8"/>
      <w:bookmarkEnd w:id="8"/>
      <w:r>
        <w:rPr>
          <w:b w:val="0"/>
          <w:bCs w:val="0"/>
        </w:rPr>
      </w:r>
      <w:r>
        <w:rPr/>
        <w:t>四、其他有关资料</w:t>
      </w:r>
      <w:r>
        <w:rPr>
          <w:b w:val="0"/>
          <w:bCs w:val="0"/>
        </w:rPr>
      </w:r>
    </w:p>
    <w:p>
      <w:pPr>
        <w:pStyle w:val="BodyText"/>
        <w:spacing w:line="240" w:lineRule="auto" w:before="177"/>
        <w:ind w:right="0"/>
        <w:jc w:val="left"/>
      </w:pPr>
      <w:r>
        <w:rPr/>
        <w:t>公司聘请的会计师事务所</w:t>
      </w:r>
    </w:p>
    <w:p>
      <w:pPr>
        <w:spacing w:line="240" w:lineRule="auto" w:before="12"/>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2837"/>
        <w:gridCol w:w="6732"/>
      </w:tblGrid>
      <w:tr>
        <w:trPr>
          <w:trHeight w:val="415" w:hRule="exact"/>
        </w:trPr>
        <w:tc>
          <w:tcPr>
            <w:tcW w:w="28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73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15" w:hRule="exact"/>
        </w:trPr>
        <w:tc>
          <w:tcPr>
            <w:tcW w:w="283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7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上海市延安东路</w:t>
            </w:r>
            <w:r>
              <w:rPr>
                <w:rFonts w:ascii="宋体" w:hAnsi="宋体" w:cs="宋体" w:eastAsia="宋体" w:hint="default"/>
                <w:spacing w:val="-46"/>
                <w:sz w:val="18"/>
                <w:szCs w:val="18"/>
              </w:rPr>
              <w:t> </w:t>
            </w:r>
            <w:r>
              <w:rPr>
                <w:rFonts w:ascii="宋体" w:hAnsi="宋体" w:cs="宋体" w:eastAsia="宋体" w:hint="default"/>
                <w:sz w:val="18"/>
                <w:szCs w:val="18"/>
              </w:rPr>
              <w:t>550</w:t>
            </w:r>
            <w:r>
              <w:rPr>
                <w:rFonts w:ascii="宋体" w:hAnsi="宋体" w:cs="宋体" w:eastAsia="宋体" w:hint="default"/>
                <w:spacing w:val="-46"/>
                <w:sz w:val="18"/>
                <w:szCs w:val="18"/>
              </w:rPr>
              <w:t> </w:t>
            </w:r>
            <w:r>
              <w:rPr>
                <w:rFonts w:ascii="宋体" w:hAnsi="宋体" w:cs="宋体" w:eastAsia="宋体" w:hint="default"/>
                <w:sz w:val="18"/>
                <w:szCs w:val="18"/>
              </w:rPr>
              <w:t>号海洋大厦</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楼</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4"/>
          <w:szCs w:val="4"/>
        </w:rPr>
      </w:pPr>
    </w:p>
    <w:tbl>
      <w:tblPr>
        <w:tblW w:w="0" w:type="auto"/>
        <w:jc w:val="left"/>
        <w:tblInd w:w="1118" w:type="dxa"/>
        <w:tblLayout w:type="fixed"/>
        <w:tblCellMar>
          <w:top w:w="0" w:type="dxa"/>
          <w:left w:w="0" w:type="dxa"/>
          <w:bottom w:w="0" w:type="dxa"/>
          <w:right w:w="0" w:type="dxa"/>
        </w:tblCellMar>
        <w:tblLook w:val="01E0"/>
      </w:tblPr>
      <w:tblGrid>
        <w:gridCol w:w="2837"/>
        <w:gridCol w:w="6732"/>
      </w:tblGrid>
      <w:tr>
        <w:trPr>
          <w:trHeight w:val="343" w:hRule="exact"/>
        </w:trPr>
        <w:tc>
          <w:tcPr>
            <w:tcW w:w="2837" w:type="dxa"/>
            <w:tcBorders>
              <w:top w:val="nil" w:sz="6" w:space="0" w:color="auto"/>
              <w:left w:val="nil" w:sz="6" w:space="0" w:color="auto"/>
              <w:bottom w:val="single" w:sz="12" w:space="0" w:color="000000"/>
              <w:right w:val="nil" w:sz="6" w:space="0" w:color="auto"/>
            </w:tcBorders>
          </w:tcPr>
          <w:p>
            <w:pPr/>
          </w:p>
        </w:tc>
        <w:tc>
          <w:tcPr>
            <w:tcW w:w="6732" w:type="dxa"/>
            <w:tcBorders>
              <w:top w:val="nil" w:sz="6" w:space="0" w:color="auto"/>
              <w:left w:val="nil" w:sz="6" w:space="0" w:color="auto"/>
              <w:bottom w:val="single" w:sz="12" w:space="0" w:color="000000"/>
              <w:right w:val="nil" w:sz="6" w:space="0" w:color="auto"/>
            </w:tcBorders>
          </w:tcPr>
          <w:p>
            <w:pPr/>
          </w:p>
        </w:tc>
      </w:tr>
      <w:tr>
        <w:trPr>
          <w:trHeight w:val="422" w:hRule="exact"/>
        </w:trPr>
        <w:tc>
          <w:tcPr>
            <w:tcW w:w="2837"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77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732"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文爱凤、陈芝莲</w:t>
            </w:r>
          </w:p>
        </w:tc>
      </w:tr>
    </w:tbl>
    <w:p>
      <w:pPr>
        <w:pStyle w:val="BodyText"/>
        <w:spacing w:line="240" w:lineRule="auto" w:before="63"/>
        <w:ind w:left="1134" w:right="0"/>
        <w:jc w:val="left"/>
      </w:pPr>
      <w:r>
        <w:rPr/>
        <w:pict>
          <v:group style="position:absolute;margin-left:55.200001pt;margin-top:-39.006325pt;width:485pt;height:.1pt;mso-position-horizontal-relative:page;mso-position-vertical-relative:paragraph;z-index:-918472" coordorigin="1104,-780" coordsize="9700,2">
            <v:shape style="position:absolute;left:1104;top:-780;width:9700;height:2" coordorigin="1104,-780" coordsize="9700,0" path="m1104,-780l10804,-780e" filled="false" stroked="true" strokeweight=".72pt" strokecolor="#000000">
              <v:path arrowok="t"/>
            </v:shape>
            <w10:wrap type="none"/>
          </v:group>
        </w:pict>
      </w:r>
      <w:r>
        <w:rPr/>
        <w:t>公司聘请的报告期内履行持续督导职责的保荐机构</w:t>
      </w:r>
    </w:p>
    <w:p>
      <w:pPr>
        <w:spacing w:line="240" w:lineRule="auto" w:before="10"/>
        <w:rPr>
          <w:rFonts w:ascii="宋体" w:hAnsi="宋体" w:cs="宋体" w:eastAsia="宋体" w:hint="default"/>
          <w:sz w:val="14"/>
          <w:szCs w:val="14"/>
        </w:rPr>
      </w:pPr>
    </w:p>
    <w:p>
      <w:pPr>
        <w:pStyle w:val="BodyText"/>
        <w:spacing w:line="240" w:lineRule="auto"/>
        <w:ind w:left="1134" w:right="0"/>
        <w:jc w:val="left"/>
      </w:pPr>
      <w:r>
        <w:rPr/>
        <w:t>√ 适用 □</w:t>
      </w:r>
      <w:r>
        <w:rPr>
          <w:spacing w:val="-1"/>
        </w:rPr>
        <w:t> </w:t>
      </w:r>
      <w:r>
        <w:rPr/>
        <w:t>不适用</w:t>
      </w:r>
    </w:p>
    <w:p>
      <w:pPr>
        <w:spacing w:line="240" w:lineRule="auto" w:before="13"/>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2393"/>
        <w:gridCol w:w="2393"/>
        <w:gridCol w:w="1453"/>
        <w:gridCol w:w="3330"/>
      </w:tblGrid>
      <w:tr>
        <w:trPr>
          <w:trHeight w:val="413" w:hRule="exact"/>
        </w:trPr>
        <w:tc>
          <w:tcPr>
            <w:tcW w:w="23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69"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45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333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27" w:hRule="exact"/>
        </w:trPr>
        <w:tc>
          <w:tcPr>
            <w:tcW w:w="239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南京市建邺区江东中路</w:t>
            </w:r>
            <w:r>
              <w:rPr>
                <w:rFonts w:ascii="宋体" w:hAnsi="宋体" w:cs="宋体" w:eastAsia="宋体" w:hint="default"/>
                <w:spacing w:val="-47"/>
                <w:sz w:val="18"/>
                <w:szCs w:val="18"/>
              </w:rPr>
              <w:t> </w:t>
            </w:r>
            <w:r>
              <w:rPr>
                <w:rFonts w:ascii="宋体" w:hAnsi="宋体" w:cs="宋体" w:eastAsia="宋体" w:hint="default"/>
                <w:sz w:val="18"/>
                <w:szCs w:val="18"/>
              </w:rPr>
              <w:t>228</w:t>
            </w:r>
            <w:r>
              <w:rPr>
                <w:rFonts w:ascii="宋体" w:hAnsi="宋体" w:cs="宋体" w:eastAsia="宋体" w:hint="default"/>
                <w:spacing w:val="-47"/>
                <w:sz w:val="18"/>
                <w:szCs w:val="18"/>
              </w:rPr>
              <w:t> </w:t>
            </w:r>
            <w:r>
              <w:rPr>
                <w:rFonts w:ascii="宋体" w:hAnsi="宋体" w:cs="宋体" w:eastAsia="宋体" w:hint="default"/>
                <w:sz w:val="18"/>
                <w:szCs w:val="18"/>
              </w:rPr>
              <w:t>号</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华泰证券广场</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层</w:t>
            </w:r>
          </w:p>
        </w:tc>
        <w:tc>
          <w:tcPr>
            <w:tcW w:w="14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刘惠萍、 黄飞</w:t>
            </w:r>
          </w:p>
        </w:tc>
        <w:tc>
          <w:tcPr>
            <w:tcW w:w="333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pStyle w:val="BodyText"/>
        <w:spacing w:line="240" w:lineRule="auto" w:before="63"/>
        <w:ind w:left="1134" w:right="0"/>
        <w:jc w:val="left"/>
      </w:pPr>
      <w:r>
        <w:rPr/>
        <w:t>公司聘请的报告期内履行持续督导职责的财务顾问</w:t>
      </w:r>
    </w:p>
    <w:p>
      <w:pPr>
        <w:spacing w:line="240" w:lineRule="auto" w:before="10"/>
        <w:rPr>
          <w:rFonts w:ascii="宋体" w:hAnsi="宋体" w:cs="宋体" w:eastAsia="宋体" w:hint="default"/>
          <w:sz w:val="14"/>
          <w:szCs w:val="14"/>
        </w:rPr>
      </w:pPr>
    </w:p>
    <w:p>
      <w:pPr>
        <w:pStyle w:val="BodyText"/>
        <w:spacing w:line="240" w:lineRule="auto"/>
        <w:ind w:left="1134" w:right="0"/>
        <w:jc w:val="left"/>
      </w:pPr>
      <w:r>
        <w:rPr/>
        <w:t>√ 适用 □</w:t>
      </w:r>
      <w:r>
        <w:rPr>
          <w:spacing w:val="-1"/>
        </w:rPr>
        <w:t> </w:t>
      </w:r>
      <w:r>
        <w:rPr/>
        <w:t>不适用</w:t>
      </w:r>
    </w:p>
    <w:p>
      <w:pPr>
        <w:spacing w:line="240" w:lineRule="auto" w:before="12"/>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2393"/>
        <w:gridCol w:w="2393"/>
        <w:gridCol w:w="1453"/>
        <w:gridCol w:w="3330"/>
      </w:tblGrid>
      <w:tr>
        <w:trPr>
          <w:trHeight w:val="502" w:hRule="exact"/>
        </w:trPr>
        <w:tc>
          <w:tcPr>
            <w:tcW w:w="23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5"/>
              <w:ind w:right="7"/>
              <w:jc w:val="center"/>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5"/>
              <w:ind w:left="469"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145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exact"/>
              <w:ind w:left="538" w:right="89" w:hanging="450"/>
              <w:jc w:val="left"/>
              <w:rPr>
                <w:rFonts w:ascii="宋体" w:hAnsi="宋体" w:cs="宋体" w:eastAsia="宋体" w:hint="default"/>
                <w:sz w:val="18"/>
                <w:szCs w:val="18"/>
              </w:rPr>
            </w:pPr>
            <w:r>
              <w:rPr>
                <w:rFonts w:ascii="宋体" w:hAnsi="宋体" w:cs="宋体" w:eastAsia="宋体" w:hint="default"/>
                <w:sz w:val="18"/>
                <w:szCs w:val="18"/>
              </w:rPr>
              <w:t>财务顾问主办人 姓名</w:t>
            </w:r>
          </w:p>
        </w:tc>
        <w:tc>
          <w:tcPr>
            <w:tcW w:w="333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5"/>
              <w:ind w:left="7"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28" w:hRule="exact"/>
        </w:trPr>
        <w:tc>
          <w:tcPr>
            <w:tcW w:w="239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290" w:right="62" w:hanging="226"/>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号 丰铭国际大厦</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层</w:t>
            </w:r>
          </w:p>
        </w:tc>
        <w:tc>
          <w:tcPr>
            <w:tcW w:w="14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崔彬彬、阮超</w:t>
            </w:r>
          </w:p>
        </w:tc>
        <w:tc>
          <w:tcPr>
            <w:tcW w:w="333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pStyle w:val="Heading2"/>
        <w:spacing w:line="240" w:lineRule="auto" w:before="40"/>
        <w:ind w:left="1134" w:right="0"/>
        <w:jc w:val="left"/>
        <w:rPr>
          <w:b w:val="0"/>
          <w:bCs w:val="0"/>
        </w:rPr>
      </w:pPr>
      <w:bookmarkStart w:name="五、主要会计数据和财务指标" w:id="9"/>
      <w:bookmarkEnd w:id="9"/>
      <w:r>
        <w:rPr>
          <w:b w:val="0"/>
          <w:bCs w:val="0"/>
        </w:rPr>
      </w:r>
      <w:r>
        <w:rPr/>
        <w:t>五、主要会计数据和财务指标</w:t>
      </w:r>
      <w:r>
        <w:rPr>
          <w:b w:val="0"/>
          <w:bCs w:val="0"/>
        </w:rPr>
      </w:r>
    </w:p>
    <w:p>
      <w:pPr>
        <w:pStyle w:val="BodyText"/>
        <w:spacing w:line="240" w:lineRule="auto" w:before="177"/>
        <w:ind w:right="0"/>
        <w:jc w:val="left"/>
      </w:pPr>
      <w:r>
        <w:rPr/>
        <w:t>公司是否因会计政策变更及会计差错更正等追溯调整或重述以前年度会计数据</w:t>
      </w:r>
    </w:p>
    <w:p>
      <w:pPr>
        <w:spacing w:line="240" w:lineRule="auto" w:before="10"/>
        <w:rPr>
          <w:rFonts w:ascii="宋体" w:hAnsi="宋体" w:cs="宋体" w:eastAsia="宋体" w:hint="default"/>
          <w:sz w:val="14"/>
          <w:szCs w:val="14"/>
        </w:rPr>
      </w:pPr>
    </w:p>
    <w:p>
      <w:pPr>
        <w:pStyle w:val="BodyText"/>
        <w:spacing w:line="240" w:lineRule="auto"/>
        <w:ind w:right="0"/>
        <w:jc w:val="left"/>
      </w:pPr>
      <w:r>
        <w:rPr/>
        <w:t>□ 是 √ 否</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2605"/>
        <w:gridCol w:w="1749"/>
        <w:gridCol w:w="1736"/>
        <w:gridCol w:w="1738"/>
        <w:gridCol w:w="1735"/>
      </w:tblGrid>
      <w:tr>
        <w:trPr>
          <w:trHeight w:val="415" w:hRule="exact"/>
        </w:trPr>
        <w:tc>
          <w:tcPr>
            <w:tcW w:w="2605"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7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7"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707,673,703.50</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343,346,895.97</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106.11%</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323,440,328.38</w:t>
            </w:r>
          </w:p>
        </w:tc>
      </w:tr>
      <w:tr>
        <w:trPr>
          <w:trHeight w:val="407"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39,557,927.16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35,930,952.54</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10.09%</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47,336,805.85</w:t>
            </w:r>
          </w:p>
        </w:tc>
      </w:tr>
      <w:tr>
        <w:trPr>
          <w:trHeight w:val="760"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57" w:lineRule="auto" w:before="52"/>
              <w:ind w:left="389" w:right="211" w:hanging="180"/>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w:t>
            </w:r>
          </w:p>
        </w:tc>
        <w:tc>
          <w:tcPr>
            <w:tcW w:w="17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30,902,934.86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27,471,479.81</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12.49%</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45,113,219.32</w:t>
            </w:r>
          </w:p>
        </w:tc>
      </w:tr>
      <w:tr>
        <w:trPr>
          <w:trHeight w:val="407"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25,388,311.45</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-11,967,059.48</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312.15%</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20,427,549.77</w:t>
            </w:r>
          </w:p>
        </w:tc>
      </w:tr>
      <w:tr>
        <w:trPr>
          <w:trHeight w:val="407"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0.2454</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0.2764</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-11.22%</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0.36</w:t>
            </w:r>
          </w:p>
        </w:tc>
      </w:tr>
      <w:tr>
        <w:trPr>
          <w:trHeight w:val="407"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0.2454</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0.2764</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-11.22%</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0.36</w:t>
            </w:r>
          </w:p>
        </w:tc>
      </w:tr>
      <w:tr>
        <w:trPr>
          <w:trHeight w:val="407"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3.01%</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5.21%</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hAnsi="宋体" w:cs="宋体" w:eastAsia="宋体" w:hint="default"/>
                <w:sz w:val="18"/>
                <w:szCs w:val="18"/>
              </w:rPr>
              <w:t>-2.20</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7.11%</w:t>
            </w:r>
          </w:p>
        </w:tc>
      </w:tr>
      <w:tr>
        <w:trPr>
          <w:trHeight w:val="407"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
        </w:tc>
        <w:tc>
          <w:tcPr>
            <w:tcW w:w="17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49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47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7"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资产总额</w:t>
            </w:r>
          </w:p>
        </w:tc>
        <w:tc>
          <w:tcPr>
            <w:tcW w:w="17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2,177,973,656.80</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1,987,723,138.56</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9.57%</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930,626,946.09</w:t>
            </w:r>
          </w:p>
        </w:tc>
      </w:tr>
      <w:tr>
        <w:trPr>
          <w:trHeight w:val="415" w:hRule="exact"/>
        </w:trPr>
        <w:tc>
          <w:tcPr>
            <w:tcW w:w="260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174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1,329,231,618.90</w:t>
            </w:r>
          </w:p>
        </w:tc>
        <w:tc>
          <w:tcPr>
            <w:tcW w:w="17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1,296,153,782.51</w:t>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2.55%</w:t>
            </w:r>
          </w:p>
        </w:tc>
        <w:tc>
          <w:tcPr>
            <w:tcW w:w="17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679,014,182.12</w:t>
            </w:r>
          </w:p>
        </w:tc>
      </w:tr>
    </w:tbl>
    <w:p>
      <w:pPr>
        <w:spacing w:line="240" w:lineRule="auto" w:before="0"/>
        <w:rPr>
          <w:rFonts w:ascii="宋体" w:hAnsi="宋体" w:cs="宋体" w:eastAsia="宋体" w:hint="default"/>
          <w:sz w:val="13"/>
          <w:szCs w:val="13"/>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3"/>
        <w:rPr>
          <w:rFonts w:ascii="宋体" w:hAnsi="宋体" w:cs="宋体" w:eastAsia="宋体" w:hint="default"/>
          <w:b/>
          <w:bCs/>
          <w:sz w:val="9"/>
          <w:szCs w:val="9"/>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2605"/>
        <w:gridCol w:w="1748"/>
        <w:gridCol w:w="1736"/>
        <w:gridCol w:w="1738"/>
        <w:gridCol w:w="1736"/>
      </w:tblGrid>
      <w:tr>
        <w:trPr>
          <w:trHeight w:val="414" w:hRule="exact"/>
        </w:trPr>
        <w:tc>
          <w:tcPr>
            <w:tcW w:w="2605"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74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00"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00"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7"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4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95,592,697.28</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168,932,494.06</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199,645,383.44</w:t>
            </w:r>
          </w:p>
        </w:tc>
        <w:tc>
          <w:tcPr>
            <w:tcW w:w="17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441" w:right="0"/>
              <w:jc w:val="left"/>
              <w:rPr>
                <w:rFonts w:ascii="宋体" w:hAnsi="宋体" w:cs="宋体" w:eastAsia="宋体" w:hint="default"/>
                <w:sz w:val="18"/>
                <w:szCs w:val="18"/>
              </w:rPr>
            </w:pPr>
            <w:r>
              <w:rPr>
                <w:rFonts w:ascii="宋体"/>
                <w:sz w:val="18"/>
              </w:rPr>
              <w:t>243,503,128.72</w:t>
            </w:r>
          </w:p>
        </w:tc>
      </w:tr>
      <w:tr>
        <w:trPr>
          <w:trHeight w:val="416" w:hRule="exact"/>
        </w:trPr>
        <w:tc>
          <w:tcPr>
            <w:tcW w:w="260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1,795,366.70</w:t>
            </w:r>
          </w:p>
        </w:tc>
        <w:tc>
          <w:tcPr>
            <w:tcW w:w="17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5,140,063.66</w:t>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15,820,830.83</w:t>
            </w:r>
          </w:p>
        </w:tc>
        <w:tc>
          <w:tcPr>
            <w:tcW w:w="17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531" w:right="0"/>
              <w:jc w:val="left"/>
              <w:rPr>
                <w:rFonts w:ascii="宋体" w:hAnsi="宋体" w:cs="宋体" w:eastAsia="宋体" w:hint="default"/>
                <w:sz w:val="18"/>
                <w:szCs w:val="18"/>
              </w:rPr>
            </w:pPr>
            <w:r>
              <w:rPr>
                <w:rFonts w:ascii="宋体"/>
                <w:sz w:val="18"/>
              </w:rPr>
              <w:t>16,801,665.97</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9"/>
        <w:rPr>
          <w:rFonts w:ascii="宋体" w:hAnsi="宋体" w:cs="宋体" w:eastAsia="宋体" w:hint="default"/>
          <w:sz w:val="3"/>
          <w:szCs w:val="3"/>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18" w:type="dxa"/>
        <w:tblLayout w:type="fixed"/>
        <w:tblCellMar>
          <w:top w:w="0" w:type="dxa"/>
          <w:left w:w="0" w:type="dxa"/>
          <w:bottom w:w="0" w:type="dxa"/>
          <w:right w:w="0" w:type="dxa"/>
        </w:tblCellMar>
        <w:tblLook w:val="01E0"/>
      </w:tblPr>
      <w:tblGrid>
        <w:gridCol w:w="2622"/>
        <w:gridCol w:w="1738"/>
        <w:gridCol w:w="1736"/>
        <w:gridCol w:w="1738"/>
        <w:gridCol w:w="1736"/>
      </w:tblGrid>
      <w:tr>
        <w:trPr>
          <w:trHeight w:val="727" w:hRule="exact"/>
        </w:trPr>
        <w:tc>
          <w:tcPr>
            <w:tcW w:w="262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576" w:right="41" w:hanging="54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1,748,263.16</w:t>
            </w:r>
          </w:p>
        </w:tc>
        <w:tc>
          <w:tcPr>
            <w:tcW w:w="17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4,983,378.90</w:t>
            </w:r>
          </w:p>
        </w:tc>
        <w:tc>
          <w:tcPr>
            <w:tcW w:w="17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16,149,899.03</w:t>
            </w:r>
          </w:p>
        </w:tc>
        <w:tc>
          <w:tcPr>
            <w:tcW w:w="173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8,021,393.77</w:t>
            </w:r>
          </w:p>
        </w:tc>
      </w:tr>
      <w:tr>
        <w:trPr>
          <w:trHeight w:val="415" w:hRule="exact"/>
        </w:trPr>
        <w:tc>
          <w:tcPr>
            <w:tcW w:w="262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-57,771,841.39</w:t>
            </w:r>
          </w:p>
        </w:tc>
        <w:tc>
          <w:tcPr>
            <w:tcW w:w="17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-8,105,678.68</w:t>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24,463,918.83</w:t>
            </w:r>
          </w:p>
        </w:tc>
        <w:tc>
          <w:tcPr>
            <w:tcW w:w="17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66,801,912.69</w:t>
            </w:r>
          </w:p>
        </w:tc>
      </w:tr>
    </w:tbl>
    <w:p>
      <w:pPr>
        <w:pStyle w:val="BodyText"/>
        <w:spacing w:line="240" w:lineRule="auto" w:before="63"/>
        <w:ind w:left="1134" w:right="0"/>
        <w:jc w:val="left"/>
      </w:pPr>
      <w:r>
        <w:rPr/>
        <w:t>上述财务指标或其加总数是否与公司已披露季度报告、半年度报告相关财务指标存在重大差异</w:t>
      </w:r>
    </w:p>
    <w:p>
      <w:pPr>
        <w:spacing w:line="240" w:lineRule="auto" w:before="10"/>
        <w:rPr>
          <w:rFonts w:ascii="宋体" w:hAnsi="宋体" w:cs="宋体" w:eastAsia="宋体" w:hint="default"/>
          <w:sz w:val="14"/>
          <w:szCs w:val="14"/>
        </w:rPr>
      </w:pPr>
    </w:p>
    <w:p>
      <w:pPr>
        <w:pStyle w:val="BodyText"/>
        <w:spacing w:line="240" w:lineRule="auto"/>
        <w:ind w:right="0"/>
        <w:jc w:val="left"/>
      </w:pPr>
      <w:r>
        <w:rPr/>
        <w:t>□ 是 √ 否</w:t>
      </w: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before="186"/>
        <w:ind w:left="1133" w:right="0" w:firstLine="0"/>
        <w:jc w:val="left"/>
        <w:rPr>
          <w:rFonts w:ascii="宋体" w:hAnsi="宋体" w:cs="宋体" w:eastAsia="宋体" w:hint="default"/>
          <w:sz w:val="20"/>
          <w:szCs w:val="20"/>
        </w:rPr>
      </w:pPr>
      <w:bookmarkStart w:name="1、同时按照国际会计准则与按照中国会计准则披露的财务报告中净利润和净资产差异情况" w:id="12"/>
      <w:bookmarkEnd w:id="12"/>
      <w:r>
        <w:rPr/>
      </w:r>
      <w:r>
        <w:rPr>
          <w:rFonts w:ascii="宋体" w:hAnsi="宋体" w:cs="宋体" w:eastAsia="宋体" w:hint="default"/>
          <w:b/>
          <w:bCs/>
          <w:sz w:val="20"/>
          <w:szCs w:val="20"/>
        </w:rPr>
        <w:t>1</w:t>
      </w:r>
      <w:r>
        <w:rPr>
          <w:rFonts w:ascii="宋体" w:hAnsi="宋体" w:cs="宋体" w:eastAsia="宋体" w:hint="default"/>
          <w:b/>
          <w:bCs/>
          <w:sz w:val="20"/>
          <w:szCs w:val="20"/>
        </w:rPr>
        <w:t>、同时按照国际会计准则与按照中国会计准则披露的财务报告中净利润和净资产差异情况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spacing w:line="412" w:lineRule="auto" w:before="0"/>
        <w:ind w:left="1133" w:right="1303" w:firstLine="0"/>
        <w:jc w:val="left"/>
        <w:rPr>
          <w:rFonts w:ascii="宋体" w:hAnsi="宋体" w:cs="宋体" w:eastAsia="宋体" w:hint="default"/>
          <w:sz w:val="20"/>
          <w:szCs w:val="20"/>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公司报告期不存在按照国际会计准则与按照中国会计准则披露的财务报告中净利润和净资产差异情况。 </w:t>
      </w:r>
      <w:bookmarkStart w:name="2、同时按照境外会计准则与按照中国会计准则披露的财务报告中净利润和净资产差异情况" w:id="13"/>
      <w:bookmarkEnd w:id="13"/>
      <w:r>
        <w:rPr>
          <w:rFonts w:ascii="宋体" w:hAnsi="宋体" w:cs="宋体" w:eastAsia="宋体" w:hint="default"/>
          <w:sz w:val="21"/>
          <w:szCs w:val="21"/>
        </w:rPr>
      </w:r>
      <w:r>
        <w:rPr>
          <w:rFonts w:ascii="宋体" w:hAnsi="宋体" w:cs="宋体" w:eastAsia="宋体" w:hint="default"/>
          <w:b/>
          <w:bCs/>
          <w:sz w:val="20"/>
          <w:szCs w:val="20"/>
        </w:rPr>
        <w:t>2</w:t>
      </w:r>
      <w:r>
        <w:rPr>
          <w:rFonts w:ascii="宋体" w:hAnsi="宋体" w:cs="宋体" w:eastAsia="宋体" w:hint="default"/>
          <w:b/>
          <w:bCs/>
          <w:sz w:val="20"/>
          <w:szCs w:val="20"/>
        </w:rPr>
        <w:t>、同时按照境外会计准则与按照中国会计准则披露的财务报告中净利润和净资产差异情况</w:t>
      </w:r>
      <w:r>
        <w:rPr>
          <w:rFonts w:ascii="宋体" w:hAnsi="宋体" w:cs="宋体" w:eastAsia="宋体" w:hint="default"/>
          <w:sz w:val="20"/>
          <w:szCs w:val="20"/>
        </w:rPr>
      </w:r>
    </w:p>
    <w:p>
      <w:pPr>
        <w:pStyle w:val="BodyText"/>
        <w:spacing w:line="398" w:lineRule="auto" w:before="53"/>
        <w:ind w:right="1303"/>
        <w:jc w:val="left"/>
        <w:rPr>
          <w:rFonts w:ascii="宋体" w:hAnsi="宋体" w:cs="宋体" w:eastAsia="宋体" w:hint="default"/>
          <w:sz w:val="24"/>
          <w:szCs w:val="24"/>
        </w:rPr>
      </w:pPr>
      <w:r>
        <w:rPr/>
        <w:t>□ 适用 √</w:t>
      </w:r>
      <w:r>
        <w:rPr>
          <w:spacing w:val="-1"/>
        </w:rPr>
        <w:t> </w:t>
      </w:r>
      <w:r>
        <w:rPr/>
        <w:t>不适用</w:t>
      </w:r>
      <w:r>
        <w:rPr/>
        <w:t> 公司报告期不存在按照境外会计准则与按照中国会计准则披露的财务报告中净利润和净资产差异情况。 </w:t>
      </w:r>
      <w:bookmarkStart w:name="八、非经常性损益项目及金额" w:id="14"/>
      <w:bookmarkEnd w:id="14"/>
      <w:r>
        <w:rPr/>
      </w:r>
      <w:r>
        <w:rPr>
          <w:rFonts w:ascii="宋体" w:hAnsi="宋体" w:cs="宋体" w:eastAsia="宋体" w:hint="default"/>
          <w:b/>
          <w:bCs/>
          <w:sz w:val="24"/>
          <w:szCs w:val="24"/>
        </w:rPr>
        <w:t>八、非经常性损益项目及金额</w:t>
      </w:r>
      <w:r>
        <w:rPr>
          <w:rFonts w:ascii="宋体" w:hAnsi="宋体" w:cs="宋体" w:eastAsia="宋体" w:hint="default"/>
          <w:sz w:val="24"/>
          <w:szCs w:val="24"/>
        </w:rPr>
      </w:r>
    </w:p>
    <w:p>
      <w:pPr>
        <w:pStyle w:val="BodyText"/>
        <w:spacing w:line="240" w:lineRule="auto" w:before="18"/>
        <w:ind w:right="0"/>
        <w:jc w:val="left"/>
      </w:pPr>
      <w:r>
        <w:rPr/>
        <w:t>√ 适用 □</w:t>
      </w:r>
      <w:r>
        <w:rPr>
          <w:spacing w:val="-1"/>
        </w:rPr>
        <w:t> </w:t>
      </w:r>
      <w:r>
        <w:rPr/>
        <w:t>不适用</w:t>
      </w:r>
    </w:p>
    <w:p>
      <w:pPr>
        <w:spacing w:before="140"/>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125" w:type="dxa"/>
        <w:tblLayout w:type="fixed"/>
        <w:tblCellMar>
          <w:top w:w="0" w:type="dxa"/>
          <w:left w:w="0" w:type="dxa"/>
          <w:bottom w:w="0" w:type="dxa"/>
          <w:right w:w="0" w:type="dxa"/>
        </w:tblCellMar>
        <w:tblLook w:val="01E0"/>
      </w:tblPr>
      <w:tblGrid>
        <w:gridCol w:w="3280"/>
        <w:gridCol w:w="1746"/>
        <w:gridCol w:w="1736"/>
        <w:gridCol w:w="1738"/>
        <w:gridCol w:w="1061"/>
      </w:tblGrid>
      <w:tr>
        <w:trPr>
          <w:trHeight w:val="414" w:hRule="exact"/>
        </w:trPr>
        <w:tc>
          <w:tcPr>
            <w:tcW w:w="32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4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3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06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20"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74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-418,571.25</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-16,469.78</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-97,346.57</w:t>
            </w:r>
          </w:p>
        </w:tc>
        <w:tc>
          <w:tcPr>
            <w:tcW w:w="1061" w:type="dxa"/>
            <w:tcBorders>
              <w:top w:val="single" w:sz="6" w:space="0" w:color="000000"/>
              <w:left w:val="single" w:sz="6" w:space="0" w:color="000000"/>
              <w:bottom w:val="single" w:sz="6" w:space="0" w:color="000000"/>
              <w:right w:val="single" w:sz="12" w:space="0" w:color="000000"/>
            </w:tcBorders>
          </w:tcPr>
          <w:p>
            <w:pPr/>
          </w:p>
        </w:tc>
      </w:tr>
      <w:tr>
        <w:trPr>
          <w:trHeight w:val="1031"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6"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74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8,621,400.00</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9,949,303.00</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2,588,400.00</w:t>
            </w:r>
          </w:p>
        </w:tc>
        <w:tc>
          <w:tcPr>
            <w:tcW w:w="10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4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595,351.79</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25,461.61</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124,930.72</w:t>
            </w:r>
          </w:p>
        </w:tc>
        <w:tc>
          <w:tcPr>
            <w:tcW w:w="10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74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82,503.99</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1,493,744.22</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392,397.62</w:t>
            </w:r>
          </w:p>
        </w:tc>
        <w:tc>
          <w:tcPr>
            <w:tcW w:w="10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74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60,684.25</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5,077.88</w:t>
            </w:r>
          </w:p>
        </w:tc>
        <w:tc>
          <w:tcPr>
            <w:tcW w:w="1738"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28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4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8,654,992.30</w:t>
            </w:r>
          </w:p>
        </w:tc>
        <w:tc>
          <w:tcPr>
            <w:tcW w:w="17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8,459,472.73</w:t>
            </w:r>
          </w:p>
        </w:tc>
        <w:tc>
          <w:tcPr>
            <w:tcW w:w="1738" w:type="dxa"/>
            <w:tcBorders>
              <w:top w:val="single" w:sz="6" w:space="0" w:color="000000"/>
              <w:left w:val="single" w:sz="6" w:space="0" w:color="000000"/>
              <w:bottom w:val="single" w:sz="12" w:space="0" w:color="000000"/>
              <w:right w:val="single" w:sz="9" w:space="0" w:color="D2D2D2"/>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2,223,586.53</w:t>
            </w:r>
          </w:p>
        </w:tc>
        <w:tc>
          <w:tcPr>
            <w:tcW w:w="1061"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sz w:val="18"/>
              </w:rPr>
              <w:t>--</w:t>
            </w:r>
          </w:p>
        </w:tc>
      </w:tr>
    </w:tbl>
    <w:p>
      <w:pPr>
        <w:pStyle w:val="BodyText"/>
        <w:spacing w:line="240" w:lineRule="auto" w:before="63"/>
        <w:ind w:left="1134" w:right="0"/>
        <w:jc w:val="left"/>
      </w:pPr>
      <w:r>
        <w:rPr/>
        <w:t>对公司根据《公开发行证券的公司信息披露解释性公告第</w:t>
      </w:r>
      <w:r>
        <w:rPr>
          <w:spacing w:val="-64"/>
        </w:rPr>
        <w:t> </w:t>
      </w:r>
      <w:r>
        <w:rPr>
          <w:rFonts w:ascii="宋体" w:hAnsi="宋体" w:cs="宋体" w:eastAsia="宋体" w:hint="default"/>
        </w:rPr>
        <w:t>1</w:t>
      </w:r>
      <w:r>
        <w:rPr>
          <w:rFonts w:ascii="宋体" w:hAnsi="宋体" w:cs="宋体" w:eastAsia="宋体" w:hint="default"/>
          <w:spacing w:val="-64"/>
        </w:rPr>
        <w:t> </w:t>
      </w:r>
      <w:r>
        <w:rPr/>
        <w:t>号——非经常性损益》定义界定的非经常性损</w:t>
      </w:r>
    </w:p>
    <w:p>
      <w:pPr>
        <w:spacing w:line="240" w:lineRule="auto" w:before="10"/>
        <w:rPr>
          <w:rFonts w:ascii="宋体" w:hAnsi="宋体" w:cs="宋体" w:eastAsia="宋体" w:hint="default"/>
          <w:sz w:val="14"/>
          <w:szCs w:val="14"/>
        </w:rPr>
      </w:pPr>
    </w:p>
    <w:p>
      <w:pPr>
        <w:pStyle w:val="BodyText"/>
        <w:spacing w:line="408" w:lineRule="auto"/>
        <w:ind w:right="1116"/>
        <w:jc w:val="left"/>
      </w:pPr>
      <w:r>
        <w:rPr/>
        <w:t>益项目，以及把《公开发行证券的公司信息披露解释性公告第</w:t>
      </w:r>
      <w:r>
        <w:rPr>
          <w:spacing w:val="-64"/>
        </w:rPr>
        <w:t> </w:t>
      </w:r>
      <w:r>
        <w:rPr>
          <w:rFonts w:ascii="宋体" w:hAnsi="宋体" w:cs="宋体" w:eastAsia="宋体" w:hint="default"/>
        </w:rPr>
        <w:t>1</w:t>
      </w:r>
      <w:r>
        <w:rPr>
          <w:rFonts w:ascii="宋体" w:hAnsi="宋体" w:cs="宋体" w:eastAsia="宋体" w:hint="default"/>
          <w:spacing w:val="-64"/>
        </w:rPr>
        <w:t> </w:t>
      </w:r>
      <w:r>
        <w:rPr/>
        <w:t>号——非经常性损益》中列举的非经常性 损益项目界定为经常性损益的项目，应说明原因</w:t>
      </w:r>
    </w:p>
    <w:p>
      <w:pPr>
        <w:pStyle w:val="BodyText"/>
        <w:spacing w:line="240" w:lineRule="auto" w:before="46"/>
        <w:ind w:left="113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408" w:lineRule="auto"/>
        <w:ind w:right="1116"/>
        <w:jc w:val="left"/>
      </w:pPr>
      <w:r>
        <w:rPr/>
        <w:t>公司报告期不存在将根据《公开发行证券的公司信息披露解释性公告第</w:t>
      </w:r>
      <w:r>
        <w:rPr>
          <w:spacing w:val="-64"/>
        </w:rPr>
        <w:t> </w:t>
      </w:r>
      <w:r>
        <w:rPr>
          <w:rFonts w:ascii="宋体" w:hAnsi="宋体" w:cs="宋体" w:eastAsia="宋体" w:hint="default"/>
        </w:rPr>
        <w:t>1</w:t>
      </w:r>
      <w:r>
        <w:rPr>
          <w:rFonts w:ascii="宋体" w:hAnsi="宋体" w:cs="宋体" w:eastAsia="宋体" w:hint="default"/>
          <w:spacing w:val="-64"/>
        </w:rPr>
        <w:t> </w:t>
      </w:r>
      <w:r>
        <w:rPr/>
        <w:t>号——非经常性损益》定义、列 举的非经常性损益项目界定为经常性损益的项目的情形。</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right="1130"/>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0"/>
        <w:rPr>
          <w:rFonts w:ascii="宋体" w:hAnsi="宋体" w:cs="宋体" w:eastAsia="宋体" w:hint="default"/>
          <w:b/>
          <w:bCs/>
          <w:sz w:val="44"/>
          <w:szCs w:val="44"/>
        </w:rPr>
      </w:pPr>
    </w:p>
    <w:p>
      <w:pPr>
        <w:pStyle w:val="Heading2"/>
        <w:spacing w:line="240" w:lineRule="auto" w:before="0"/>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pStyle w:val="BodyText"/>
        <w:spacing w:line="408" w:lineRule="auto" w:before="177"/>
        <w:ind w:left="1275" w:right="1131" w:firstLine="426"/>
        <w:jc w:val="both"/>
      </w:pPr>
      <w:r>
        <w:rPr>
          <w:rFonts w:ascii="宋体" w:hAnsi="宋体" w:cs="宋体" w:eastAsia="宋体" w:hint="default"/>
        </w:rPr>
        <w:t>2015</w:t>
      </w:r>
      <w:r>
        <w:rPr/>
        <w:t>年，公司在“为人类信息文明服务”的企业宗旨引领下，继续贯彻“创新驱动、资本助力；一 体两翼、协调发展”的战略规划，确立了以智能电网能源互联网为战略基础，以版权云、健康管理为先</w:t>
      </w:r>
      <w:r>
        <w:rPr>
          <w:spacing w:val="-65"/>
        </w:rPr>
        <w:t> </w:t>
      </w:r>
      <w:r>
        <w:rPr>
          <w:spacing w:val="-65"/>
        </w:rPr>
      </w:r>
      <w:r>
        <w:rPr>
          <w:spacing w:val="-2"/>
        </w:rPr>
        <w:t>导的互联网</w:t>
      </w:r>
      <w:r>
        <w:rPr>
          <w:rFonts w:ascii="宋体" w:hAnsi="宋体" w:cs="宋体" w:eastAsia="宋体" w:hint="default"/>
          <w:spacing w:val="-2"/>
        </w:rPr>
        <w:t>+</w:t>
      </w:r>
      <w:r>
        <w:rPr>
          <w:spacing w:val="-2"/>
        </w:rPr>
        <w:t>物联网产业布局。其中，电力业务主要包括用电信息采集终端业务、电力工程业务、电力设</w:t>
      </w:r>
      <w:r>
        <w:rPr>
          <w:spacing w:val="-74"/>
        </w:rPr>
        <w:t> </w:t>
      </w:r>
      <w:r>
        <w:rPr>
          <w:spacing w:val="-74"/>
        </w:rPr>
      </w:r>
      <w:r>
        <w:rPr>
          <w:spacing w:val="-2"/>
        </w:rPr>
        <w:t>计业务、电能计量箱业务；互联网</w:t>
      </w:r>
      <w:r>
        <w:rPr>
          <w:rFonts w:ascii="宋体" w:hAnsi="宋体" w:cs="宋体" w:eastAsia="宋体" w:hint="default"/>
          <w:spacing w:val="-2"/>
        </w:rPr>
        <w:t>+</w:t>
      </w:r>
      <w:r>
        <w:rPr>
          <w:spacing w:val="-2"/>
        </w:rPr>
        <w:t>物联网业务主要包括版权云业务、健康管理业务。上述业务在公司董</w:t>
      </w:r>
      <w:r>
        <w:rPr>
          <w:spacing w:val="-74"/>
        </w:rPr>
        <w:t> </w:t>
      </w:r>
      <w:r>
        <w:rPr>
          <w:spacing w:val="-74"/>
        </w:rPr>
      </w:r>
      <w:r>
        <w:rPr/>
        <w:t>事会的领导和总经理带领下团队分工明确，业务齐头并进，既为公司的发展保证了稳定的现金流和利润</w:t>
      </w:r>
      <w:r>
        <w:rPr>
          <w:spacing w:val="-64"/>
        </w:rPr>
        <w:t> </w:t>
      </w:r>
      <w:r>
        <w:rPr>
          <w:spacing w:val="-64"/>
        </w:rPr>
      </w:r>
      <w:r>
        <w:rPr/>
        <w:t>增长，也为公司实现互联网</w:t>
      </w:r>
      <w:r>
        <w:rPr>
          <w:rFonts w:ascii="宋体" w:hAnsi="宋体" w:cs="宋体" w:eastAsia="宋体" w:hint="default"/>
        </w:rPr>
        <w:t>+</w:t>
      </w:r>
      <w:r>
        <w:rPr/>
        <w:t>物联网的战略打下坚实基础。</w:t>
      </w:r>
    </w:p>
    <w:p>
      <w:pPr>
        <w:pStyle w:val="BodyText"/>
        <w:spacing w:line="408" w:lineRule="auto" w:before="46"/>
        <w:ind w:left="1807" w:right="2414" w:hanging="106"/>
        <w:jc w:val="left"/>
      </w:pPr>
      <w:r>
        <w:rPr/>
        <w:t>报告期内，各项业务稳步有序推进，公司完成的重点工作如下： </w:t>
      </w:r>
      <w:r>
        <w:rPr>
          <w:rFonts w:ascii="宋体" w:hAnsi="宋体" w:cs="宋体" w:eastAsia="宋体" w:hint="default"/>
        </w:rPr>
        <w:t>1</w:t>
      </w:r>
      <w:r>
        <w:rPr/>
        <w:t>、智能电网互联网</w:t>
      </w:r>
      <w:r>
        <w:rPr>
          <w:rFonts w:ascii="宋体" w:hAnsi="宋体" w:cs="宋体" w:eastAsia="宋体" w:hint="default"/>
        </w:rPr>
        <w:t>+</w:t>
      </w:r>
      <w:r>
        <w:rPr/>
        <w:t>业务板块着力构建完整产业链，为公司</w:t>
      </w:r>
      <w:r>
        <w:rPr>
          <w:rFonts w:ascii="宋体" w:hAnsi="宋体" w:cs="宋体" w:eastAsia="宋体" w:hint="default"/>
        </w:rPr>
        <w:t>1+3</w:t>
      </w:r>
      <w:r>
        <w:rPr/>
        <w:t>产业布局夯实基础。</w:t>
      </w:r>
    </w:p>
    <w:p>
      <w:pPr>
        <w:pStyle w:val="BodyText"/>
        <w:spacing w:line="408" w:lineRule="auto" w:before="46"/>
        <w:ind w:left="1275" w:right="1137" w:firstLine="426"/>
        <w:jc w:val="both"/>
      </w:pPr>
      <w:r>
        <w:rPr>
          <w:rFonts w:ascii="宋体" w:hAnsi="宋体" w:cs="宋体" w:eastAsia="宋体" w:hint="default"/>
        </w:rPr>
        <w:t>2015</w:t>
      </w:r>
      <w:r>
        <w:rPr/>
        <w:t>年，是公司电力业务充满挑战的一年，也是公司结合自身优势在电力行业广泛求索的一年。面 对日益严峻的市场环境，公司一方面以现有业务为基础，积极追踪电力改革步伐和行业发展趋势，对原</w:t>
      </w:r>
      <w:r>
        <w:rPr>
          <w:spacing w:val="-67"/>
        </w:rPr>
        <w:t> </w:t>
      </w:r>
      <w:r>
        <w:rPr>
          <w:spacing w:val="-67"/>
        </w:rPr>
      </w:r>
      <w:r>
        <w:rPr/>
        <w:t>有电力业务架构进行调整优化，加大对新技术及产品研发应用的投入；另一方面充分利用资本手段先后</w:t>
      </w:r>
      <w:r>
        <w:rPr>
          <w:spacing w:val="-67"/>
        </w:rPr>
        <w:t> </w:t>
      </w:r>
      <w:r>
        <w:rPr>
          <w:spacing w:val="-67"/>
        </w:rPr>
      </w:r>
      <w:r>
        <w:rPr/>
        <w:t>并购索瑞电气、德能设计、德能工程，对用电信息采集系统业务链的上、下游进行整合，以实现业务链</w:t>
      </w:r>
      <w:r>
        <w:rPr>
          <w:spacing w:val="-67"/>
        </w:rPr>
        <w:t> </w:t>
      </w:r>
      <w:r>
        <w:rPr>
          <w:spacing w:val="-67"/>
        </w:rPr>
      </w:r>
      <w:r>
        <w:rPr/>
        <w:t>的延伸和市场扩张，实现“内生式增长”与“外延式发展”的有机融合。</w:t>
      </w:r>
    </w:p>
    <w:p>
      <w:pPr>
        <w:pStyle w:val="BodyText"/>
        <w:spacing w:line="408" w:lineRule="auto" w:before="46"/>
        <w:ind w:left="1275" w:right="1128" w:firstLine="426"/>
        <w:jc w:val="both"/>
      </w:pPr>
      <w:r>
        <w:rPr/>
        <w:t>报告期内，公司对电力业务架构进行调整优化，重新调整业务结构及部门设置，目前从事电力业务 的相关部门（单位）有智能终端事业部、工程事业部、苏源光一、索瑞电气、德能工程、德能设计，主</w:t>
      </w:r>
      <w:r>
        <w:rPr>
          <w:spacing w:val="-67"/>
        </w:rPr>
        <w:t> </w:t>
      </w:r>
      <w:r>
        <w:rPr>
          <w:spacing w:val="-67"/>
        </w:rPr>
      </w:r>
      <w:r>
        <w:rPr/>
        <w:t>要涵盖公司用电信息采集终端业务、电力工程业务、电力设计业务、电能计量箱业务等，初步形成了以</w:t>
      </w:r>
      <w:r>
        <w:rPr>
          <w:spacing w:val="-67"/>
        </w:rPr>
        <w:t> </w:t>
      </w:r>
      <w:r>
        <w:rPr>
          <w:spacing w:val="-67"/>
        </w:rPr>
      </w:r>
      <w:r>
        <w:rPr/>
        <w:t>电力设计为源头、设备供应为支撑、工程施工为基础、信息采集及处理为核心、能源互联为价值的公司</w:t>
      </w:r>
      <w:r>
        <w:rPr>
          <w:spacing w:val="-59"/>
        </w:rPr>
        <w:t> </w:t>
      </w:r>
      <w:r>
        <w:rPr>
          <w:spacing w:val="-59"/>
        </w:rPr>
      </w:r>
      <w:r>
        <w:rPr>
          <w:spacing w:val="-2"/>
        </w:rPr>
        <w:t>智能电网互联网</w:t>
      </w:r>
      <w:r>
        <w:rPr>
          <w:rFonts w:ascii="宋体" w:hAnsi="宋体" w:cs="宋体" w:eastAsia="宋体" w:hint="default"/>
          <w:spacing w:val="-2"/>
        </w:rPr>
        <w:t>+</w:t>
      </w:r>
      <w:r>
        <w:rPr>
          <w:spacing w:val="-2"/>
        </w:rPr>
        <w:t>业务板块相对完整的产业链，实现公司从用采设备供应及服务向电力设计、一二次设备</w:t>
      </w:r>
      <w:r>
        <w:rPr>
          <w:spacing w:val="-76"/>
        </w:rPr>
        <w:t> </w:t>
      </w:r>
      <w:r>
        <w:rPr>
          <w:spacing w:val="-76"/>
        </w:rPr>
      </w:r>
      <w:r>
        <w:rPr/>
        <w:t>供应、工程施工及节能服务、运营服务方向稳步发展，并沿着产业链向相关多元化领域拓展。</w:t>
      </w:r>
    </w:p>
    <w:p>
      <w:pPr>
        <w:pStyle w:val="BodyText"/>
        <w:spacing w:line="408" w:lineRule="auto" w:before="46"/>
        <w:ind w:left="1275" w:right="1027" w:firstLine="426"/>
        <w:jc w:val="left"/>
      </w:pPr>
      <w:r>
        <w:rPr/>
        <w:t>在新技术新产品研发及新的利润增长点方面：公司利用研发技术优势，一方面围绕用电信息采集核 心技术的未来发展趋势，加大对宽带载波技术的研发投入，为用电信息采集产品的更新换代提前做好技</w:t>
      </w:r>
      <w:r>
        <w:rPr>
          <w:spacing w:val="-62"/>
        </w:rPr>
        <w:t> </w:t>
      </w:r>
      <w:r>
        <w:rPr>
          <w:spacing w:val="-62"/>
        </w:rPr>
      </w:r>
      <w:r>
        <w:rPr/>
        <w:t>术基础工作，并已实现实用化；同时，加强用电信息采集产品的深化应用技术研究，实现户变关系测试</w:t>
      </w:r>
      <w:r>
        <w:rPr>
          <w:spacing w:val="-64"/>
        </w:rPr>
        <w:t> </w:t>
      </w:r>
      <w:r>
        <w:rPr>
          <w:spacing w:val="-64"/>
        </w:rPr>
      </w:r>
      <w:r>
        <w:rPr>
          <w:spacing w:val="-2"/>
        </w:rPr>
        <w:t>仪产品化，并在江苏、江西等省实现销售。在配电自动化方面，公司成功研制故障指示器，产品在江苏、</w:t>
      </w:r>
      <w:r>
        <w:rPr>
          <w:spacing w:val="-72"/>
        </w:rPr>
        <w:t> </w:t>
      </w:r>
      <w:r>
        <w:rPr>
          <w:spacing w:val="-72"/>
        </w:rPr>
      </w:r>
      <w:r>
        <w:rPr/>
        <w:t>江西两省中标，标志着公司成功进入配电自动化市场；另一方面，知识产权保护方面，公司自主研发的</w:t>
      </w:r>
      <w:r>
        <w:rPr>
          <w:spacing w:val="-67"/>
        </w:rPr>
        <w:t> </w:t>
      </w:r>
      <w:r>
        <w:rPr>
          <w:spacing w:val="-67"/>
        </w:rPr>
      </w:r>
      <w:r>
        <w:rPr/>
        <w:t>“EFC</w:t>
      </w:r>
      <w:r>
        <w:rPr>
          <w:rFonts w:ascii="宋体" w:hAnsi="宋体" w:cs="宋体" w:eastAsia="宋体" w:hint="default"/>
        </w:rPr>
        <w:t>-EMS2000 </w:t>
      </w:r>
      <w:r>
        <w:rPr/>
        <w:t>能源管理系统”取得软件著作权</w:t>
      </w:r>
      <w:r>
        <w:rPr>
          <w:rFonts w:ascii="宋体" w:hAnsi="宋体" w:cs="宋体" w:eastAsia="宋体" w:hint="default"/>
        </w:rPr>
        <w:t>6</w:t>
      </w:r>
      <w:r>
        <w:rPr/>
        <w:t>项，申请发明专利和实用新型专利各</w:t>
      </w:r>
      <w:r>
        <w:rPr>
          <w:rFonts w:ascii="宋体" w:hAnsi="宋体" w:cs="宋体" w:eastAsia="宋体" w:hint="default"/>
        </w:rPr>
        <w:t>1</w:t>
      </w:r>
      <w:r>
        <w:rPr/>
        <w:t>项，已通过江苏</w:t>
      </w:r>
      <w:r>
        <w:rPr>
          <w:spacing w:val="-69"/>
        </w:rPr>
        <w:t> </w:t>
      </w:r>
      <w:r>
        <w:rPr>
          <w:spacing w:val="-69"/>
        </w:rPr>
      </w:r>
      <w:r>
        <w:rPr/>
        <w:t>省经济和信息化委员会组织的新产品鉴定；公司与东南大学共同研发的“EFC</w:t>
      </w:r>
      <w:r>
        <w:rPr>
          <w:rFonts w:ascii="宋体" w:hAnsi="宋体" w:cs="宋体" w:eastAsia="宋体" w:hint="default"/>
        </w:rPr>
        <w:t>-MGS100</w:t>
      </w:r>
      <w:r>
        <w:rPr/>
        <w:t>分布式发电与智能</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left="1275" w:right="1130"/>
        <w:jc w:val="both"/>
      </w:pPr>
      <w:r>
        <w:rPr/>
        <w:t>微电网系统”通过新技术鉴定，项目提出并开发的“多源互补的智能微电网柔性控制与能量优化技术”</w:t>
      </w:r>
      <w:r>
        <w:rPr>
          <w:spacing w:val="-62"/>
        </w:rPr>
        <w:t> </w:t>
      </w:r>
      <w:r>
        <w:rPr>
          <w:spacing w:val="-62"/>
        </w:rPr>
      </w:r>
      <w:r>
        <w:rPr>
          <w:spacing w:val="3"/>
        </w:rPr>
        <w:t>达到国内外领先水平，申请发明专利和实用新型专利各</w:t>
      </w:r>
      <w:r>
        <w:rPr>
          <w:rFonts w:ascii="宋体" w:hAnsi="宋体" w:cs="宋体" w:eastAsia="宋体" w:hint="default"/>
          <w:spacing w:val="3"/>
        </w:rPr>
        <w:t>1</w:t>
      </w:r>
      <w:r>
        <w:rPr>
          <w:spacing w:val="3"/>
        </w:rPr>
        <w:t>项，取得软件著作权</w:t>
      </w:r>
      <w:r>
        <w:rPr>
          <w:rFonts w:ascii="宋体" w:hAnsi="宋体" w:cs="宋体" w:eastAsia="宋体" w:hint="default"/>
          <w:spacing w:val="3"/>
        </w:rPr>
        <w:t>1</w:t>
      </w:r>
      <w:r>
        <w:rPr>
          <w:spacing w:val="3"/>
        </w:rPr>
        <w:t>项，申报高新技术产品</w:t>
      </w:r>
      <w:r>
        <w:rPr>
          <w:rFonts w:ascii="宋体" w:hAnsi="宋体" w:cs="宋体" w:eastAsia="宋体" w:hint="default"/>
          <w:spacing w:val="3"/>
        </w:rPr>
        <w:t>1</w:t>
      </w:r>
      <w:r>
        <w:rPr>
          <w:rFonts w:ascii="宋体" w:hAnsi="宋体" w:cs="宋体" w:eastAsia="宋体" w:hint="default"/>
        </w:rPr>
        <w:t> </w:t>
      </w:r>
      <w:r>
        <w:rPr/>
        <w:t>项，并获得了江宁区产学研和新兴产业示范项目资助。</w:t>
      </w:r>
    </w:p>
    <w:p>
      <w:pPr>
        <w:pStyle w:val="BodyText"/>
        <w:spacing w:line="408" w:lineRule="auto" w:before="46"/>
        <w:ind w:left="1275" w:right="1074" w:firstLine="426"/>
        <w:jc w:val="both"/>
      </w:pPr>
      <w:r>
        <w:rPr/>
        <w:t>在用电信息采集业务方面，由于国家电网公司减少了采集系统建设专项招标采购，虽然在</w:t>
      </w:r>
      <w:r>
        <w:rPr>
          <w:rFonts w:ascii="宋体" w:hAnsi="宋体" w:cs="宋体" w:eastAsia="宋体" w:hint="default"/>
        </w:rPr>
        <w:t>2015</w:t>
      </w:r>
      <w:r>
        <w:rPr/>
        <w:t>年国</w:t>
      </w:r>
      <w:r>
        <w:rPr>
          <w:spacing w:val="1"/>
        </w:rPr>
        <w:t> </w:t>
      </w:r>
      <w:r>
        <w:rPr/>
        <w:t>家电网</w:t>
      </w:r>
      <w:r>
        <w:rPr>
          <w:rFonts w:ascii="宋体" w:hAnsi="宋体" w:cs="宋体" w:eastAsia="宋体" w:hint="default"/>
        </w:rPr>
        <w:t>3</w:t>
      </w:r>
      <w:r>
        <w:rPr/>
        <w:t>次集中招标中，公司的中标份额占比逐步攀升，但仍受制新增订单及存量订单减少的双重影响， 用电信息采集终端业务收入较上年同期减少。</w:t>
      </w:r>
    </w:p>
    <w:p>
      <w:pPr>
        <w:pStyle w:val="BodyText"/>
        <w:spacing w:line="408" w:lineRule="auto" w:before="46"/>
        <w:ind w:left="1275" w:right="0" w:firstLine="426"/>
        <w:jc w:val="left"/>
      </w:pPr>
      <w:r>
        <w:rPr>
          <w:spacing w:val="-4"/>
        </w:rPr>
        <w:t>在电力工程业务方面，公司紧跟电力改革步伐和行业发展趋势，</w:t>
      </w:r>
      <w:r>
        <w:rPr>
          <w:rFonts w:ascii="宋体" w:hAnsi="宋体" w:cs="宋体" w:eastAsia="宋体" w:hint="default"/>
          <w:spacing w:val="-4"/>
        </w:rPr>
        <w:t>2015</w:t>
      </w:r>
      <w:r>
        <w:rPr>
          <w:spacing w:val="-4"/>
        </w:rPr>
        <w:t>年初新设工程事业部，并于</w:t>
      </w:r>
      <w:r>
        <w:rPr>
          <w:rFonts w:ascii="宋体" w:hAnsi="宋体" w:cs="宋体" w:eastAsia="宋体" w:hint="default"/>
          <w:spacing w:val="-4"/>
        </w:rPr>
        <w:t>2015</w:t>
      </w:r>
      <w:r>
        <w:rPr>
          <w:rFonts w:ascii="宋体" w:hAnsi="宋体" w:cs="宋体" w:eastAsia="宋体" w:hint="default"/>
        </w:rPr>
        <w:t> </w:t>
      </w:r>
      <w:r>
        <w:rPr/>
        <w:t>年</w:t>
      </w:r>
      <w:r>
        <w:rPr>
          <w:rFonts w:ascii="宋体" w:hAnsi="宋体" w:cs="宋体" w:eastAsia="宋体" w:hint="default"/>
        </w:rPr>
        <w:t>6</w:t>
      </w:r>
      <w:r>
        <w:rPr/>
        <w:t>月收购全资子公司德能工程，在工程资质、人员设置等方面快速提升，用电信息采集系统建设、维护 和计量封闭性改造等传统工程业务稳步开展，同时通过市场调研、系统规划，充分利用现有业务渠道积</w:t>
      </w:r>
      <w:r>
        <w:rPr>
          <w:spacing w:val="-67"/>
        </w:rPr>
        <w:t> </w:t>
      </w:r>
      <w:r>
        <w:rPr>
          <w:spacing w:val="-67"/>
        </w:rPr>
      </w:r>
      <w:r>
        <w:rPr/>
        <w:t>极拓展新居配业务、用户工程、农配网业务、新能源推广等新电力工程业务，其中省属新居配业务现已</w:t>
      </w:r>
      <w:r>
        <w:rPr>
          <w:spacing w:val="-67"/>
        </w:rPr>
        <w:t> </w:t>
      </w:r>
      <w:r>
        <w:rPr>
          <w:spacing w:val="-67"/>
        </w:rPr>
      </w:r>
      <w:r>
        <w:rPr>
          <w:spacing w:val="-2"/>
        </w:rPr>
        <w:t>基本进入正轨，并将逐步发展为工程支柱业务。同时，公司积极拓展工业领域电力需求侧（</w:t>
      </w:r>
      <w:r>
        <w:rPr>
          <w:rFonts w:ascii="宋体" w:hAnsi="宋体" w:cs="宋体" w:eastAsia="宋体" w:hint="default"/>
          <w:spacing w:val="-2"/>
        </w:rPr>
        <w:t>IDSM</w:t>
      </w:r>
      <w:r>
        <w:rPr>
          <w:spacing w:val="-2"/>
        </w:rPr>
        <w:t>）业务，</w:t>
      </w:r>
      <w:r>
        <w:rPr>
          <w:spacing w:val="-67"/>
        </w:rPr>
        <w:t> </w:t>
      </w:r>
      <w:r>
        <w:rPr>
          <w:spacing w:val="-67"/>
        </w:rPr>
      </w:r>
      <w:r>
        <w:rPr/>
        <w:t>获得“全国工业领域电力需求侧管理一级服务机构”资质，并成为江苏省电能服务机构。</w:t>
      </w:r>
    </w:p>
    <w:p>
      <w:pPr>
        <w:pStyle w:val="BodyText"/>
        <w:spacing w:line="408" w:lineRule="auto" w:before="46"/>
        <w:ind w:left="1275" w:right="0" w:firstLine="426"/>
        <w:jc w:val="left"/>
      </w:pPr>
      <w:r>
        <w:rPr>
          <w:spacing w:val="-2"/>
        </w:rPr>
        <w:t>在电能计量箱业务方面，主要以控股子公司索瑞电气为运营主体，为公司收购索瑞电气后新增业务。</w:t>
      </w:r>
      <w:r>
        <w:rPr/>
        <w:t> </w:t>
      </w:r>
      <w:r>
        <w:rPr>
          <w:rFonts w:ascii="宋体" w:hAnsi="宋体" w:cs="宋体" w:eastAsia="宋体" w:hint="default"/>
        </w:rPr>
        <w:t>2015</w:t>
      </w:r>
      <w:r>
        <w:rPr/>
        <w:t>年，随着国家电网公司实行电能计量表箱统一集中招标平台建立，国网和各地省网公司招标比例随</w:t>
      </w:r>
      <w:r>
        <w:rPr>
          <w:spacing w:val="-68"/>
        </w:rPr>
        <w:t> </w:t>
      </w:r>
      <w:r>
        <w:rPr>
          <w:spacing w:val="-68"/>
        </w:rPr>
      </w:r>
      <w:r>
        <w:rPr/>
        <w:t>之发生变化，市场竞争进一步加剧。索瑞电气坚持以市场为导向、以创新为产品优势，一方面纵向延伸</w:t>
      </w:r>
      <w:r>
        <w:rPr>
          <w:spacing w:val="-67"/>
        </w:rPr>
        <w:t> </w:t>
      </w:r>
      <w:r>
        <w:rPr>
          <w:spacing w:val="-67"/>
        </w:rPr>
      </w:r>
      <w:r>
        <w:rPr>
          <w:spacing w:val="-4"/>
        </w:rPr>
        <w:t>价值链，提高</w:t>
      </w:r>
      <w:r>
        <w:rPr>
          <w:rFonts w:ascii="宋体" w:hAnsi="宋体" w:cs="宋体" w:eastAsia="宋体" w:hint="default"/>
          <w:spacing w:val="-4"/>
        </w:rPr>
        <w:t>ABS</w:t>
      </w:r>
      <w:r>
        <w:rPr>
          <w:spacing w:val="-4"/>
        </w:rPr>
        <w:t>、</w:t>
      </w:r>
      <w:r>
        <w:rPr>
          <w:rFonts w:ascii="宋体" w:hAnsi="宋体" w:cs="宋体" w:eastAsia="宋体" w:hint="default"/>
          <w:spacing w:val="-4"/>
        </w:rPr>
        <w:t>PC</w:t>
      </w:r>
      <w:r>
        <w:rPr>
          <w:spacing w:val="-4"/>
        </w:rPr>
        <w:t>颗粒料的产能和质量水平，做到既能完全满足自用又能外销，开辟新的利润增长点；</w:t>
      </w:r>
      <w:r>
        <w:rPr>
          <w:spacing w:val="-76"/>
        </w:rPr>
        <w:t> </w:t>
      </w:r>
      <w:r>
        <w:rPr>
          <w:spacing w:val="-76"/>
        </w:rPr>
      </w:r>
      <w:r>
        <w:rPr/>
        <w:t>另一方面横向拓宽产品线，提高高低压成套设备、在线监测系统等非电表箱产品的销售比重，全年保持</w:t>
      </w:r>
      <w:r>
        <w:rPr>
          <w:spacing w:val="-67"/>
        </w:rPr>
        <w:t> </w:t>
      </w:r>
      <w:r>
        <w:rPr>
          <w:spacing w:val="-67"/>
        </w:rPr>
      </w:r>
      <w:r>
        <w:rPr/>
        <w:t>经济效益稳步增长。</w:t>
      </w:r>
    </w:p>
    <w:p>
      <w:pPr>
        <w:pStyle w:val="BodyText"/>
        <w:spacing w:line="408" w:lineRule="auto" w:before="46"/>
        <w:ind w:left="1275" w:right="0" w:firstLine="426"/>
        <w:jc w:val="left"/>
      </w:pPr>
      <w:r>
        <w:rPr>
          <w:spacing w:val="-2"/>
        </w:rPr>
        <w:t>在电力设计业务方面，通过收购全资子公司德能设计，使公司快速进入电力设计领域，开展以变电、</w:t>
      </w:r>
      <w:r>
        <w:rPr/>
        <w:t> 配网、技改、居配为主体的电力设计业务。</w:t>
      </w:r>
    </w:p>
    <w:p>
      <w:pPr>
        <w:pStyle w:val="BodyText"/>
        <w:spacing w:line="408" w:lineRule="auto" w:before="46"/>
        <w:ind w:left="1701" w:right="0"/>
        <w:jc w:val="left"/>
      </w:pPr>
      <w:r>
        <w:rPr>
          <w:rFonts w:ascii="宋体" w:hAnsi="宋体" w:cs="宋体" w:eastAsia="宋体" w:hint="default"/>
        </w:rPr>
        <w:t>2</w:t>
      </w:r>
      <w:r>
        <w:rPr/>
        <w:t>、版权云业务抢占行业高地，持续稳步推进。 公司版权云业务主要以参股公司中云文化大数据为运营主体，由其负责国家数字音像传播服务平台</w:t>
      </w:r>
    </w:p>
    <w:p>
      <w:pPr>
        <w:pStyle w:val="BodyText"/>
        <w:spacing w:line="408" w:lineRule="auto" w:before="46"/>
        <w:ind w:left="1275" w:right="1130"/>
        <w:jc w:val="both"/>
      </w:pPr>
      <w:r>
        <w:rPr/>
        <w:t>的建设开发。</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15</w:t>
      </w:r>
      <w:r>
        <w:rPr/>
        <w:t>日，由国家新闻出版广电总局、贵州省人民政府签署了《关于合作推动中国</w:t>
      </w:r>
      <w:r>
        <w:rPr>
          <w:spacing w:val="-69"/>
        </w:rPr>
        <w:t> </w:t>
      </w:r>
      <w:r>
        <w:rPr>
          <w:spacing w:val="-69"/>
        </w:rPr>
      </w:r>
      <w:r>
        <w:rPr/>
        <w:t>文化（出版广电）大数据产业项目开发的协议》，明确提出支持中云文化大数据与天擎华媒（北京）科</w:t>
      </w:r>
      <w:r>
        <w:rPr>
          <w:spacing w:val="-67"/>
        </w:rPr>
        <w:t> </w:t>
      </w:r>
      <w:r>
        <w:rPr>
          <w:spacing w:val="-67"/>
        </w:rPr>
      </w:r>
      <w:r>
        <w:rPr>
          <w:spacing w:val="-6"/>
        </w:rPr>
        <w:t>技有限公司共同组织开发“中国数字音像传播服务平台”（即版权云），将该项目纳入</w:t>
      </w:r>
      <w:r>
        <w:rPr>
          <w:rFonts w:ascii="宋体" w:hAnsi="宋体" w:cs="宋体" w:eastAsia="宋体" w:hint="default"/>
          <w:spacing w:val="-6"/>
        </w:rPr>
        <w:t>CCDI(</w:t>
      </w:r>
      <w:r>
        <w:rPr>
          <w:spacing w:val="-6"/>
        </w:rPr>
        <w:t>中国文化（出</w:t>
      </w:r>
      <w:r>
        <w:rPr>
          <w:spacing w:val="-87"/>
        </w:rPr>
        <w:t> </w:t>
      </w:r>
      <w:r>
        <w:rPr>
          <w:spacing w:val="-87"/>
        </w:rPr>
      </w:r>
      <w:r>
        <w:rPr>
          <w:spacing w:val="-2"/>
        </w:rPr>
        <w:t>版广电）大数据产业项目</w:t>
      </w:r>
      <w:r>
        <w:rPr>
          <w:rFonts w:ascii="宋体" w:hAnsi="宋体" w:cs="宋体" w:eastAsia="宋体" w:hint="default"/>
          <w:spacing w:val="-2"/>
        </w:rPr>
        <w:t>)</w:t>
      </w:r>
      <w:r>
        <w:rPr>
          <w:spacing w:val="-2"/>
        </w:rPr>
        <w:t>总体项目统一规划，统筹开发建设；将</w:t>
      </w:r>
      <w:r>
        <w:rPr>
          <w:rFonts w:ascii="宋体" w:hAnsi="宋体" w:cs="宋体" w:eastAsia="宋体" w:hint="default"/>
          <w:spacing w:val="-2"/>
        </w:rPr>
        <w:t>CCDI</w:t>
      </w:r>
      <w:r>
        <w:rPr>
          <w:spacing w:val="-2"/>
        </w:rPr>
        <w:t>项目确定为部省“十三五”合作项</w:t>
      </w:r>
      <w:r>
        <w:rPr>
          <w:spacing w:val="-71"/>
        </w:rPr>
        <w:t> </w:t>
      </w:r>
      <w:r>
        <w:rPr>
          <w:spacing w:val="-71"/>
        </w:rPr>
      </w:r>
      <w:r>
        <w:rPr/>
        <w:t>目。总局和贵州省将给予全面政策支持和引导，并成立以省部主要领导牵头的项目工作组，为推动项目</w:t>
      </w:r>
      <w:r>
        <w:rPr>
          <w:spacing w:val="-63"/>
        </w:rPr>
        <w:t> </w:t>
      </w:r>
      <w:r>
        <w:rPr>
          <w:spacing w:val="-63"/>
        </w:rPr>
      </w:r>
      <w:r>
        <w:rPr/>
        <w:t>开发建设提供有力的组织保障。目前“版权云产业园区”已确定在贵阳双龙航空港经济区建设，</w:t>
      </w:r>
      <w:r>
        <w:rPr>
          <w:rFonts w:ascii="宋体" w:hAnsi="宋体" w:cs="宋体" w:eastAsia="宋体" w:hint="default"/>
        </w:rPr>
        <w:t>2015</w:t>
      </w:r>
      <w:r>
        <w:rPr/>
        <w:t>年</w:t>
      </w:r>
      <w:r>
        <w:rPr>
          <w:spacing w:val="-62"/>
        </w:rPr>
        <w:t> </w:t>
      </w:r>
      <w:r>
        <w:rPr>
          <w:rFonts w:ascii="宋体" w:hAnsi="宋体" w:cs="宋体" w:eastAsia="宋体" w:hint="default"/>
        </w:rPr>
        <w:t>12</w:t>
      </w:r>
      <w:r>
        <w:rPr/>
        <w:t>月，中云文化大数据与经济区管委会签订了项目落地合作协议，中云文化大数据在启动园区建设，与</w:t>
      </w:r>
      <w:r>
        <w:rPr>
          <w:spacing w:val="-66"/>
        </w:rPr>
        <w:t> </w:t>
      </w:r>
      <w:r>
        <w:rPr>
          <w:spacing w:val="-66"/>
        </w:rPr>
      </w:r>
      <w:r>
        <w:rPr/>
        <w:t>产业相关一系列商业伙伴洽谈合作工作进展顺利，为在</w:t>
      </w:r>
      <w:r>
        <w:rPr>
          <w:rFonts w:ascii="宋体" w:hAnsi="宋体" w:cs="宋体" w:eastAsia="宋体" w:hint="default"/>
        </w:rPr>
        <w:t>2016</w:t>
      </w:r>
      <w:r>
        <w:rPr/>
        <w:t>年构建项目产业链，全面建设版权云项目打</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left="1702" w:right="0" w:hanging="427"/>
        <w:jc w:val="left"/>
      </w:pPr>
      <w:r>
        <w:rPr/>
        <w:t>下了良好的基础。 版权云的监测子平台除配合国家扫黄打非办公室的扫黄打非工作外，还面向社会提供维权服务，并</w:t>
      </w:r>
    </w:p>
    <w:p>
      <w:pPr>
        <w:pStyle w:val="BodyText"/>
        <w:spacing w:line="408" w:lineRule="auto" w:before="46"/>
        <w:ind w:left="1275" w:right="0"/>
        <w:jc w:val="left"/>
      </w:pPr>
      <w:r>
        <w:rPr/>
        <w:t>于</w:t>
      </w:r>
      <w:r>
        <w:rPr>
          <w:rFonts w:ascii="宋体" w:hAnsi="宋体" w:cs="宋体" w:eastAsia="宋体" w:hint="default"/>
        </w:rPr>
        <w:t>2015</w:t>
      </w:r>
      <w:r>
        <w:rPr/>
        <w:t>年</w:t>
      </w:r>
      <w:r>
        <w:rPr>
          <w:rFonts w:ascii="宋体" w:hAnsi="宋体" w:cs="宋体" w:eastAsia="宋体" w:hint="default"/>
        </w:rPr>
        <w:t>4</w:t>
      </w:r>
      <w:r>
        <w:rPr/>
        <w:t>月发起成立中国国际数字知识产权监测维权联盟（</w:t>
      </w:r>
      <w:r>
        <w:rPr>
          <w:rFonts w:ascii="宋体" w:hAnsi="宋体" w:cs="宋体" w:eastAsia="宋体" w:hint="default"/>
        </w:rPr>
        <w:t>426so</w:t>
      </w:r>
      <w:r>
        <w:rPr/>
        <w:t>平台），共有</w:t>
      </w:r>
      <w:r>
        <w:rPr>
          <w:rFonts w:ascii="宋体" w:hAnsi="宋体" w:cs="宋体" w:eastAsia="宋体" w:hint="default"/>
        </w:rPr>
        <w:t>40</w:t>
      </w:r>
      <w:r>
        <w:rPr/>
        <w:t>余家版权人、</w:t>
      </w:r>
      <w:r>
        <w:rPr>
          <w:rFonts w:ascii="宋体" w:hAnsi="宋体" w:cs="宋体" w:eastAsia="宋体" w:hint="default"/>
        </w:rPr>
        <w:t>20</w:t>
      </w:r>
      <w:r>
        <w:rPr/>
        <w:t>余家</w:t>
      </w:r>
      <w:r>
        <w:rPr>
          <w:spacing w:val="-64"/>
        </w:rPr>
        <w:t> </w:t>
      </w:r>
      <w:r>
        <w:rPr/>
        <w:t>律师事务所及其他合作方参与了联盟发起。</w:t>
      </w:r>
      <w:r>
        <w:rPr>
          <w:rFonts w:ascii="宋体" w:hAnsi="宋体" w:cs="宋体" w:eastAsia="宋体" w:hint="default"/>
        </w:rPr>
        <w:t>426so</w:t>
      </w:r>
      <w:r>
        <w:rPr/>
        <w:t>平台为影视行业用户开通从作品认领、监测取证到诉讼 </w:t>
      </w:r>
      <w:r>
        <w:rPr>
          <w:spacing w:val="-2"/>
        </w:rPr>
        <w:t>维权的一站式监测维权服务，为影视版权维权提供盗版播放链接、</w:t>
      </w:r>
      <w:r>
        <w:rPr>
          <w:rFonts w:ascii="宋体" w:hAnsi="宋体" w:cs="宋体" w:eastAsia="宋体" w:hint="default"/>
          <w:spacing w:val="-2"/>
        </w:rPr>
        <w:t>IP</w:t>
      </w:r>
      <w:r>
        <w:rPr>
          <w:spacing w:val="-2"/>
        </w:rPr>
        <w:t>、区域分布、网站信息等监测信息。</w:t>
      </w:r>
      <w:r>
        <w:rPr>
          <w:spacing w:val="-71"/>
        </w:rPr>
        <w:t> </w:t>
      </w:r>
      <w:r>
        <w:rPr>
          <w:spacing w:val="-71"/>
        </w:rPr>
      </w:r>
      <w:r>
        <w:rPr/>
        <w:t>针对院线新上映影片，</w:t>
      </w:r>
      <w:r>
        <w:rPr>
          <w:rFonts w:ascii="宋体" w:hAnsi="宋体" w:cs="宋体" w:eastAsia="宋体" w:hint="default"/>
        </w:rPr>
        <w:t>426so</w:t>
      </w:r>
      <w:r>
        <w:rPr/>
        <w:t>平台可提供网络防盗解决方案，实现院线同步网络监测、盗版预警、下架清 除的全流程服务体系。平台自上线以来，累计为</w:t>
      </w:r>
      <w:r>
        <w:rPr>
          <w:rFonts w:ascii="宋体" w:hAnsi="宋体" w:cs="宋体" w:eastAsia="宋体" w:hint="default"/>
        </w:rPr>
        <w:t>2015</w:t>
      </w:r>
      <w:r>
        <w:rPr/>
        <w:t>年院线上映的数十家影视公司的上百部影视作品进</w:t>
      </w:r>
      <w:r>
        <w:rPr>
          <w:spacing w:val="-65"/>
        </w:rPr>
        <w:t> </w:t>
      </w:r>
      <w:r>
        <w:rPr>
          <w:spacing w:val="-65"/>
        </w:rPr>
      </w:r>
      <w:r>
        <w:rPr/>
        <w:t>行全面监测，并按要求提供了部分监测报告。</w:t>
      </w:r>
    </w:p>
    <w:p>
      <w:pPr>
        <w:pStyle w:val="BodyText"/>
        <w:spacing w:line="408" w:lineRule="auto" w:before="46"/>
        <w:ind w:left="1275" w:right="0" w:firstLine="426"/>
        <w:jc w:val="left"/>
      </w:pPr>
      <w:r>
        <w:rPr>
          <w:rFonts w:ascii="宋体" w:hAnsi="宋体" w:cs="宋体" w:eastAsia="宋体" w:hint="default"/>
          <w:spacing w:val="9"/>
        </w:rPr>
        <w:t>2015</w:t>
      </w:r>
      <w:r>
        <w:rPr>
          <w:spacing w:val="9"/>
        </w:rPr>
        <w:t>年，公司投资了中广格兰和九联科技，作为国内最权威的广电传媒咨询机构和国内前三的</w:t>
      </w:r>
      <w:r>
        <w:rPr/>
        <w:t> </w:t>
      </w:r>
      <w:r>
        <w:rPr>
          <w:rFonts w:ascii="宋体" w:hAnsi="宋体" w:cs="宋体" w:eastAsia="宋体" w:hint="default"/>
        </w:rPr>
        <w:t>DVB+OTT</w:t>
      </w:r>
      <w:r>
        <w:rPr/>
        <w:t>业务公司，为公司版权云项目及向平台与数据公司转型实现了重要的布局。</w:t>
      </w:r>
    </w:p>
    <w:p>
      <w:pPr>
        <w:pStyle w:val="BodyText"/>
        <w:spacing w:line="408" w:lineRule="auto" w:before="46"/>
        <w:ind w:left="1559" w:right="0"/>
        <w:jc w:val="left"/>
        <w:rPr>
          <w:rFonts w:ascii="宋体" w:hAnsi="宋体" w:cs="宋体" w:eastAsia="宋体" w:hint="default"/>
        </w:rPr>
      </w:pPr>
      <w:r>
        <w:rPr>
          <w:rFonts w:ascii="宋体" w:hAnsi="宋体" w:cs="宋体" w:eastAsia="宋体" w:hint="default"/>
        </w:rPr>
        <w:t>3</w:t>
      </w:r>
      <w:r>
        <w:rPr/>
        <w:t>、健康管理业务，深耕细作、稳步发展。 </w:t>
      </w:r>
      <w:r>
        <w:rPr>
          <w:spacing w:val="-1"/>
        </w:rPr>
        <w:t>公司健康管理业务主要以控股子公司南京云商天下为运营主体。报告期内，基于广电网络（</w:t>
      </w:r>
      <w:r>
        <w:rPr>
          <w:rFonts w:ascii="宋体" w:hAnsi="宋体" w:cs="宋体" w:eastAsia="宋体" w:hint="default"/>
          <w:spacing w:val="-1"/>
        </w:rPr>
        <w:t>DVB+OTT)</w:t>
      </w:r>
    </w:p>
    <w:p>
      <w:pPr>
        <w:pStyle w:val="BodyText"/>
        <w:spacing w:line="408" w:lineRule="auto" w:before="46"/>
        <w:ind w:right="1131"/>
        <w:jc w:val="both"/>
      </w:pPr>
      <w:r>
        <w:rPr>
          <w:spacing w:val="-2"/>
        </w:rPr>
        <w:t>健康管理云平台的项目开发已完成；同时开拓了与通信运营商合作，采穿戴设备、健康检测设备</w:t>
      </w:r>
      <w:r>
        <w:rPr>
          <w:rFonts w:ascii="宋体" w:hAnsi="宋体" w:cs="宋体" w:eastAsia="宋体" w:hint="default"/>
          <w:spacing w:val="-2"/>
        </w:rPr>
        <w:t>+APP</w:t>
      </w:r>
      <w:r>
        <w:rPr>
          <w:rFonts w:ascii="宋体" w:hAnsi="宋体" w:cs="宋体" w:eastAsia="宋体" w:hint="default"/>
          <w:spacing w:val="-39"/>
        </w:rPr>
        <w:t> </w:t>
      </w:r>
      <w:r>
        <w:rPr>
          <w:spacing w:val="-2"/>
        </w:rPr>
        <w:t>的方</w:t>
      </w:r>
      <w:r>
        <w:rPr>
          <w:spacing w:val="-103"/>
        </w:rPr>
        <w:t> </w:t>
      </w:r>
      <w:r>
        <w:rPr>
          <w:spacing w:val="-1"/>
        </w:rPr>
        <w:t>式覆盖客户，实现对用户生理信息数据的实时采集，构建用户个人健康档案。南京云商天下围绕覆盖于品</w:t>
      </w:r>
      <w:r>
        <w:rPr>
          <w:spacing w:val="-83"/>
        </w:rPr>
        <w:t> </w:t>
      </w:r>
      <w:r>
        <w:rPr>
          <w:spacing w:val="-83"/>
        </w:rPr>
      </w:r>
      <w:r>
        <w:rPr>
          <w:spacing w:val="-1"/>
        </w:rPr>
        <w:t>牌药店周边的社区健康管理业务，抓住连锁药店具有增强用户体验、提高用户粘性的需求契机，定制开发</w:t>
      </w:r>
      <w:r>
        <w:rPr>
          <w:spacing w:val="-83"/>
        </w:rPr>
        <w:t> </w:t>
      </w:r>
      <w:r>
        <w:rPr>
          <w:spacing w:val="-83"/>
        </w:rPr>
      </w:r>
      <w:r>
        <w:rPr/>
        <w:t>可供社区大众使用的健康管理一体化设备，并于</w:t>
      </w:r>
      <w:r>
        <w:rPr>
          <w:spacing w:val="-58"/>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8"/>
        </w:rPr>
        <w:t> </w:t>
      </w:r>
      <w:r>
        <w:rPr/>
        <w:t>月成功中标百信连锁药店健康体检一体机项目 的首次招标，打开了新的市场；</w:t>
      </w:r>
    </w:p>
    <w:p>
      <w:pPr>
        <w:pStyle w:val="BodyText"/>
        <w:spacing w:line="408" w:lineRule="auto" w:before="46"/>
        <w:ind w:right="1132" w:firstLine="426"/>
        <w:jc w:val="both"/>
      </w:pPr>
      <w:r>
        <w:rPr>
          <w:spacing w:val="-1"/>
        </w:rPr>
        <w:t>在产学研合作方面，公司与南京医科大学签署战略合作协议，依托南京医科大学的科研平台、医疗资</w:t>
      </w:r>
      <w:r>
        <w:rPr/>
        <w:t> </w:t>
      </w:r>
      <w:r>
        <w:rPr>
          <w:spacing w:val="-1"/>
        </w:rPr>
        <w:t>源，并结合公司的信息技术优势，双方共同组建南医大光一智慧健康与医疗研究院，拟在健康管理、临床</w:t>
      </w:r>
      <w:r>
        <w:rPr>
          <w:spacing w:val="-86"/>
        </w:rPr>
        <w:t> </w:t>
      </w:r>
      <w:r>
        <w:rPr>
          <w:spacing w:val="-86"/>
        </w:rPr>
      </w:r>
      <w:r>
        <w:rPr>
          <w:spacing w:val="-1"/>
        </w:rPr>
        <w:t>医疗大数据、远程医疗、康复医疗、公共卫生及政策研究等智慧医疗细分领域开展全方位合作，布局智慧</w:t>
      </w:r>
      <w:r>
        <w:rPr>
          <w:spacing w:val="-86"/>
        </w:rPr>
        <w:t> </w:t>
      </w:r>
      <w:r>
        <w:rPr>
          <w:spacing w:val="-86"/>
        </w:rPr>
      </w:r>
      <w:r>
        <w:rPr/>
        <w:t>医疗细分领域。</w:t>
      </w:r>
    </w:p>
    <w:p>
      <w:pPr>
        <w:pStyle w:val="Heading2"/>
        <w:spacing w:line="240" w:lineRule="auto" w:before="23"/>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before="186"/>
        <w:ind w:left="1133" w:right="0" w:firstLine="0"/>
        <w:jc w:val="both"/>
        <w:rPr>
          <w:rFonts w:ascii="宋体" w:hAnsi="宋体" w:cs="宋体" w:eastAsia="宋体" w:hint="default"/>
          <w:sz w:val="20"/>
          <w:szCs w:val="20"/>
        </w:rPr>
      </w:pPr>
      <w:bookmarkStart w:name="1、主要资产重大变化情况" w:id="19"/>
      <w:bookmarkEnd w:id="19"/>
      <w:r>
        <w:rPr/>
      </w:r>
      <w:r>
        <w:rPr>
          <w:rFonts w:ascii="宋体" w:hAnsi="宋体" w:cs="宋体" w:eastAsia="宋体" w:hint="default"/>
          <w:b/>
          <w:bCs/>
          <w:sz w:val="20"/>
          <w:szCs w:val="20"/>
        </w:rPr>
        <w:t>1</w:t>
      </w:r>
      <w:r>
        <w:rPr>
          <w:rFonts w:ascii="宋体" w:hAnsi="宋体" w:cs="宋体" w:eastAsia="宋体" w:hint="default"/>
          <w:b/>
          <w:bCs/>
          <w:sz w:val="20"/>
          <w:szCs w:val="20"/>
        </w:rPr>
        <w:t>、主要资产重大变化情况</w:t>
      </w:r>
      <w:r>
        <w:rPr>
          <w:rFonts w:ascii="宋体" w:hAnsi="宋体" w:cs="宋体" w:eastAsia="宋体" w:hint="default"/>
          <w:sz w:val="20"/>
          <w:szCs w:val="20"/>
        </w:rPr>
      </w:r>
    </w:p>
    <w:p>
      <w:pPr>
        <w:spacing w:line="240" w:lineRule="auto" w:before="10"/>
        <w:rPr>
          <w:rFonts w:ascii="宋体" w:hAnsi="宋体" w:cs="宋体" w:eastAsia="宋体" w:hint="default"/>
          <w:b/>
          <w:bCs/>
          <w:sz w:val="11"/>
          <w:szCs w:val="11"/>
        </w:rPr>
      </w:pPr>
    </w:p>
    <w:tbl>
      <w:tblPr>
        <w:tblW w:w="0" w:type="auto"/>
        <w:jc w:val="left"/>
        <w:tblInd w:w="1118" w:type="dxa"/>
        <w:tblLayout w:type="fixed"/>
        <w:tblCellMar>
          <w:top w:w="0" w:type="dxa"/>
          <w:left w:w="0" w:type="dxa"/>
          <w:bottom w:w="0" w:type="dxa"/>
          <w:right w:w="0" w:type="dxa"/>
        </w:tblCellMar>
        <w:tblLook w:val="01E0"/>
      </w:tblPr>
      <w:tblGrid>
        <w:gridCol w:w="1561"/>
        <w:gridCol w:w="8008"/>
      </w:tblGrid>
      <w:tr>
        <w:trPr>
          <w:trHeight w:val="374" w:hRule="exact"/>
        </w:trPr>
        <w:tc>
          <w:tcPr>
            <w:tcW w:w="156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0"/>
              <w:ind w:left="404"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00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0"/>
              <w:ind w:left="7"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25" w:hRule="exact"/>
        </w:trPr>
        <w:tc>
          <w:tcPr>
            <w:tcW w:w="15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0"/>
              <w:ind w:left="40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008" w:type="dxa"/>
            <w:tcBorders>
              <w:top w:val="single" w:sz="22" w:space="0" w:color="D2D2D2"/>
              <w:left w:val="single" w:sz="14" w:space="0" w:color="D2D2D2"/>
              <w:bottom w:val="single" w:sz="6" w:space="0" w:color="000000"/>
              <w:right w:val="single" w:sz="12" w:space="0" w:color="000000"/>
            </w:tcBorders>
          </w:tcPr>
          <w:p>
            <w:pPr>
              <w:pStyle w:val="TableParagraph"/>
              <w:spacing w:line="240" w:lineRule="auto" w:before="50"/>
              <w:ind w:left="10" w:right="0"/>
              <w:jc w:val="left"/>
              <w:rPr>
                <w:rFonts w:ascii="宋体" w:hAnsi="宋体" w:cs="宋体" w:eastAsia="宋体" w:hint="default"/>
                <w:sz w:val="18"/>
                <w:szCs w:val="18"/>
              </w:rPr>
            </w:pPr>
            <w:r>
              <w:rPr>
                <w:rFonts w:ascii="宋体" w:hAnsi="宋体" w:cs="宋体" w:eastAsia="宋体" w:hint="default"/>
                <w:sz w:val="18"/>
                <w:szCs w:val="18"/>
              </w:rPr>
              <w:t>本报告期长期股权投资较期初增长</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，为合作投资设立中云文化大数据及增资中广格兰所致</w:t>
            </w:r>
          </w:p>
        </w:tc>
      </w:tr>
      <w:tr>
        <w:trPr>
          <w:trHeight w:val="406" w:hRule="exact"/>
        </w:trPr>
        <w:tc>
          <w:tcPr>
            <w:tcW w:w="15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40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008"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left="10" w:right="0"/>
              <w:jc w:val="left"/>
              <w:rPr>
                <w:rFonts w:ascii="宋体" w:hAnsi="宋体" w:cs="宋体" w:eastAsia="宋体" w:hint="default"/>
                <w:sz w:val="18"/>
                <w:szCs w:val="18"/>
              </w:rPr>
            </w:pPr>
            <w:r>
              <w:rPr>
                <w:rFonts w:ascii="宋体" w:hAnsi="宋体" w:cs="宋体" w:eastAsia="宋体" w:hint="default"/>
                <w:sz w:val="18"/>
                <w:szCs w:val="18"/>
              </w:rPr>
              <w:t>本报告期无重大变动</w:t>
            </w:r>
          </w:p>
        </w:tc>
      </w:tr>
      <w:tr>
        <w:trPr>
          <w:trHeight w:val="407" w:hRule="exact"/>
        </w:trPr>
        <w:tc>
          <w:tcPr>
            <w:tcW w:w="15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40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008"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本报告期无重大变动</w:t>
            </w:r>
          </w:p>
        </w:tc>
      </w:tr>
      <w:tr>
        <w:trPr>
          <w:trHeight w:val="414" w:hRule="exact"/>
        </w:trPr>
        <w:tc>
          <w:tcPr>
            <w:tcW w:w="156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40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008"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50"/>
              <w:ind w:left="10" w:right="0"/>
              <w:jc w:val="left"/>
              <w:rPr>
                <w:rFonts w:ascii="宋体" w:hAnsi="宋体" w:cs="宋体" w:eastAsia="宋体" w:hint="default"/>
                <w:sz w:val="18"/>
                <w:szCs w:val="18"/>
              </w:rPr>
            </w:pPr>
            <w:r>
              <w:rPr>
                <w:rFonts w:ascii="宋体" w:hAnsi="宋体" w:cs="宋体" w:eastAsia="宋体" w:hint="default"/>
                <w:sz w:val="18"/>
                <w:szCs w:val="18"/>
              </w:rPr>
              <w:t>本报告期在建工程较期初增长</w:t>
            </w:r>
            <w:r>
              <w:rPr>
                <w:rFonts w:ascii="宋体" w:hAnsi="宋体" w:cs="宋体" w:eastAsia="宋体" w:hint="default"/>
                <w:spacing w:val="-46"/>
                <w:sz w:val="18"/>
                <w:szCs w:val="18"/>
              </w:rPr>
              <w:t> </w:t>
            </w:r>
            <w:r>
              <w:rPr>
                <w:rFonts w:ascii="宋体" w:hAnsi="宋体" w:cs="宋体" w:eastAsia="宋体" w:hint="default"/>
                <w:sz w:val="18"/>
                <w:szCs w:val="18"/>
              </w:rPr>
              <w:t>46.74%</w:t>
            </w:r>
            <w:r>
              <w:rPr>
                <w:rFonts w:ascii="宋体" w:hAnsi="宋体" w:cs="宋体" w:eastAsia="宋体" w:hint="default"/>
                <w:sz w:val="18"/>
                <w:szCs w:val="18"/>
              </w:rPr>
              <w:t>，为公司及子公司索瑞电气的基建项目各自持续投入建设所致</w:t>
            </w:r>
          </w:p>
        </w:tc>
      </w:tr>
    </w:tbl>
    <w:p>
      <w:pPr>
        <w:spacing w:before="72"/>
        <w:ind w:left="1134" w:right="0" w:firstLine="0"/>
        <w:jc w:val="left"/>
        <w:rPr>
          <w:rFonts w:ascii="宋体" w:hAnsi="宋体" w:cs="宋体" w:eastAsia="宋体" w:hint="default"/>
          <w:sz w:val="20"/>
          <w:szCs w:val="20"/>
        </w:rPr>
      </w:pPr>
      <w:bookmarkStart w:name="2、主要境外资产情况" w:id="20"/>
      <w:bookmarkEnd w:id="20"/>
      <w:r>
        <w:rPr/>
      </w:r>
      <w:r>
        <w:rPr>
          <w:rFonts w:ascii="宋体" w:hAnsi="宋体" w:cs="宋体" w:eastAsia="宋体" w:hint="default"/>
          <w:b/>
          <w:bCs/>
          <w:sz w:val="20"/>
          <w:szCs w:val="20"/>
        </w:rPr>
        <w:t>2</w:t>
      </w:r>
      <w:r>
        <w:rPr>
          <w:rFonts w:ascii="宋体" w:hAnsi="宋体" w:cs="宋体" w:eastAsia="宋体" w:hint="default"/>
          <w:b/>
          <w:bCs/>
          <w:sz w:val="20"/>
          <w:szCs w:val="20"/>
        </w:rPr>
        <w:t>、主要境外资产情况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pStyle w:val="Heading2"/>
        <w:spacing w:line="240" w:lineRule="auto" w:before="161"/>
        <w:ind w:right="0"/>
        <w:jc w:val="left"/>
        <w:rPr>
          <w:b w:val="0"/>
          <w:bCs w:val="0"/>
        </w:rPr>
      </w:pPr>
      <w:bookmarkStart w:name="三、核心竞争力分析" w:id="21"/>
      <w:bookmarkEnd w:id="21"/>
      <w:r>
        <w:rPr>
          <w:b w:val="0"/>
          <w:bCs w:val="0"/>
        </w:rPr>
      </w:r>
      <w:r>
        <w:rPr/>
        <w:t>三、核心竞争力分析</w:t>
      </w:r>
      <w:r>
        <w:rPr>
          <w:b w:val="0"/>
          <w:bCs w:val="0"/>
        </w:rPr>
      </w:r>
    </w:p>
    <w:p>
      <w:pPr>
        <w:pStyle w:val="BodyText"/>
        <w:spacing w:line="408" w:lineRule="auto" w:before="177"/>
        <w:ind w:right="1026" w:firstLine="420"/>
        <w:jc w:val="left"/>
      </w:pPr>
      <w:r>
        <w:rPr/>
        <w:t>公司在用电信息采集业务领域深耕</w:t>
      </w:r>
      <w:r>
        <w:rPr>
          <w:rFonts w:ascii="宋体" w:hAnsi="宋体" w:cs="宋体" w:eastAsia="宋体" w:hint="default"/>
        </w:rPr>
        <w:t>10</w:t>
      </w:r>
      <w:r>
        <w:rPr/>
        <w:t>余年，具有深厚的技术基础、良好的产品口碑和品牌效应。</w:t>
      </w:r>
      <w:r>
        <w:rPr>
          <w:rFonts w:ascii="宋体" w:hAnsi="宋体" w:cs="宋体" w:eastAsia="宋体" w:hint="default"/>
        </w:rPr>
        <w:t>2015 </w:t>
      </w:r>
      <w:r>
        <w:rPr/>
        <w:t>年公司率先成功研发基于宽带载波技术的用电信息采集系统，解决了传统窄带载波用采产品存在的部分台 </w:t>
      </w:r>
      <w:r>
        <w:rPr>
          <w:spacing w:val="-3"/>
        </w:rPr>
        <w:t>区末端抄表不稳定、抄表速度慢、不同中心频率的载波无法实现互联互通、难以实现非居用户费控等问题。</w:t>
      </w:r>
      <w:r>
        <w:rPr>
          <w:spacing w:val="-90"/>
        </w:rPr>
        <w:t> </w:t>
      </w:r>
      <w:r>
        <w:rPr>
          <w:spacing w:val="-90"/>
        </w:rPr>
      </w:r>
      <w:r>
        <w:rPr/>
        <w:t>宽带电力线载波通信（宽带</w:t>
      </w:r>
      <w:r>
        <w:rPr>
          <w:rFonts w:ascii="宋体" w:hAnsi="宋体" w:cs="宋体" w:eastAsia="宋体" w:hint="default"/>
        </w:rPr>
        <w:t>PLC</w:t>
      </w:r>
      <w:r>
        <w:rPr/>
        <w:t>）数据传输速率可达几</w:t>
      </w:r>
      <w:r>
        <w:rPr>
          <w:rFonts w:ascii="宋体" w:hAnsi="宋体" w:cs="宋体" w:eastAsia="宋体" w:hint="default"/>
        </w:rPr>
        <w:t>Mbps</w:t>
      </w:r>
      <w:r>
        <w:rPr/>
        <w:t>～</w:t>
      </w:r>
      <w:r>
        <w:rPr>
          <w:rFonts w:ascii="宋体" w:hAnsi="宋体" w:cs="宋体" w:eastAsia="宋体" w:hint="default"/>
        </w:rPr>
        <w:t>Gbps</w:t>
      </w:r>
      <w:r>
        <w:rPr/>
        <w:t>，还可以承载语音、图像等大数据量的</w:t>
      </w:r>
      <w:r>
        <w:rPr>
          <w:spacing w:val="-31"/>
        </w:rPr>
        <w:t> </w:t>
      </w:r>
      <w:r>
        <w:rPr>
          <w:spacing w:val="-31"/>
        </w:rPr>
      </w:r>
      <w:r>
        <w:rPr/>
        <w:t>传输，为供电部门开展双向互动服务、远程费控、在线监测等业务提供强有力的技术支撑。此外，公司还</w:t>
      </w:r>
      <w:r>
        <w:rPr/>
        <w:t> </w:t>
      </w:r>
      <w:r>
        <w:rPr>
          <w:spacing w:val="17"/>
        </w:rPr>
        <w:t>开发了户变关系测试仪、</w:t>
      </w:r>
      <w:r>
        <w:rPr>
          <w:spacing w:val="-84"/>
        </w:rPr>
        <w:t> </w:t>
      </w:r>
      <w:r>
        <w:rPr>
          <w:spacing w:val="17"/>
        </w:rPr>
        <w:t>故障指示器等新产品，</w:t>
      </w:r>
      <w:r>
        <w:rPr>
          <w:spacing w:val="-84"/>
        </w:rPr>
        <w:t> </w:t>
      </w:r>
      <w:r>
        <w:rPr>
          <w:spacing w:val="18"/>
        </w:rPr>
        <w:t>并实现产品化进入市场。</w:t>
      </w:r>
      <w:r>
        <w:rPr>
          <w:spacing w:val="-84"/>
        </w:rPr>
        <w:t> </w:t>
      </w:r>
      <w:r>
        <w:rPr>
          <w:spacing w:val="12"/>
        </w:rPr>
        <w:t>另外，</w:t>
      </w:r>
      <w:r>
        <w:rPr>
          <w:spacing w:val="-86"/>
        </w:rPr>
        <w:t> </w:t>
      </w:r>
      <w:r>
        <w:rPr>
          <w:spacing w:val="16"/>
        </w:rPr>
        <w:t>公司自主研发的</w:t>
      </w:r>
      <w:r>
        <w:rPr>
          <w:spacing w:val="-97"/>
        </w:rPr>
        <w:t> </w:t>
      </w:r>
      <w:r>
        <w:rPr>
          <w:spacing w:val="-97"/>
        </w:rPr>
      </w:r>
      <w:r>
        <w:rPr/>
        <w:t>“EFC</w:t>
      </w:r>
      <w:r>
        <w:rPr>
          <w:rFonts w:ascii="宋体" w:hAnsi="宋体" w:cs="宋体" w:eastAsia="宋体" w:hint="default"/>
        </w:rPr>
        <w:t>-EMS2000</w:t>
      </w:r>
      <w:r>
        <w:rPr>
          <w:rFonts w:ascii="宋体" w:hAnsi="宋体" w:cs="宋体" w:eastAsia="宋体" w:hint="default"/>
          <w:spacing w:val="-14"/>
        </w:rPr>
        <w:t> </w:t>
      </w:r>
      <w:r>
        <w:rPr/>
        <w:t>能源管理系统”，取得软件著作权</w:t>
      </w:r>
      <w:r>
        <w:rPr>
          <w:rFonts w:ascii="宋体" w:hAnsi="宋体" w:cs="宋体" w:eastAsia="宋体" w:hint="default"/>
        </w:rPr>
        <w:t>6</w:t>
      </w:r>
      <w:r>
        <w:rPr/>
        <w:t>项，申请发明专利和实用新型专利各</w:t>
      </w:r>
      <w:r>
        <w:rPr>
          <w:rFonts w:ascii="宋体" w:hAnsi="宋体" w:cs="宋体" w:eastAsia="宋体" w:hint="default"/>
        </w:rPr>
        <w:t>1</w:t>
      </w:r>
      <w:r>
        <w:rPr/>
        <w:t>项，已通过江苏 省经济和信息化委员会组织的新产品鉴定；公司与东南大学共同研发的“EFC</w:t>
      </w:r>
      <w:r>
        <w:rPr>
          <w:rFonts w:ascii="宋体" w:hAnsi="宋体" w:cs="宋体" w:eastAsia="宋体" w:hint="default"/>
        </w:rPr>
        <w:t>-MGS100</w:t>
      </w:r>
      <w:r>
        <w:rPr/>
        <w:t>分布式发电与智能微 电网系统”通过新技术鉴定，项目提出并开发的“多源互补的智能微电网柔性控制与能量优化技术”达到 国内外领先水平，申请发明专利和实用新型专利各</w:t>
      </w:r>
      <w:r>
        <w:rPr>
          <w:rFonts w:ascii="宋体" w:hAnsi="宋体" w:cs="宋体" w:eastAsia="宋体" w:hint="default"/>
        </w:rPr>
        <w:t>1</w:t>
      </w:r>
      <w:r>
        <w:rPr/>
        <w:t>项，取得软件著作权</w:t>
      </w:r>
      <w:r>
        <w:rPr>
          <w:rFonts w:ascii="宋体" w:hAnsi="宋体" w:cs="宋体" w:eastAsia="宋体" w:hint="default"/>
        </w:rPr>
        <w:t>1</w:t>
      </w:r>
      <w:r>
        <w:rPr/>
        <w:t>项，申报高新技术产品</w:t>
      </w:r>
      <w:r>
        <w:rPr>
          <w:rFonts w:ascii="宋体" w:hAnsi="宋体" w:cs="宋体" w:eastAsia="宋体" w:hint="default"/>
        </w:rPr>
        <w:t>1</w:t>
      </w:r>
      <w:r>
        <w:rPr/>
        <w:t>项，并</w:t>
      </w:r>
      <w:r>
        <w:rPr>
          <w:spacing w:val="-28"/>
        </w:rPr>
        <w:t> </w:t>
      </w:r>
      <w:r>
        <w:rPr>
          <w:spacing w:val="-28"/>
        </w:rPr>
      </w:r>
      <w:r>
        <w:rPr/>
        <w:t>获得了江宁区产学研和新兴产业示范项目资助。以上项目的研发成功，进一步提升了光一科技的自主创新</w:t>
      </w:r>
      <w:r>
        <w:rPr/>
        <w:t> 能力，增强了公司核心竞争力。</w:t>
      </w:r>
    </w:p>
    <w:p>
      <w:pPr>
        <w:pStyle w:val="BodyText"/>
        <w:spacing w:line="408" w:lineRule="auto" w:before="46"/>
        <w:ind w:right="1130" w:firstLine="420"/>
        <w:jc w:val="both"/>
      </w:pPr>
      <w:r>
        <w:rPr>
          <w:spacing w:val="-1"/>
        </w:rPr>
        <w:t>在提升技术力量开发新产品的同时，公司还通过资本收购的方式，布局电力行业新格局，</w:t>
      </w:r>
      <w:r>
        <w:rPr>
          <w:rFonts w:ascii="宋体" w:hAnsi="宋体" w:cs="宋体" w:eastAsia="宋体" w:hint="default"/>
          <w:spacing w:val="-1"/>
        </w:rPr>
        <w:t>2015</w:t>
      </w:r>
      <w:r>
        <w:rPr>
          <w:spacing w:val="-1"/>
        </w:rPr>
        <w:t>年公司</w:t>
      </w:r>
      <w:r>
        <w:rPr/>
        <w:t> </w:t>
      </w:r>
      <w:r>
        <w:rPr>
          <w:spacing w:val="-1"/>
        </w:rPr>
        <w:t>收购了德能工程和德能设计，公司具备终端制造、工程服务、电力设计等多维度市场，公司关注能源互联</w:t>
      </w:r>
      <w:r>
        <w:rPr>
          <w:spacing w:val="-86"/>
        </w:rPr>
        <w:t> </w:t>
      </w:r>
      <w:r>
        <w:rPr>
          <w:spacing w:val="-86"/>
        </w:rPr>
      </w:r>
      <w:r>
        <w:rPr/>
        <w:t>网和电改政策，未来将以系统方案供应商的身份为客户提供多元化电力业务服务。</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1"/>
        <w:spacing w:line="240" w:lineRule="auto"/>
        <w:ind w:right="1130"/>
        <w:jc w:val="center"/>
        <w:rPr>
          <w:b w:val="0"/>
          <w:bCs w:val="0"/>
        </w:rPr>
      </w:pPr>
      <w:bookmarkStart w:name="第四节 管理层讨论与分析" w:id="22"/>
      <w:bookmarkEnd w:id="22"/>
      <w:r>
        <w:rPr>
          <w:b w:val="0"/>
          <w:bCs w:val="0"/>
        </w:rPr>
      </w:r>
      <w:bookmarkStart w:name="_bookmark3" w:id="23"/>
      <w:bookmarkEnd w:id="23"/>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pStyle w:val="BodyText"/>
        <w:spacing w:line="408" w:lineRule="auto" w:before="177"/>
        <w:ind w:left="1274" w:right="1129" w:firstLine="427"/>
        <w:jc w:val="both"/>
      </w:pPr>
      <w:r>
        <w:rPr>
          <w:rFonts w:ascii="宋体" w:hAnsi="宋体" w:cs="宋体" w:eastAsia="宋体" w:hint="default"/>
        </w:rPr>
        <w:t>2015</w:t>
      </w:r>
      <w:r>
        <w:rPr>
          <w:rFonts w:ascii="宋体" w:hAnsi="宋体" w:cs="宋体" w:eastAsia="宋体" w:hint="default"/>
          <w:spacing w:val="-67"/>
        </w:rPr>
        <w:t> </w:t>
      </w:r>
      <w:r>
        <w:rPr/>
        <w:t>年，公司在继续贯彻“创新驱动、资本助力；一体两翼、协调发展的前提下，提出了“以目标 管理求创新，以产业链求规模，以新产品求发展”的经营方针，努力创建以目标管理代替计划管理、以</w:t>
      </w:r>
      <w:r>
        <w:rPr>
          <w:spacing w:val="-64"/>
        </w:rPr>
        <w:t> </w:t>
      </w:r>
      <w:r>
        <w:rPr>
          <w:spacing w:val="-64"/>
        </w:rPr>
      </w:r>
      <w:r>
        <w:rPr/>
        <w:t>岗位履职评估代替任务考核、以部门指标经营代替部门任务实现方式，全面构建公司新的运行与考核方</w:t>
      </w:r>
      <w:r>
        <w:rPr>
          <w:spacing w:val="-68"/>
        </w:rPr>
        <w:t> </w:t>
      </w:r>
      <w:r>
        <w:rPr>
          <w:spacing w:val="-68"/>
        </w:rPr>
      </w:r>
      <w:r>
        <w:rPr/>
        <w:t>式。面对日益严峻的市场环境，公司紧紧围绕“</w:t>
      </w:r>
      <w:r>
        <w:rPr>
          <w:rFonts w:ascii="宋体" w:hAnsi="宋体" w:cs="宋体" w:eastAsia="宋体" w:hint="default"/>
        </w:rPr>
        <w:t>3+4</w:t>
      </w:r>
      <w:r>
        <w:rPr/>
        <w:t>”战略架构及“</w:t>
      </w:r>
      <w:r>
        <w:rPr>
          <w:rFonts w:ascii="宋体" w:hAnsi="宋体" w:cs="宋体" w:eastAsia="宋体" w:hint="default"/>
        </w:rPr>
        <w:t>1+3</w:t>
      </w:r>
      <w:r>
        <w:rPr/>
        <w:t>”产业布局，在巩固现有电力业</w:t>
      </w:r>
      <w:r>
        <w:rPr>
          <w:spacing w:val="-66"/>
        </w:rPr>
        <w:t> </w:t>
      </w:r>
      <w:r>
        <w:rPr>
          <w:spacing w:val="-66"/>
        </w:rPr>
      </w:r>
      <w:r>
        <w:rPr/>
        <w:t>务的基础上，积极向互联网信息服务的纵深领域拓展，通过资本运作与产业结合的方式加大对未来发展</w:t>
      </w:r>
      <w:r>
        <w:rPr>
          <w:spacing w:val="-68"/>
        </w:rPr>
        <w:t> </w:t>
      </w:r>
      <w:r>
        <w:rPr>
          <w:spacing w:val="-68"/>
        </w:rPr>
      </w:r>
      <w:r>
        <w:rPr/>
        <w:t>方向的投入力度，加快实现新产业落地，为公司后续发展夯实基础。</w:t>
      </w:r>
    </w:p>
    <w:p>
      <w:pPr>
        <w:pStyle w:val="BodyText"/>
        <w:spacing w:line="408" w:lineRule="auto" w:before="46"/>
        <w:ind w:left="1274" w:right="1017" w:firstLine="427"/>
        <w:jc w:val="left"/>
      </w:pPr>
      <w:r>
        <w:rPr/>
        <w:t>报告期内，在传统电力业务方面，公司围绕电力行业发展寻找产业机会，先后并购了索瑞电气、德 能工程、德能设计，实现业务链的延伸和市场扩张，给公司带来了新的业务增长点，受上述新增合并报</w:t>
      </w:r>
      <w:r>
        <w:rPr>
          <w:spacing w:val="-64"/>
        </w:rPr>
        <w:t> </w:t>
      </w:r>
      <w:r>
        <w:rPr>
          <w:spacing w:val="-64"/>
        </w:rPr>
      </w:r>
      <w:r>
        <w:rPr/>
        <w:t>表范围的影响，公司收入、成本较上年同期呈现大幅增长，公司整体业绩较上年同期有所增加。</w:t>
      </w:r>
      <w:r>
        <w:rPr>
          <w:rFonts w:ascii="宋体" w:hAnsi="宋体" w:cs="宋体" w:eastAsia="宋体" w:hint="default"/>
        </w:rPr>
        <w:t>2015</w:t>
      </w:r>
      <w:r>
        <w:rPr>
          <w:rFonts w:ascii="宋体" w:hAnsi="宋体" w:cs="宋体" w:eastAsia="宋体" w:hint="default"/>
          <w:spacing w:val="-55"/>
        </w:rPr>
        <w:t> </w:t>
      </w:r>
      <w:r>
        <w:rPr/>
        <w:t>年 度公司实现营业收入</w:t>
      </w:r>
      <w:r>
        <w:rPr>
          <w:spacing w:val="-34"/>
        </w:rPr>
        <w:t> </w:t>
      </w:r>
      <w:r>
        <w:rPr>
          <w:rFonts w:ascii="宋体" w:hAnsi="宋体" w:cs="宋体" w:eastAsia="宋体" w:hint="default"/>
        </w:rPr>
        <w:t>70,767.37</w:t>
      </w:r>
      <w:r>
        <w:rPr>
          <w:rFonts w:ascii="宋体" w:hAnsi="宋体" w:cs="宋体" w:eastAsia="宋体" w:hint="default"/>
          <w:spacing w:val="-34"/>
        </w:rPr>
        <w:t> </w:t>
      </w:r>
      <w:r>
        <w:rPr/>
        <w:t>万元，较上年同期增长</w:t>
      </w:r>
      <w:r>
        <w:rPr>
          <w:spacing w:val="-34"/>
        </w:rPr>
        <w:t> </w:t>
      </w:r>
      <w:r>
        <w:rPr>
          <w:rFonts w:ascii="宋体" w:hAnsi="宋体" w:cs="宋体" w:eastAsia="宋体" w:hint="default"/>
        </w:rPr>
        <w:t>106.11%</w:t>
      </w:r>
      <w:r>
        <w:rPr/>
        <w:t>；营业成本</w:t>
      </w:r>
      <w:r>
        <w:rPr>
          <w:spacing w:val="-34"/>
        </w:rPr>
        <w:t> </w:t>
      </w:r>
      <w:r>
        <w:rPr>
          <w:rFonts w:ascii="宋体" w:hAnsi="宋体" w:cs="宋体" w:eastAsia="宋体" w:hint="default"/>
        </w:rPr>
        <w:t>50,143.07</w:t>
      </w:r>
      <w:r>
        <w:rPr>
          <w:rFonts w:ascii="宋体" w:hAnsi="宋体" w:cs="宋体" w:eastAsia="宋体" w:hint="default"/>
          <w:spacing w:val="-34"/>
        </w:rPr>
        <w:t> </w:t>
      </w:r>
      <w:r>
        <w:rPr/>
        <w:t>万元，较上年同 期增长</w:t>
      </w:r>
      <w:r>
        <w:rPr>
          <w:spacing w:val="-34"/>
        </w:rPr>
        <w:t> </w:t>
      </w:r>
      <w:r>
        <w:rPr>
          <w:rFonts w:ascii="宋体" w:hAnsi="宋体" w:cs="宋体" w:eastAsia="宋体" w:hint="default"/>
        </w:rPr>
        <w:t>116.28%</w:t>
      </w:r>
      <w:r>
        <w:rPr/>
        <w:t>；归属于上市股东的净利润</w:t>
      </w:r>
      <w:r>
        <w:rPr>
          <w:spacing w:val="-34"/>
        </w:rPr>
        <w:t> </w:t>
      </w:r>
      <w:r>
        <w:rPr>
          <w:rFonts w:ascii="宋体" w:hAnsi="宋体" w:cs="宋体" w:eastAsia="宋体" w:hint="default"/>
        </w:rPr>
        <w:t>3,955.79</w:t>
      </w:r>
      <w:r>
        <w:rPr>
          <w:rFonts w:ascii="宋体" w:hAnsi="宋体" w:cs="宋体" w:eastAsia="宋体" w:hint="default"/>
          <w:spacing w:val="-33"/>
        </w:rPr>
        <w:t> </w:t>
      </w:r>
      <w:r>
        <w:rPr/>
        <w:t>万元，较上年同期增长</w:t>
      </w:r>
      <w:r>
        <w:rPr>
          <w:spacing w:val="-34"/>
        </w:rPr>
        <w:t> </w:t>
      </w:r>
      <w:r>
        <w:rPr>
          <w:rFonts w:ascii="宋体" w:hAnsi="宋体" w:cs="宋体" w:eastAsia="宋体" w:hint="default"/>
        </w:rPr>
        <w:t>10.09%</w:t>
      </w:r>
      <w:r>
        <w:rPr/>
        <w:t>。同时，</w:t>
      </w:r>
      <w:r>
        <w:rPr>
          <w:rFonts w:ascii="宋体" w:hAnsi="宋体" w:cs="宋体" w:eastAsia="宋体" w:hint="default"/>
        </w:rPr>
        <w:t>2015</w:t>
      </w:r>
      <w:r>
        <w:rPr>
          <w:rFonts w:ascii="宋体" w:hAnsi="宋体" w:cs="宋体" w:eastAsia="宋体" w:hint="default"/>
          <w:spacing w:val="-34"/>
        </w:rPr>
        <w:t> </w:t>
      </w:r>
      <w:r>
        <w:rPr/>
        <w:t>年度 </w:t>
      </w:r>
      <w:r>
        <w:rPr>
          <w:spacing w:val="-3"/>
        </w:rPr>
        <w:t>期间费用也相应增加，其中销售费用</w:t>
      </w:r>
      <w:r>
        <w:rPr>
          <w:spacing w:val="-49"/>
        </w:rPr>
        <w:t> </w:t>
      </w:r>
      <w:r>
        <w:rPr>
          <w:rFonts w:ascii="宋体" w:hAnsi="宋体" w:cs="宋体" w:eastAsia="宋体" w:hint="default"/>
        </w:rPr>
        <w:t>3,168.56</w:t>
      </w:r>
      <w:r>
        <w:rPr>
          <w:rFonts w:ascii="宋体" w:hAnsi="宋体" w:cs="宋体" w:eastAsia="宋体" w:hint="default"/>
          <w:spacing w:val="-49"/>
        </w:rPr>
        <w:t> </w:t>
      </w:r>
      <w:r>
        <w:rPr>
          <w:spacing w:val="-4"/>
        </w:rPr>
        <w:t>万元，较上年同期增长</w:t>
      </w:r>
      <w:r>
        <w:rPr>
          <w:spacing w:val="-50"/>
        </w:rPr>
        <w:t> </w:t>
      </w:r>
      <w:r>
        <w:rPr>
          <w:rFonts w:ascii="宋体" w:hAnsi="宋体" w:cs="宋体" w:eastAsia="宋体" w:hint="default"/>
          <w:spacing w:val="-4"/>
        </w:rPr>
        <w:t>85.67%</w:t>
      </w:r>
      <w:r>
        <w:rPr>
          <w:spacing w:val="-4"/>
        </w:rPr>
        <w:t>；管理费用</w:t>
      </w:r>
      <w:r>
        <w:rPr>
          <w:spacing w:val="-50"/>
        </w:rPr>
        <w:t> </w:t>
      </w:r>
      <w:r>
        <w:rPr>
          <w:rFonts w:ascii="宋体" w:hAnsi="宋体" w:cs="宋体" w:eastAsia="宋体" w:hint="default"/>
        </w:rPr>
        <w:t>9,380.08</w:t>
      </w:r>
      <w:r>
        <w:rPr>
          <w:rFonts w:ascii="宋体" w:hAnsi="宋体" w:cs="宋体" w:eastAsia="宋体" w:hint="default"/>
          <w:spacing w:val="-50"/>
        </w:rPr>
        <w:t> </w:t>
      </w:r>
      <w:r>
        <w:rPr/>
        <w:t>万元， 较上年同期增长</w:t>
      </w:r>
      <w:r>
        <w:rPr>
          <w:spacing w:val="-52"/>
        </w:rPr>
        <w:t> </w:t>
      </w:r>
      <w:r>
        <w:rPr>
          <w:rFonts w:ascii="宋体" w:hAnsi="宋体" w:cs="宋体" w:eastAsia="宋体" w:hint="default"/>
        </w:rPr>
        <w:t>50.85%</w:t>
      </w:r>
      <w:r>
        <w:rPr/>
        <w:t>。</w:t>
      </w:r>
    </w:p>
    <w:p>
      <w:pPr>
        <w:pStyle w:val="BodyText"/>
        <w:spacing w:line="408" w:lineRule="auto" w:before="46"/>
        <w:ind w:left="1702" w:right="4304"/>
        <w:jc w:val="left"/>
      </w:pPr>
      <w:r>
        <w:rPr/>
        <w:t>报告期内，各项工作稳步有序推进，公司完成的重点工作如下： </w:t>
      </w:r>
      <w:r>
        <w:rPr>
          <w:rFonts w:ascii="宋体" w:hAnsi="宋体" w:cs="宋体" w:eastAsia="宋体" w:hint="default"/>
        </w:rPr>
        <w:t>1</w:t>
      </w:r>
      <w:r>
        <w:rPr/>
        <w:t>、围绕既定战略部署和产业架构，构建目标管理模式。</w:t>
      </w:r>
    </w:p>
    <w:p>
      <w:pPr>
        <w:pStyle w:val="BodyText"/>
        <w:spacing w:line="408" w:lineRule="auto" w:before="46"/>
        <w:ind w:left="1274" w:right="1119" w:firstLine="427"/>
        <w:jc w:val="both"/>
      </w:pPr>
      <w:r>
        <w:rPr>
          <w:rFonts w:ascii="宋体" w:hAnsi="宋体" w:cs="宋体" w:eastAsia="宋体" w:hint="default"/>
        </w:rPr>
        <w:t>2015</w:t>
      </w:r>
      <w:r>
        <w:rPr>
          <w:rFonts w:ascii="宋体" w:hAnsi="宋体" w:cs="宋体" w:eastAsia="宋体" w:hint="default"/>
          <w:spacing w:val="-53"/>
        </w:rPr>
        <w:t> </w:t>
      </w:r>
      <w:r>
        <w:rPr/>
        <w:t>年，公司对经营管理思想进行大胆创新，以目标经营为管理思路，将计划经营转向目标经营； 目标管理以最终结果为导向，明确事业部、各子公司的业务发展方向与目标定位，实行经营指标宏观管</w:t>
      </w:r>
      <w:r>
        <w:rPr>
          <w:spacing w:val="-68"/>
        </w:rPr>
        <w:t> </w:t>
      </w:r>
      <w:r>
        <w:rPr>
          <w:spacing w:val="-68"/>
        </w:rPr>
      </w:r>
      <w:r>
        <w:rPr/>
        <w:t>理，将工作过程的管控分层下放权限。经过一年的实践，目标管理有效分担管理层的压力、增强责任主</w:t>
      </w:r>
      <w:r>
        <w:rPr>
          <w:spacing w:val="-68"/>
        </w:rPr>
        <w:t> </w:t>
      </w:r>
      <w:r>
        <w:rPr>
          <w:spacing w:val="-68"/>
        </w:rPr>
      </w:r>
      <w:r>
        <w:rPr/>
        <w:t>体意识和团队荣誉感，激发员工主动性、积极性和创造性，将个人利益和整体利益紧密联系，提高了士</w:t>
      </w:r>
      <w:r>
        <w:rPr>
          <w:spacing w:val="-68"/>
        </w:rPr>
        <w:t> </w:t>
      </w:r>
      <w:r>
        <w:rPr>
          <w:spacing w:val="-68"/>
        </w:rPr>
      </w:r>
      <w:r>
        <w:rPr/>
        <w:t>气，取得了一定成效。</w:t>
      </w:r>
    </w:p>
    <w:p>
      <w:pPr>
        <w:pStyle w:val="BodyText"/>
        <w:spacing w:line="240" w:lineRule="auto" w:before="46"/>
        <w:ind w:left="1702" w:right="0"/>
        <w:jc w:val="left"/>
      </w:pPr>
      <w:r>
        <w:rPr>
          <w:rFonts w:ascii="宋体" w:hAnsi="宋体" w:cs="宋体" w:eastAsia="宋体" w:hint="default"/>
        </w:rPr>
        <w:t>2</w:t>
      </w:r>
      <w:r>
        <w:rPr/>
        <w:t>、电力业务合纵连横，着力构建完整产业链。</w:t>
      </w:r>
    </w:p>
    <w:p>
      <w:pPr>
        <w:spacing w:line="240" w:lineRule="auto" w:before="10"/>
        <w:rPr>
          <w:rFonts w:ascii="宋体" w:hAnsi="宋体" w:cs="宋体" w:eastAsia="宋体" w:hint="default"/>
          <w:sz w:val="14"/>
          <w:szCs w:val="14"/>
        </w:rPr>
      </w:pPr>
    </w:p>
    <w:p>
      <w:pPr>
        <w:pStyle w:val="BodyText"/>
        <w:spacing w:line="408" w:lineRule="auto"/>
        <w:ind w:left="1274" w:right="1130" w:firstLine="427"/>
        <w:jc w:val="both"/>
      </w:pPr>
      <w:r>
        <w:rPr>
          <w:rFonts w:ascii="宋体" w:hAnsi="宋体" w:cs="宋体" w:eastAsia="宋体" w:hint="default"/>
        </w:rPr>
        <w:t>2015</w:t>
      </w:r>
      <w:r>
        <w:rPr>
          <w:rFonts w:ascii="宋体" w:hAnsi="宋体" w:cs="宋体" w:eastAsia="宋体" w:hint="default"/>
          <w:spacing w:val="-63"/>
        </w:rPr>
        <w:t> </w:t>
      </w:r>
      <w:r>
        <w:rPr/>
        <w:t>年，是公司电力业务充满挑战的一年，也是公司结合自身优势在电力行业广泛求索的一年。面 对日益严峻的市场环境，公司一方面以现有业务为基础，积极追踪电力改革步伐和行业发展趋势，对原</w:t>
      </w:r>
      <w:r>
        <w:rPr>
          <w:spacing w:val="-68"/>
        </w:rPr>
        <w:t> </w:t>
      </w:r>
      <w:r>
        <w:rPr>
          <w:spacing w:val="-68"/>
        </w:rPr>
      </w:r>
      <w:r>
        <w:rPr/>
        <w:t>有电力业务架构进行调整优化，智能终端事业部继续专注用电信息采集细分市场；成立工程事业部承接</w:t>
      </w:r>
      <w:r>
        <w:rPr>
          <w:spacing w:val="-68"/>
        </w:rPr>
        <w:t> </w:t>
      </w:r>
      <w:r>
        <w:rPr>
          <w:spacing w:val="-68"/>
        </w:rPr>
      </w:r>
      <w:r>
        <w:rPr/>
        <w:t>原用采服务类业务，并向居配工程、配电工程发展；另一方面充分利用资本手段先后并购索瑞电气、德</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left="1274" w:right="1129"/>
        <w:jc w:val="both"/>
      </w:pPr>
      <w:r>
        <w:rPr/>
        <w:t>能设计、德能工程，对用电信息采集系统业务链的上、下游进行整合，实现公司从用采设备供应及服务</w:t>
      </w:r>
      <w:r>
        <w:rPr>
          <w:spacing w:val="-68"/>
        </w:rPr>
        <w:t> </w:t>
      </w:r>
      <w:r>
        <w:rPr>
          <w:spacing w:val="-68"/>
        </w:rPr>
      </w:r>
      <w:r>
        <w:rPr/>
        <w:t>向电力设计、一二次设备供应、工程施工及节能服务、运营服务方向稳步发展，并沿着产业链向相关多</w:t>
      </w:r>
      <w:r>
        <w:rPr>
          <w:spacing w:val="-64"/>
        </w:rPr>
        <w:t> </w:t>
      </w:r>
      <w:r>
        <w:rPr>
          <w:spacing w:val="-64"/>
        </w:rPr>
      </w:r>
      <w:r>
        <w:rPr/>
        <w:t>元化领域拓展，实现“内生式增长”与“外延式发展”的有机融合。</w:t>
      </w:r>
    </w:p>
    <w:p>
      <w:pPr>
        <w:pStyle w:val="BodyText"/>
        <w:spacing w:line="408" w:lineRule="auto" w:before="46"/>
        <w:ind w:left="1701" w:right="0"/>
        <w:jc w:val="left"/>
      </w:pPr>
      <w:r>
        <w:rPr>
          <w:rFonts w:ascii="宋体" w:hAnsi="宋体" w:cs="宋体" w:eastAsia="宋体" w:hint="default"/>
        </w:rPr>
        <w:t>3</w:t>
      </w:r>
      <w:r>
        <w:rPr/>
        <w:t>、版权云业务抢占高地，谋篇布局。 公司版权云业务主要以参股公司中云文化大数据为运营主体，由其负责国家数字音像传播服务平台</w:t>
      </w:r>
    </w:p>
    <w:p>
      <w:pPr>
        <w:pStyle w:val="BodyText"/>
        <w:spacing w:line="408" w:lineRule="auto" w:before="46"/>
        <w:ind w:left="1275" w:right="1130"/>
        <w:jc w:val="both"/>
      </w:pPr>
      <w:r>
        <w:rPr/>
        <w:t>的建设开发。</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15</w:t>
      </w:r>
      <w:r>
        <w:rPr/>
        <w:t>日，由国家新闻出版广电总局、贵州省人民政府签署了《关于合作推动中国</w:t>
      </w:r>
      <w:r>
        <w:rPr>
          <w:spacing w:val="-69"/>
        </w:rPr>
        <w:t> </w:t>
      </w:r>
      <w:r>
        <w:rPr>
          <w:spacing w:val="-69"/>
        </w:rPr>
      </w:r>
      <w:r>
        <w:rPr/>
        <w:t>文化（出版广电）大数据产业项目开发的协议》，明确提出支持中云文化大数据与天擎华媒（北京）科</w:t>
      </w:r>
      <w:r>
        <w:rPr>
          <w:spacing w:val="-67"/>
        </w:rPr>
        <w:t> </w:t>
      </w:r>
      <w:r>
        <w:rPr>
          <w:spacing w:val="-67"/>
        </w:rPr>
      </w:r>
      <w:r>
        <w:rPr>
          <w:spacing w:val="-6"/>
        </w:rPr>
        <w:t>技有限公司共同组织开发“中国数字音像传播服务平台”（即版权云），将该项目纳入</w:t>
      </w:r>
      <w:r>
        <w:rPr>
          <w:rFonts w:ascii="宋体" w:hAnsi="宋体" w:cs="宋体" w:eastAsia="宋体" w:hint="default"/>
          <w:spacing w:val="-6"/>
        </w:rPr>
        <w:t>CCDI(</w:t>
      </w:r>
      <w:r>
        <w:rPr>
          <w:spacing w:val="-6"/>
        </w:rPr>
        <w:t>中国文化（出</w:t>
      </w:r>
      <w:r>
        <w:rPr>
          <w:spacing w:val="-86"/>
        </w:rPr>
        <w:t> </w:t>
      </w:r>
      <w:r>
        <w:rPr>
          <w:spacing w:val="-86"/>
        </w:rPr>
      </w:r>
      <w:r>
        <w:rPr>
          <w:spacing w:val="-2"/>
        </w:rPr>
        <w:t>版广电）大数据产业项目</w:t>
      </w:r>
      <w:r>
        <w:rPr>
          <w:rFonts w:ascii="宋体" w:hAnsi="宋体" w:cs="宋体" w:eastAsia="宋体" w:hint="default"/>
          <w:spacing w:val="-2"/>
        </w:rPr>
        <w:t>)</w:t>
      </w:r>
      <w:r>
        <w:rPr>
          <w:spacing w:val="-2"/>
        </w:rPr>
        <w:t>总体项目统一规划，统筹开发建设；将</w:t>
      </w:r>
      <w:r>
        <w:rPr>
          <w:rFonts w:ascii="宋体" w:hAnsi="宋体" w:cs="宋体" w:eastAsia="宋体" w:hint="default"/>
          <w:spacing w:val="-2"/>
        </w:rPr>
        <w:t>CCDI</w:t>
      </w:r>
      <w:r>
        <w:rPr>
          <w:spacing w:val="-2"/>
        </w:rPr>
        <w:t>项目确定为部省“十三五”合作项</w:t>
      </w:r>
      <w:r>
        <w:rPr>
          <w:spacing w:val="-71"/>
        </w:rPr>
        <w:t> </w:t>
      </w:r>
      <w:r>
        <w:rPr>
          <w:spacing w:val="-71"/>
        </w:rPr>
      </w:r>
      <w:r>
        <w:rPr/>
        <w:t>目。总局和贵州省将给予全面政策支持和引导，并成立以省部主要领导牵头的项目工作组，为推动项目</w:t>
      </w:r>
      <w:r>
        <w:rPr>
          <w:spacing w:val="-63"/>
        </w:rPr>
        <w:t> </w:t>
      </w:r>
      <w:r>
        <w:rPr>
          <w:spacing w:val="-63"/>
        </w:rPr>
      </w:r>
      <w:r>
        <w:rPr/>
        <w:t>开发建设提供有力的组织保障。目前“版权云产业园区”已确定在贵阳双龙航空港经济区建设，</w:t>
      </w:r>
      <w:r>
        <w:rPr>
          <w:rFonts w:ascii="宋体" w:hAnsi="宋体" w:cs="宋体" w:eastAsia="宋体" w:hint="default"/>
        </w:rPr>
        <w:t>2015</w:t>
      </w:r>
      <w:r>
        <w:rPr/>
        <w:t>年</w:t>
      </w:r>
      <w:r>
        <w:rPr>
          <w:spacing w:val="-62"/>
        </w:rPr>
        <w:t> </w:t>
      </w:r>
      <w:r>
        <w:rPr>
          <w:rFonts w:ascii="宋体" w:hAnsi="宋体" w:cs="宋体" w:eastAsia="宋体" w:hint="default"/>
        </w:rPr>
        <w:t>12</w:t>
      </w:r>
      <w:r>
        <w:rPr/>
        <w:t>月，中云文化大数据与经济区管委会签订了项目落地合作协议，中云文化大数据在启动园区建设，与</w:t>
      </w:r>
      <w:r>
        <w:rPr>
          <w:spacing w:val="-66"/>
        </w:rPr>
        <w:t> </w:t>
      </w:r>
      <w:r>
        <w:rPr>
          <w:spacing w:val="-66"/>
        </w:rPr>
      </w:r>
      <w:r>
        <w:rPr/>
        <w:t>产业相关一系列商业伙伴洽谈合作工作进展顺利，为在</w:t>
      </w:r>
      <w:r>
        <w:rPr>
          <w:rFonts w:ascii="宋体" w:hAnsi="宋体" w:cs="宋体" w:eastAsia="宋体" w:hint="default"/>
        </w:rPr>
        <w:t>2016</w:t>
      </w:r>
      <w:r>
        <w:rPr/>
        <w:t>年构建项目产业链，全面建设版权云项目打</w:t>
      </w:r>
      <w:r>
        <w:rPr>
          <w:spacing w:val="-65"/>
        </w:rPr>
        <w:t> </w:t>
      </w:r>
      <w:r>
        <w:rPr>
          <w:spacing w:val="-65"/>
        </w:rPr>
      </w:r>
      <w:r>
        <w:rPr/>
        <w:t>下了良好的基础。</w:t>
      </w:r>
    </w:p>
    <w:p>
      <w:pPr>
        <w:pStyle w:val="BodyText"/>
        <w:spacing w:line="408" w:lineRule="auto" w:before="46"/>
        <w:ind w:left="1275" w:right="0" w:firstLine="426"/>
        <w:jc w:val="left"/>
      </w:pPr>
      <w:r>
        <w:rPr/>
        <w:t>版权云的监测子平台除配合国家扫黄打非办公室的扫黄打非工作外，还面向社会提供维权服务，并 于</w:t>
      </w:r>
      <w:r>
        <w:rPr>
          <w:rFonts w:ascii="宋体" w:hAnsi="宋体" w:cs="宋体" w:eastAsia="宋体" w:hint="default"/>
        </w:rPr>
        <w:t>2015</w:t>
      </w:r>
      <w:r>
        <w:rPr/>
        <w:t>年</w:t>
      </w:r>
      <w:r>
        <w:rPr>
          <w:rFonts w:ascii="宋体" w:hAnsi="宋体" w:cs="宋体" w:eastAsia="宋体" w:hint="default"/>
        </w:rPr>
        <w:t>4</w:t>
      </w:r>
      <w:r>
        <w:rPr/>
        <w:t>月发起成立中国国际数字知识产权监测维权联盟（</w:t>
      </w:r>
      <w:r>
        <w:rPr>
          <w:rFonts w:ascii="宋体" w:hAnsi="宋体" w:cs="宋体" w:eastAsia="宋体" w:hint="default"/>
        </w:rPr>
        <w:t>426so</w:t>
      </w:r>
      <w:r>
        <w:rPr/>
        <w:t>平台），共有</w:t>
      </w:r>
      <w:r>
        <w:rPr>
          <w:rFonts w:ascii="宋体" w:hAnsi="宋体" w:cs="宋体" w:eastAsia="宋体" w:hint="default"/>
        </w:rPr>
        <w:t>40</w:t>
      </w:r>
      <w:r>
        <w:rPr/>
        <w:t>余家版权人、</w:t>
      </w:r>
      <w:r>
        <w:rPr>
          <w:rFonts w:ascii="宋体" w:hAnsi="宋体" w:cs="宋体" w:eastAsia="宋体" w:hint="default"/>
        </w:rPr>
        <w:t>20</w:t>
      </w:r>
      <w:r>
        <w:rPr/>
        <w:t>余家</w:t>
      </w:r>
      <w:r>
        <w:rPr>
          <w:spacing w:val="-64"/>
        </w:rPr>
        <w:t> </w:t>
      </w:r>
      <w:r>
        <w:rPr/>
        <w:t>律师事务所及其他合作方参与了联盟发起。</w:t>
      </w:r>
      <w:r>
        <w:rPr>
          <w:rFonts w:ascii="宋体" w:hAnsi="宋体" w:cs="宋体" w:eastAsia="宋体" w:hint="default"/>
        </w:rPr>
        <w:t>426so</w:t>
      </w:r>
      <w:r>
        <w:rPr/>
        <w:t>平台为影视行业用户开通从作品认领、监测取证到诉讼 </w:t>
      </w:r>
      <w:r>
        <w:rPr>
          <w:spacing w:val="-2"/>
        </w:rPr>
        <w:t>维权的一站式监测维权服务，为影视版权维权提供盗版播放链接、</w:t>
      </w:r>
      <w:r>
        <w:rPr>
          <w:rFonts w:ascii="宋体" w:hAnsi="宋体" w:cs="宋体" w:eastAsia="宋体" w:hint="default"/>
          <w:spacing w:val="-2"/>
        </w:rPr>
        <w:t>IP</w:t>
      </w:r>
      <w:r>
        <w:rPr>
          <w:spacing w:val="-2"/>
        </w:rPr>
        <w:t>、区域分布、网站信息等监测信息。</w:t>
      </w:r>
      <w:r>
        <w:rPr>
          <w:spacing w:val="-71"/>
        </w:rPr>
        <w:t> </w:t>
      </w:r>
      <w:r>
        <w:rPr>
          <w:spacing w:val="-71"/>
        </w:rPr>
      </w:r>
      <w:r>
        <w:rPr/>
        <w:t>针对院线新上映影片，</w:t>
      </w:r>
      <w:r>
        <w:rPr>
          <w:rFonts w:ascii="宋体" w:hAnsi="宋体" w:cs="宋体" w:eastAsia="宋体" w:hint="default"/>
        </w:rPr>
        <w:t>426so</w:t>
      </w:r>
      <w:r>
        <w:rPr/>
        <w:t>平台可提供网络防盗解决方案，实现院线同步网络监测、盗版预警、下架清 除的全流程服务体系。平台自上线以来，累计为</w:t>
      </w:r>
      <w:r>
        <w:rPr>
          <w:rFonts w:ascii="宋体" w:hAnsi="宋体" w:cs="宋体" w:eastAsia="宋体" w:hint="default"/>
        </w:rPr>
        <w:t>2015</w:t>
      </w:r>
      <w:r>
        <w:rPr/>
        <w:t>年院线上映的数十家影视公司的上百部影视作品进</w:t>
      </w:r>
      <w:r>
        <w:rPr>
          <w:spacing w:val="-65"/>
        </w:rPr>
        <w:t> </w:t>
      </w:r>
      <w:r>
        <w:rPr>
          <w:spacing w:val="-65"/>
        </w:rPr>
      </w:r>
      <w:r>
        <w:rPr/>
        <w:t>行全面监测，并按要求提供了部分监测报告。</w:t>
      </w:r>
    </w:p>
    <w:p>
      <w:pPr>
        <w:pStyle w:val="BodyText"/>
        <w:spacing w:line="408" w:lineRule="auto" w:before="46"/>
        <w:ind w:left="1274" w:right="1137" w:firstLine="427"/>
        <w:jc w:val="left"/>
      </w:pPr>
      <w:r>
        <w:rPr>
          <w:rFonts w:ascii="宋体" w:hAnsi="宋体" w:cs="宋体" w:eastAsia="宋体" w:hint="default"/>
        </w:rPr>
        <w:t>2015</w:t>
      </w:r>
      <w:r>
        <w:rPr>
          <w:rFonts w:ascii="宋体" w:hAnsi="宋体" w:cs="宋体" w:eastAsia="宋体" w:hint="default"/>
          <w:spacing w:val="21"/>
        </w:rPr>
        <w:t> </w:t>
      </w:r>
      <w:r>
        <w:rPr>
          <w:spacing w:val="8"/>
        </w:rPr>
        <w:t>年，公司投资了中广格兰和九联科技，作为国内最权威的广电传媒咨询机构和国内前三的</w:t>
      </w:r>
      <w:r>
        <w:rPr/>
        <w:t> </w:t>
      </w:r>
      <w:r>
        <w:rPr>
          <w:rFonts w:ascii="宋体" w:hAnsi="宋体" w:cs="宋体" w:eastAsia="宋体" w:hint="default"/>
        </w:rPr>
        <w:t>DVB+OTT</w:t>
      </w:r>
      <w:r>
        <w:rPr>
          <w:rFonts w:ascii="宋体" w:hAnsi="宋体" w:cs="宋体" w:eastAsia="宋体" w:hint="default"/>
          <w:spacing w:val="-54"/>
        </w:rPr>
        <w:t> </w:t>
      </w:r>
      <w:r>
        <w:rPr/>
        <w:t>业务公司，为公司版权云项目及向平台与数据公司转型实现了重要的布局。</w:t>
      </w:r>
    </w:p>
    <w:p>
      <w:pPr>
        <w:pStyle w:val="BodyText"/>
        <w:spacing w:line="408" w:lineRule="auto" w:before="46"/>
        <w:ind w:left="1559" w:right="0" w:hanging="6"/>
        <w:jc w:val="left"/>
        <w:rPr>
          <w:rFonts w:ascii="宋体" w:hAnsi="宋体" w:cs="宋体" w:eastAsia="宋体" w:hint="default"/>
        </w:rPr>
      </w:pPr>
      <w:r>
        <w:rPr>
          <w:rFonts w:ascii="宋体" w:hAnsi="宋体" w:cs="宋体" w:eastAsia="宋体" w:hint="default"/>
        </w:rPr>
        <w:t>4</w:t>
      </w:r>
      <w:r>
        <w:rPr/>
        <w:t>、健康管理业务深耕细作，继续开拓领域。 </w:t>
      </w:r>
      <w:r>
        <w:rPr>
          <w:spacing w:val="-1"/>
        </w:rPr>
        <w:t>公司健康管理业务主要以控股子公司南京云商天下为运营主体。报告期内，基于广电网络（</w:t>
      </w:r>
      <w:r>
        <w:rPr>
          <w:rFonts w:ascii="宋体" w:hAnsi="宋体" w:cs="宋体" w:eastAsia="宋体" w:hint="default"/>
          <w:spacing w:val="-1"/>
        </w:rPr>
        <w:t>DVB+OTT)</w:t>
      </w:r>
    </w:p>
    <w:p>
      <w:pPr>
        <w:pStyle w:val="BodyText"/>
        <w:spacing w:line="408" w:lineRule="auto" w:before="46"/>
        <w:ind w:right="1130"/>
        <w:jc w:val="both"/>
      </w:pPr>
      <w:r>
        <w:rPr>
          <w:spacing w:val="-2"/>
        </w:rPr>
        <w:t>健康管理云平台的项目开发已完成；同时开拓了与通信运营商合作，采穿戴设备、健康检测设备</w:t>
      </w:r>
      <w:r>
        <w:rPr>
          <w:rFonts w:ascii="宋体" w:hAnsi="宋体" w:cs="宋体" w:eastAsia="宋体" w:hint="default"/>
          <w:spacing w:val="-2"/>
        </w:rPr>
        <w:t>+APP</w:t>
      </w:r>
      <w:r>
        <w:rPr>
          <w:rFonts w:ascii="宋体" w:hAnsi="宋体" w:cs="宋体" w:eastAsia="宋体" w:hint="default"/>
          <w:spacing w:val="-40"/>
        </w:rPr>
        <w:t> </w:t>
      </w:r>
      <w:r>
        <w:rPr>
          <w:spacing w:val="-2"/>
        </w:rPr>
        <w:t>的方</w:t>
      </w:r>
      <w:r>
        <w:rPr>
          <w:spacing w:val="-102"/>
        </w:rPr>
        <w:t> </w:t>
      </w:r>
      <w:r>
        <w:rPr>
          <w:spacing w:val="-1"/>
        </w:rPr>
        <w:t>式覆盖客户，实现对用户生理信息数据的实时采集，构建用户个人健康档案。南京云商天下围绕覆盖于品</w:t>
      </w:r>
      <w:r>
        <w:rPr>
          <w:spacing w:val="-83"/>
        </w:rPr>
        <w:t> </w:t>
      </w:r>
      <w:r>
        <w:rPr>
          <w:spacing w:val="-83"/>
        </w:rPr>
      </w:r>
      <w:r>
        <w:rPr>
          <w:spacing w:val="-1"/>
        </w:rPr>
        <w:t>牌药店周边的社区健康管理业务，抓住连锁药店具有增强用户体验、提高用户粘性的需求契机，定制开发</w:t>
      </w:r>
      <w:r>
        <w:rPr>
          <w:spacing w:val="-83"/>
        </w:rPr>
        <w:t> </w:t>
      </w:r>
      <w:r>
        <w:rPr>
          <w:spacing w:val="-83"/>
        </w:rPr>
      </w:r>
      <w:r>
        <w:rPr/>
        <w:t>可供社区大众使用的健康管理一体化设备，并于</w:t>
      </w:r>
      <w:r>
        <w:rPr>
          <w:spacing w:val="-58"/>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8"/>
        </w:rPr>
        <w:t> </w:t>
      </w:r>
      <w:r>
        <w:rPr/>
        <w:t>月成功中标百信连锁药店健康体检一体机项目 的首次招标，打开了新的市场。</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1701" w:right="0"/>
        <w:jc w:val="left"/>
      </w:pPr>
      <w:r>
        <w:rPr>
          <w:rFonts w:ascii="宋体" w:hAnsi="宋体" w:cs="宋体" w:eastAsia="宋体" w:hint="default"/>
        </w:rPr>
        <w:t>5</w:t>
      </w:r>
      <w:r>
        <w:rPr/>
        <w:t>、新产品研发及新业务拓展，再上新台阶。</w:t>
      </w:r>
    </w:p>
    <w:p>
      <w:pPr>
        <w:spacing w:line="240" w:lineRule="auto" w:before="10"/>
        <w:rPr>
          <w:rFonts w:ascii="宋体" w:hAnsi="宋体" w:cs="宋体" w:eastAsia="宋体" w:hint="default"/>
          <w:sz w:val="14"/>
          <w:szCs w:val="14"/>
        </w:rPr>
      </w:pPr>
    </w:p>
    <w:p>
      <w:pPr>
        <w:pStyle w:val="BodyText"/>
        <w:spacing w:line="408" w:lineRule="auto"/>
        <w:ind w:left="1274" w:right="1130" w:firstLine="427"/>
        <w:jc w:val="both"/>
      </w:pPr>
      <w:r>
        <w:rPr>
          <w:rFonts w:ascii="宋体" w:hAnsi="宋体" w:cs="宋体" w:eastAsia="宋体" w:hint="default"/>
        </w:rPr>
        <w:t>2015</w:t>
      </w:r>
      <w:r>
        <w:rPr>
          <w:rFonts w:ascii="宋体" w:hAnsi="宋体" w:cs="宋体" w:eastAsia="宋体" w:hint="default"/>
          <w:spacing w:val="-65"/>
        </w:rPr>
        <w:t> </w:t>
      </w:r>
      <w:r>
        <w:rPr/>
        <w:t>年，在“以新产品求发展”方针指导下，公司加大对新技术及产品研发应用的投入，公司围绕 用电信息采集核心技术的未来发展趋势，加大对宽带载波技术的研发投入，为用采产品的更新换代提前</w:t>
      </w:r>
      <w:r>
        <w:rPr>
          <w:spacing w:val="-68"/>
        </w:rPr>
        <w:t> </w:t>
      </w:r>
      <w:r>
        <w:rPr>
          <w:spacing w:val="-68"/>
        </w:rPr>
      </w:r>
      <w:r>
        <w:rPr/>
        <w:t>做好技术基础工作，并已实现实用化；同时，加强用采产品的深化应用技术研究，实现户变关系测试仪</w:t>
      </w:r>
      <w:r>
        <w:rPr>
          <w:spacing w:val="-67"/>
        </w:rPr>
        <w:t> </w:t>
      </w:r>
      <w:r>
        <w:rPr>
          <w:spacing w:val="-67"/>
        </w:rPr>
      </w:r>
      <w:r>
        <w:rPr/>
        <w:t>产品化，并在江苏、江西等省实现销售。在配电自动化方面，公司成功研制故障指示器，产品在江苏、</w:t>
      </w:r>
      <w:r>
        <w:rPr>
          <w:spacing w:val="-68"/>
        </w:rPr>
        <w:t> </w:t>
      </w:r>
      <w:r>
        <w:rPr>
          <w:spacing w:val="-68"/>
        </w:rPr>
      </w:r>
      <w:r>
        <w:rPr/>
        <w:t>江西两省中标，标志着公司成功进入配电自动化市场，为公司发展打下产品技术基础。</w:t>
      </w:r>
    </w:p>
    <w:p>
      <w:pPr>
        <w:pStyle w:val="BodyText"/>
        <w:spacing w:line="408" w:lineRule="auto" w:before="46"/>
        <w:ind w:left="1274" w:right="1130" w:firstLine="427"/>
        <w:jc w:val="both"/>
        <w:rPr>
          <w:rFonts w:ascii="宋体" w:hAnsi="宋体" w:cs="宋体" w:eastAsia="宋体" w:hint="default"/>
        </w:rPr>
      </w:pPr>
      <w:r>
        <w:rPr/>
        <w:t>在知识产权保护方面，公司自主研发的“</w:t>
      </w:r>
      <w:r>
        <w:rPr>
          <w:rFonts w:ascii="宋体" w:hAnsi="宋体" w:cs="宋体" w:eastAsia="宋体" w:hint="default"/>
        </w:rPr>
        <w:t>EFC-EMS2000 </w:t>
      </w:r>
      <w:r>
        <w:rPr/>
        <w:t>能源管理系统”取得软件著作权 </w:t>
      </w:r>
      <w:r>
        <w:rPr>
          <w:rFonts w:ascii="宋体" w:hAnsi="宋体" w:cs="宋体" w:eastAsia="宋体" w:hint="default"/>
        </w:rPr>
        <w:t>6</w:t>
      </w:r>
      <w:r>
        <w:rPr>
          <w:rFonts w:ascii="宋体" w:hAnsi="宋体" w:cs="宋体" w:eastAsia="宋体" w:hint="default"/>
          <w:spacing w:val="-69"/>
        </w:rPr>
        <w:t> </w:t>
      </w:r>
      <w:r>
        <w:rPr/>
        <w:t>项，申请 发明专利和实用新型专利各 </w:t>
      </w:r>
      <w:r>
        <w:rPr>
          <w:rFonts w:ascii="宋体" w:hAnsi="宋体" w:cs="宋体" w:eastAsia="宋体" w:hint="default"/>
        </w:rPr>
        <w:t>1</w:t>
      </w:r>
      <w:r>
        <w:rPr>
          <w:rFonts w:ascii="宋体" w:hAnsi="宋体" w:cs="宋体" w:eastAsia="宋体" w:hint="default"/>
          <w:spacing w:val="-58"/>
        </w:rPr>
        <w:t> </w:t>
      </w:r>
      <w:r>
        <w:rPr/>
        <w:t>项，已通过江苏省经济和信息化委员会组织的新产品鉴定；公司与东南大 学共同研发的“</w:t>
      </w:r>
      <w:r>
        <w:rPr>
          <w:rFonts w:ascii="宋体" w:hAnsi="宋体" w:cs="宋体" w:eastAsia="宋体" w:hint="default"/>
        </w:rPr>
        <w:t>EFC-MGS100</w:t>
      </w:r>
      <w:r>
        <w:rPr>
          <w:rFonts w:ascii="宋体" w:hAnsi="宋体" w:cs="宋体" w:eastAsia="宋体" w:hint="default"/>
          <w:spacing w:val="-62"/>
        </w:rPr>
        <w:t> </w:t>
      </w:r>
      <w:r>
        <w:rPr/>
        <w:t>分布式发电与智能微电网系统”通过新技术鉴定，项目提出并开发的“多源 互补的智能微电网柔性控制与能量优化技术”达到国内外领先水平，申请发明专利和实用新型专利各</w:t>
      </w:r>
      <w:r>
        <w:rPr>
          <w:spacing w:val="38"/>
        </w:rPr>
        <w:t> </w:t>
      </w:r>
      <w:r>
        <w:rPr>
          <w:rFonts w:ascii="宋体" w:hAnsi="宋体" w:cs="宋体" w:eastAsia="宋体" w:hint="default"/>
        </w:rPr>
        <w:t>1</w:t>
      </w:r>
    </w:p>
    <w:p>
      <w:pPr>
        <w:pStyle w:val="BodyText"/>
        <w:spacing w:line="240" w:lineRule="auto" w:before="46"/>
        <w:ind w:left="1274" w:right="0"/>
        <w:jc w:val="left"/>
      </w:pPr>
      <w:r>
        <w:rPr/>
        <w:t>项，取得软件著作权</w:t>
      </w:r>
      <w:r>
        <w:rPr>
          <w:spacing w:val="-53"/>
        </w:rPr>
        <w:t> </w:t>
      </w:r>
      <w:r>
        <w:rPr>
          <w:rFonts w:ascii="宋体" w:hAnsi="宋体" w:cs="宋体" w:eastAsia="宋体" w:hint="default"/>
        </w:rPr>
        <w:t>1</w:t>
      </w:r>
      <w:r>
        <w:rPr>
          <w:rFonts w:ascii="宋体" w:hAnsi="宋体" w:cs="宋体" w:eastAsia="宋体" w:hint="default"/>
          <w:spacing w:val="-54"/>
        </w:rPr>
        <w:t> </w:t>
      </w:r>
      <w:r>
        <w:rPr/>
        <w:t>项，申报高新技术产品</w:t>
      </w:r>
      <w:r>
        <w:rPr>
          <w:spacing w:val="-53"/>
        </w:rPr>
        <w:t> </w:t>
      </w:r>
      <w:r>
        <w:rPr>
          <w:rFonts w:ascii="宋体" w:hAnsi="宋体" w:cs="宋体" w:eastAsia="宋体" w:hint="default"/>
        </w:rPr>
        <w:t>1</w:t>
      </w:r>
      <w:r>
        <w:rPr>
          <w:rFonts w:ascii="宋体" w:hAnsi="宋体" w:cs="宋体" w:eastAsia="宋体" w:hint="default"/>
          <w:spacing w:val="-53"/>
        </w:rPr>
        <w:t> </w:t>
      </w:r>
      <w:r>
        <w:rPr/>
        <w:t>项，并获得了江宁区产学研和新兴产业示范项目资助。</w:t>
      </w:r>
    </w:p>
    <w:p>
      <w:pPr>
        <w:spacing w:line="240" w:lineRule="auto" w:before="10"/>
        <w:rPr>
          <w:rFonts w:ascii="宋体" w:hAnsi="宋体" w:cs="宋体" w:eastAsia="宋体" w:hint="default"/>
          <w:sz w:val="14"/>
          <w:szCs w:val="14"/>
        </w:rPr>
      </w:pPr>
    </w:p>
    <w:p>
      <w:pPr>
        <w:pStyle w:val="BodyText"/>
        <w:spacing w:line="408" w:lineRule="auto"/>
        <w:ind w:left="1274" w:right="1131" w:firstLine="427"/>
        <w:jc w:val="both"/>
      </w:pPr>
      <w:r>
        <w:rPr>
          <w:rFonts w:ascii="宋体" w:hAnsi="宋体" w:cs="宋体" w:eastAsia="宋体" w:hint="default"/>
        </w:rPr>
        <w:t>2015</w:t>
      </w:r>
      <w:r>
        <w:rPr>
          <w:rFonts w:ascii="宋体" w:hAnsi="宋体" w:cs="宋体" w:eastAsia="宋体" w:hint="default"/>
          <w:spacing w:val="-65"/>
        </w:rPr>
        <w:t> </w:t>
      </w:r>
      <w:r>
        <w:rPr/>
        <w:t>年公司在上述新产品新技术研发方面实现诸多突破，取得可喜进展，进一步提升了公司自主创 新能力，增强了公司核心竞争力，为公司未来发展增加新的机会。</w:t>
      </w:r>
    </w:p>
    <w:p>
      <w:pPr>
        <w:pStyle w:val="BodyText"/>
        <w:spacing w:line="240" w:lineRule="auto" w:before="46"/>
        <w:ind w:left="1702" w:right="0"/>
        <w:jc w:val="left"/>
      </w:pPr>
      <w:r>
        <w:rPr>
          <w:rFonts w:ascii="宋体" w:hAnsi="宋体" w:cs="宋体" w:eastAsia="宋体" w:hint="default"/>
        </w:rPr>
        <w:t>6</w:t>
      </w:r>
      <w:r>
        <w:rPr/>
        <w:t>、借助产业基金扩大机会，搭建公司股权投资与并购重组平台。</w:t>
      </w:r>
    </w:p>
    <w:p>
      <w:pPr>
        <w:spacing w:line="240" w:lineRule="auto" w:before="10"/>
        <w:rPr>
          <w:rFonts w:ascii="宋体" w:hAnsi="宋体" w:cs="宋体" w:eastAsia="宋体" w:hint="default"/>
          <w:sz w:val="14"/>
          <w:szCs w:val="14"/>
        </w:rPr>
      </w:pPr>
    </w:p>
    <w:p>
      <w:pPr>
        <w:pStyle w:val="BodyText"/>
        <w:spacing w:line="240" w:lineRule="auto"/>
        <w:ind w:left="1702" w:right="0"/>
        <w:jc w:val="left"/>
      </w:pPr>
      <w:r>
        <w:rPr>
          <w:spacing w:val="-5"/>
        </w:rPr>
        <w:t>报告期内，公司以现金方式出资</w:t>
      </w:r>
      <w:r>
        <w:rPr>
          <w:spacing w:val="-50"/>
        </w:rPr>
        <w:t> </w:t>
      </w:r>
      <w:r>
        <w:rPr>
          <w:rFonts w:ascii="宋体" w:hAnsi="宋体" w:cs="宋体" w:eastAsia="宋体" w:hint="default"/>
        </w:rPr>
        <w:t>1000</w:t>
      </w:r>
      <w:r>
        <w:rPr>
          <w:rFonts w:ascii="宋体" w:hAnsi="宋体" w:cs="宋体" w:eastAsia="宋体" w:hint="default"/>
          <w:spacing w:val="-50"/>
        </w:rPr>
        <w:t> </w:t>
      </w:r>
      <w:r>
        <w:rPr/>
        <w:t>万元设立全资子公司江苏光一贵仁股权投资基金管理有限公司</w:t>
      </w:r>
    </w:p>
    <w:p>
      <w:pPr>
        <w:spacing w:line="240" w:lineRule="auto" w:before="10"/>
        <w:rPr>
          <w:rFonts w:ascii="宋体" w:hAnsi="宋体" w:cs="宋体" w:eastAsia="宋体" w:hint="default"/>
          <w:sz w:val="14"/>
          <w:szCs w:val="14"/>
        </w:rPr>
      </w:pPr>
    </w:p>
    <w:p>
      <w:pPr>
        <w:pStyle w:val="BodyText"/>
        <w:spacing w:line="408" w:lineRule="auto"/>
        <w:ind w:left="1274" w:right="1130"/>
        <w:jc w:val="both"/>
      </w:pPr>
      <w:r>
        <w:rPr/>
        <w:t>（以下简称“光一贵仁”），并由光一贵仁以现金出资 </w:t>
      </w:r>
      <w:r>
        <w:rPr>
          <w:rFonts w:ascii="宋体" w:hAnsi="宋体" w:cs="宋体" w:eastAsia="宋体" w:hint="default"/>
        </w:rPr>
        <w:t>500</w:t>
      </w:r>
      <w:r>
        <w:rPr>
          <w:rFonts w:ascii="宋体" w:hAnsi="宋体" w:cs="宋体" w:eastAsia="宋体" w:hint="default"/>
          <w:spacing w:val="-59"/>
        </w:rPr>
        <w:t> </w:t>
      </w:r>
      <w:r>
        <w:rPr/>
        <w:t>万元与公司控股股东江苏光一投资管理有限 责任公司共同出资成立深圳贵仁创新产业基金合伙企业（有限合伙</w:t>
      </w:r>
      <w:r>
        <w:rPr>
          <w:rFonts w:ascii="宋体" w:hAnsi="宋体" w:cs="宋体" w:eastAsia="宋体" w:hint="default"/>
        </w:rPr>
        <w:t>)</w:t>
      </w:r>
      <w:r>
        <w:rPr>
          <w:rFonts w:ascii="宋体" w:hAnsi="宋体" w:cs="宋体" w:eastAsia="宋体" w:hint="default"/>
          <w:spacing w:val="33"/>
        </w:rPr>
        <w:t> </w:t>
      </w:r>
      <w:r>
        <w:rPr/>
        <w:t>，借助产业基金扩大机会，为公司</w:t>
      </w:r>
      <w:r>
        <w:rPr>
          <w:spacing w:val="-100"/>
        </w:rPr>
        <w:t> </w:t>
      </w:r>
      <w:r>
        <w:rPr>
          <w:spacing w:val="-100"/>
        </w:rPr>
      </w:r>
      <w:r>
        <w:rPr/>
        <w:t>搭建股权投资与并购重组的平台，助力公司快速整合产业资源，并购符合公司发展战略的优秀企业，不</w:t>
      </w:r>
      <w:r>
        <w:rPr>
          <w:spacing w:val="-68"/>
        </w:rPr>
        <w:t> </w:t>
      </w:r>
      <w:r>
        <w:rPr>
          <w:spacing w:val="-68"/>
        </w:rPr>
      </w:r>
      <w:r>
        <w:rPr/>
        <w:t>断提高和巩固公司行业地位，持续提升公司综合竞争力。</w:t>
      </w:r>
    </w:p>
    <w:p>
      <w:pPr>
        <w:pStyle w:val="BodyText"/>
        <w:spacing w:line="408" w:lineRule="auto" w:before="46"/>
        <w:ind w:left="1702" w:right="0"/>
        <w:jc w:val="left"/>
      </w:pPr>
      <w:r>
        <w:rPr>
          <w:rFonts w:ascii="宋体" w:hAnsi="宋体" w:cs="宋体" w:eastAsia="宋体" w:hint="default"/>
        </w:rPr>
        <w:t>7</w:t>
      </w:r>
      <w:r>
        <w:rPr/>
        <w:t>、成立南医大光一智慧健康与医疗研究院，布局智慧医疗细分领域。 报告期内，公司与南京医科大学签署战略合作协议，依托南京医科大学的科研平台、医疗资源，并</w:t>
      </w:r>
    </w:p>
    <w:p>
      <w:pPr>
        <w:pStyle w:val="BodyText"/>
        <w:spacing w:line="408" w:lineRule="auto" w:before="46"/>
        <w:ind w:left="1274" w:right="0"/>
        <w:jc w:val="left"/>
      </w:pPr>
      <w:r>
        <w:rPr/>
        <w:t>结合公司的信息技术优势，双方共同组建南医大光一智慧健康与医疗研究院，拟在健康管理、临床医疗</w:t>
      </w:r>
      <w:r>
        <w:rPr>
          <w:spacing w:val="-64"/>
        </w:rPr>
        <w:t> </w:t>
      </w:r>
      <w:r>
        <w:rPr>
          <w:spacing w:val="-64"/>
        </w:rPr>
      </w:r>
      <w:r>
        <w:rPr/>
        <w:t>大数据、远程医疗、康复医疗、公共卫生及政策研究等智慧医疗细分领域开展全方位合作。</w:t>
      </w:r>
    </w:p>
    <w:p>
      <w:pPr>
        <w:pStyle w:val="BodyText"/>
        <w:spacing w:line="408" w:lineRule="auto" w:before="46"/>
        <w:ind w:left="1702" w:right="0"/>
        <w:jc w:val="left"/>
      </w:pPr>
      <w:r>
        <w:rPr>
          <w:rFonts w:ascii="宋体" w:hAnsi="宋体" w:cs="宋体" w:eastAsia="宋体" w:hint="default"/>
        </w:rPr>
        <w:t>8</w:t>
      </w:r>
      <w:r>
        <w:rPr/>
        <w:t>、先后增资中广格兰、九联科技，扩展公司在广电及智能终端行业的业务领域。 报告期内，公司先后与北京中广格兰信息科技有限公司（简称“中广格兰”）、广东九联科技股份</w:t>
      </w:r>
    </w:p>
    <w:p>
      <w:pPr>
        <w:pStyle w:val="BodyText"/>
        <w:spacing w:line="408" w:lineRule="auto" w:before="46"/>
        <w:ind w:left="1274" w:right="1016"/>
        <w:jc w:val="left"/>
      </w:pPr>
      <w:r>
        <w:rPr>
          <w:spacing w:val="-6"/>
        </w:rPr>
        <w:t>有限公司（以下简称“九联科技”）签订增资协议，公司分别以自有资金</w:t>
      </w:r>
      <w:r>
        <w:rPr>
          <w:spacing w:val="-41"/>
        </w:rPr>
        <w:t> </w:t>
      </w:r>
      <w:r>
        <w:rPr>
          <w:rFonts w:ascii="宋体" w:hAnsi="宋体" w:cs="宋体" w:eastAsia="宋体" w:hint="default"/>
        </w:rPr>
        <w:t>2,142.86</w:t>
      </w:r>
      <w:r>
        <w:rPr>
          <w:rFonts w:ascii="宋体" w:hAnsi="宋体" w:cs="宋体" w:eastAsia="宋体" w:hint="default"/>
          <w:spacing w:val="-41"/>
        </w:rPr>
        <w:t> </w:t>
      </w:r>
      <w:r>
        <w:rPr/>
        <w:t>万元向中广格兰增资，</w:t>
      </w:r>
      <w:r>
        <w:rPr>
          <w:spacing w:val="-103"/>
        </w:rPr>
        <w:t> </w:t>
      </w:r>
      <w:r>
        <w:rPr>
          <w:spacing w:val="-103"/>
        </w:rPr>
      </w:r>
      <w:r>
        <w:rPr/>
        <w:t>持有中广格兰</w:t>
      </w:r>
      <w:r>
        <w:rPr>
          <w:spacing w:val="-42"/>
        </w:rPr>
        <w:t> </w:t>
      </w:r>
      <w:r>
        <w:rPr>
          <w:rFonts w:ascii="宋体" w:hAnsi="宋体" w:cs="宋体" w:eastAsia="宋体" w:hint="default"/>
        </w:rPr>
        <w:t>30%</w:t>
      </w:r>
      <w:r>
        <w:rPr/>
        <w:t>股权；以自有资金</w:t>
      </w:r>
      <w:r>
        <w:rPr>
          <w:spacing w:val="-42"/>
        </w:rPr>
        <w:t> </w:t>
      </w:r>
      <w:r>
        <w:rPr>
          <w:rFonts w:ascii="宋体" w:hAnsi="宋体" w:cs="宋体" w:eastAsia="宋体" w:hint="default"/>
        </w:rPr>
        <w:t>2,160</w:t>
      </w:r>
      <w:r>
        <w:rPr>
          <w:rFonts w:ascii="宋体" w:hAnsi="宋体" w:cs="宋体" w:eastAsia="宋体" w:hint="default"/>
          <w:spacing w:val="-42"/>
        </w:rPr>
        <w:t> </w:t>
      </w:r>
      <w:r>
        <w:rPr/>
        <w:t>万元向九联科技增资，持有九联科技</w:t>
      </w:r>
      <w:r>
        <w:rPr>
          <w:spacing w:val="-42"/>
        </w:rPr>
        <w:t> </w:t>
      </w:r>
      <w:r>
        <w:rPr>
          <w:rFonts w:ascii="宋体" w:hAnsi="宋体" w:cs="宋体" w:eastAsia="宋体" w:hint="default"/>
        </w:rPr>
        <w:t>4%</w:t>
      </w:r>
      <w:r>
        <w:rPr/>
        <w:t>股权。通过参股中广 </w:t>
      </w:r>
      <w:r>
        <w:rPr>
          <w:spacing w:val="-2"/>
        </w:rPr>
        <w:t>格兰、九联科技，借助其各自在广电及视频业务行业内的信息整合能力及影响力，在运营商体系的资源、</w:t>
      </w:r>
      <w:r>
        <w:rPr>
          <w:spacing w:val="-73"/>
        </w:rPr>
        <w:t> </w:t>
      </w:r>
      <w:r>
        <w:rPr>
          <w:spacing w:val="-73"/>
        </w:rPr>
      </w:r>
      <w:r>
        <w:rPr/>
        <w:t>技术、内容、人才团队等资源优势，进一步布局智慧家庭战略，为公司版权云业务和健康管理业务开拓</w:t>
      </w:r>
      <w:r>
        <w:rPr>
          <w:spacing w:val="-68"/>
        </w:rPr>
        <w:t> </w:t>
      </w:r>
      <w:r>
        <w:rPr>
          <w:spacing w:val="-68"/>
        </w:rPr>
      </w:r>
      <w:r>
        <w:rPr/>
        <w:t>新的发展渠道。</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left="1701" w:right="0"/>
        <w:jc w:val="left"/>
      </w:pPr>
      <w:r>
        <w:rPr>
          <w:rFonts w:ascii="宋体" w:hAnsi="宋体" w:cs="宋体" w:eastAsia="宋体" w:hint="default"/>
        </w:rPr>
        <w:t>9</w:t>
      </w:r>
      <w:r>
        <w:rPr/>
        <w:t>、推出第一期员工持股计划，提高员工凝聚力和公司竞争力。 报告期内，为建立、健全利益共享机制，充分调动公司员工的积极性，经公司第二届董事会第二十</w:t>
      </w:r>
    </w:p>
    <w:p>
      <w:pPr>
        <w:pStyle w:val="BodyText"/>
        <w:spacing w:line="240" w:lineRule="auto" w:before="46"/>
        <w:ind w:left="1274" w:right="0"/>
        <w:jc w:val="left"/>
      </w:pPr>
      <w:r>
        <w:rPr/>
        <w:t>三次会议及 </w:t>
      </w:r>
      <w:r>
        <w:rPr>
          <w:rFonts w:ascii="宋体" w:hAnsi="宋体" w:cs="宋体" w:eastAsia="宋体" w:hint="default"/>
        </w:rPr>
        <w:t>2015</w:t>
      </w:r>
      <w:r>
        <w:rPr>
          <w:rFonts w:ascii="宋体" w:hAnsi="宋体" w:cs="宋体" w:eastAsia="宋体" w:hint="default"/>
          <w:spacing w:val="-77"/>
        </w:rPr>
        <w:t> </w:t>
      </w:r>
      <w:r>
        <w:rPr>
          <w:spacing w:val="-5"/>
        </w:rPr>
        <w:t>年第二次临时股东大会审议通过《关于</w:t>
      </w:r>
      <w:r>
        <w:rPr>
          <w:rFonts w:ascii="宋体" w:hAnsi="宋体" w:cs="宋体" w:eastAsia="宋体" w:hint="default"/>
          <w:spacing w:val="-5"/>
        </w:rPr>
        <w:t>&lt;</w:t>
      </w:r>
      <w:r>
        <w:rPr>
          <w:spacing w:val="-5"/>
        </w:rPr>
        <w:t>光一科技股份有限公司第一期员工持股计划（草</w:t>
      </w:r>
    </w:p>
    <w:p>
      <w:pPr>
        <w:spacing w:line="240" w:lineRule="auto" w:before="10"/>
        <w:rPr>
          <w:rFonts w:ascii="宋体" w:hAnsi="宋体" w:cs="宋体" w:eastAsia="宋体" w:hint="default"/>
          <w:sz w:val="14"/>
          <w:szCs w:val="14"/>
        </w:rPr>
      </w:pPr>
    </w:p>
    <w:p>
      <w:pPr>
        <w:pStyle w:val="BodyText"/>
        <w:spacing w:line="240" w:lineRule="auto"/>
        <w:ind w:left="1274" w:right="0"/>
        <w:jc w:val="left"/>
      </w:pPr>
      <w:r>
        <w:rPr/>
        <w:t>案）</w:t>
      </w:r>
      <w:r>
        <w:rPr>
          <w:rFonts w:ascii="宋体" w:hAnsi="宋体" w:cs="宋体" w:eastAsia="宋体" w:hint="default"/>
        </w:rPr>
        <w:t>&gt;</w:t>
      </w:r>
      <w:r>
        <w:rPr/>
        <w:t>及摘要的议案》，委托南华期货股份有限公司管理并认购南华期货光一科技攀登</w:t>
      </w:r>
      <w:r>
        <w:rPr>
          <w:spacing w:val="-83"/>
        </w:rPr>
        <w:t> </w:t>
      </w:r>
      <w:r>
        <w:rPr>
          <w:rFonts w:ascii="宋体" w:hAnsi="宋体" w:cs="宋体" w:eastAsia="宋体" w:hint="default"/>
        </w:rPr>
        <w:t>2</w:t>
      </w:r>
      <w:r>
        <w:rPr>
          <w:rFonts w:ascii="宋体" w:hAnsi="宋体" w:cs="宋体" w:eastAsia="宋体" w:hint="default"/>
          <w:spacing w:val="-83"/>
        </w:rPr>
        <w:t> </w:t>
      </w:r>
      <w:r>
        <w:rPr/>
        <w:t>号资产管理计划</w:t>
      </w:r>
    </w:p>
    <w:p>
      <w:pPr>
        <w:spacing w:line="240" w:lineRule="auto" w:before="10"/>
        <w:rPr>
          <w:rFonts w:ascii="宋体" w:hAnsi="宋体" w:cs="宋体" w:eastAsia="宋体" w:hint="default"/>
          <w:sz w:val="14"/>
          <w:szCs w:val="14"/>
        </w:rPr>
      </w:pPr>
    </w:p>
    <w:p>
      <w:pPr>
        <w:pStyle w:val="BodyText"/>
        <w:spacing w:line="240" w:lineRule="auto"/>
        <w:ind w:left="1274" w:right="0"/>
        <w:jc w:val="left"/>
      </w:pPr>
      <w:r>
        <w:rPr/>
        <w:t>的份额（以下简称“光一科技攀登 </w:t>
      </w:r>
      <w:r>
        <w:rPr>
          <w:rFonts w:ascii="宋体" w:hAnsi="宋体" w:cs="宋体" w:eastAsia="宋体" w:hint="default"/>
        </w:rPr>
        <w:t>2</w:t>
      </w:r>
      <w:r>
        <w:rPr>
          <w:rFonts w:ascii="宋体" w:hAnsi="宋体" w:cs="宋体" w:eastAsia="宋体" w:hint="default"/>
          <w:spacing w:val="-58"/>
        </w:rPr>
        <w:t> </w:t>
      </w:r>
      <w:r>
        <w:rPr/>
        <w:t>号”），主要通过二级市场购买、大宗交易等法律法规许可的方式</w:t>
      </w:r>
    </w:p>
    <w:p>
      <w:pPr>
        <w:spacing w:line="240" w:lineRule="auto" w:before="10"/>
        <w:rPr>
          <w:rFonts w:ascii="宋体" w:hAnsi="宋体" w:cs="宋体" w:eastAsia="宋体" w:hint="default"/>
          <w:sz w:val="14"/>
          <w:szCs w:val="14"/>
        </w:rPr>
      </w:pPr>
    </w:p>
    <w:p>
      <w:pPr>
        <w:pStyle w:val="BodyText"/>
        <w:spacing w:line="240" w:lineRule="auto"/>
        <w:ind w:left="1274" w:right="0"/>
        <w:jc w:val="left"/>
        <w:rPr>
          <w:rFonts w:ascii="宋体" w:hAnsi="宋体" w:cs="宋体" w:eastAsia="宋体" w:hint="default"/>
        </w:rPr>
      </w:pPr>
      <w:r>
        <w:rPr/>
        <w:t>取得并持有光一科技股票</w:t>
      </w:r>
      <w:r>
        <w:rPr>
          <w:spacing w:val="-105"/>
        </w:rPr>
        <w:t>。</w:t>
      </w:r>
      <w:r>
        <w:rPr/>
        <w:t>截至</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26</w:t>
      </w:r>
      <w:r>
        <w:rPr>
          <w:rFonts w:ascii="宋体" w:hAnsi="宋体" w:cs="宋体" w:eastAsia="宋体" w:hint="default"/>
          <w:spacing w:val="-54"/>
        </w:rPr>
        <w:t> </w:t>
      </w:r>
      <w:r>
        <w:rPr/>
        <w:t>日</w:t>
      </w:r>
      <w:r>
        <w:rPr>
          <w:spacing w:val="-105"/>
        </w:rPr>
        <w:t>，</w:t>
      </w:r>
      <w:r>
        <w:rPr/>
        <w:t>光一科</w:t>
      </w:r>
      <w:r>
        <w:rPr>
          <w:spacing w:val="-2"/>
        </w:rPr>
        <w:t>技</w:t>
      </w:r>
      <w:r>
        <w:rPr/>
        <w:t>攀登</w:t>
      </w:r>
      <w:r>
        <w:rPr>
          <w:spacing w:val="-54"/>
        </w:rPr>
        <w:t> </w:t>
      </w:r>
      <w:r>
        <w:rPr>
          <w:rFonts w:ascii="宋体" w:hAnsi="宋体" w:cs="宋体" w:eastAsia="宋体" w:hint="default"/>
        </w:rPr>
        <w:t>2</w:t>
      </w:r>
      <w:r>
        <w:rPr>
          <w:rFonts w:ascii="宋体" w:hAnsi="宋体" w:cs="宋体" w:eastAsia="宋体" w:hint="default"/>
          <w:spacing w:val="-53"/>
        </w:rPr>
        <w:t> </w:t>
      </w:r>
      <w:r>
        <w:rPr/>
        <w:t>号共计买入光一科技股票</w:t>
      </w:r>
      <w:r>
        <w:rPr>
          <w:spacing w:val="-53"/>
        </w:rPr>
        <w:t> </w:t>
      </w:r>
      <w:r>
        <w:rPr>
          <w:rFonts w:ascii="宋体" w:hAnsi="宋体" w:cs="宋体" w:eastAsia="宋体" w:hint="default"/>
        </w:rPr>
        <w:t>1</w:t>
      </w:r>
      <w:r>
        <w:rPr>
          <w:rFonts w:ascii="宋体" w:hAnsi="宋体" w:cs="宋体" w:eastAsia="宋体" w:hint="default"/>
          <w:spacing w:val="1"/>
        </w:rPr>
        <w:t>,</w:t>
      </w:r>
      <w:r>
        <w:rPr>
          <w:rFonts w:ascii="宋体" w:hAnsi="宋体" w:cs="宋体" w:eastAsia="宋体" w:hint="default"/>
        </w:rPr>
        <w:t>299,996</w:t>
      </w:r>
    </w:p>
    <w:p>
      <w:pPr>
        <w:spacing w:line="240" w:lineRule="auto" w:before="10"/>
        <w:rPr>
          <w:rFonts w:ascii="宋体" w:hAnsi="宋体" w:cs="宋体" w:eastAsia="宋体" w:hint="default"/>
          <w:sz w:val="14"/>
          <w:szCs w:val="14"/>
        </w:rPr>
      </w:pPr>
    </w:p>
    <w:p>
      <w:pPr>
        <w:pStyle w:val="BodyText"/>
        <w:spacing w:line="240" w:lineRule="auto"/>
        <w:ind w:left="1274" w:right="0"/>
        <w:jc w:val="left"/>
        <w:rPr>
          <w:rFonts w:ascii="宋体" w:hAnsi="宋体" w:cs="宋体" w:eastAsia="宋体" w:hint="default"/>
        </w:rPr>
      </w:pPr>
      <w:r>
        <w:rPr/>
        <w:t>股，占公司总股本的</w:t>
      </w:r>
      <w:r>
        <w:rPr>
          <w:spacing w:val="-64"/>
        </w:rPr>
        <w:t> </w:t>
      </w:r>
      <w:r>
        <w:rPr>
          <w:rFonts w:ascii="宋体" w:hAnsi="宋体" w:cs="宋体" w:eastAsia="宋体" w:hint="default"/>
        </w:rPr>
        <w:t>0.81%</w:t>
      </w:r>
      <w:r>
        <w:rPr/>
        <w:t>，均价</w:t>
      </w:r>
      <w:r>
        <w:rPr>
          <w:spacing w:val="-65"/>
        </w:rPr>
        <w:t> </w:t>
      </w:r>
      <w:r>
        <w:rPr>
          <w:rFonts w:ascii="宋体" w:hAnsi="宋体" w:cs="宋体" w:eastAsia="宋体" w:hint="default"/>
        </w:rPr>
        <w:t>42.22</w:t>
      </w:r>
      <w:r>
        <w:rPr>
          <w:rFonts w:ascii="宋体" w:hAnsi="宋体" w:cs="宋体" w:eastAsia="宋体" w:hint="default"/>
          <w:spacing w:val="-64"/>
        </w:rPr>
        <w:t> </w:t>
      </w:r>
      <w:r>
        <w:rPr/>
        <w:t>元</w:t>
      </w:r>
      <w:r>
        <w:rPr>
          <w:rFonts w:ascii="宋体" w:hAnsi="宋体" w:cs="宋体" w:eastAsia="宋体" w:hint="default"/>
        </w:rPr>
        <w:t>/</w:t>
      </w:r>
      <w:r>
        <w:rPr/>
        <w:t>股，光一科技攀登</w:t>
      </w:r>
      <w:r>
        <w:rPr>
          <w:spacing w:val="-64"/>
        </w:rPr>
        <w:t> </w:t>
      </w:r>
      <w:r>
        <w:rPr>
          <w:rFonts w:ascii="宋体" w:hAnsi="宋体" w:cs="宋体" w:eastAsia="宋体" w:hint="default"/>
        </w:rPr>
        <w:t>2</w:t>
      </w:r>
      <w:r>
        <w:rPr>
          <w:rFonts w:ascii="宋体" w:hAnsi="宋体" w:cs="宋体" w:eastAsia="宋体" w:hint="default"/>
          <w:spacing w:val="-64"/>
        </w:rPr>
        <w:t> </w:t>
      </w:r>
      <w:r>
        <w:rPr/>
        <w:t>号已购买完成，上述股份锁定期自</w:t>
      </w:r>
      <w:r>
        <w:rPr>
          <w:spacing w:val="-64"/>
        </w:rPr>
        <w:t> </w:t>
      </w:r>
      <w:r>
        <w:rPr>
          <w:rFonts w:ascii="宋体" w:hAnsi="宋体" w:cs="宋体" w:eastAsia="宋体" w:hint="default"/>
        </w:rPr>
        <w:t>2015</w:t>
      </w:r>
    </w:p>
    <w:p>
      <w:pPr>
        <w:spacing w:line="240" w:lineRule="auto" w:before="10"/>
        <w:rPr>
          <w:rFonts w:ascii="宋体" w:hAnsi="宋体" w:cs="宋体" w:eastAsia="宋体" w:hint="default"/>
          <w:sz w:val="14"/>
          <w:szCs w:val="14"/>
        </w:rPr>
      </w:pPr>
    </w:p>
    <w:p>
      <w:pPr>
        <w:pStyle w:val="BodyText"/>
        <w:spacing w:line="408" w:lineRule="auto"/>
        <w:ind w:left="1274" w:right="1120"/>
        <w:jc w:val="left"/>
      </w:pPr>
      <w:r>
        <w:rPr/>
        <w:t>年</w:t>
      </w:r>
      <w:r>
        <w:rPr>
          <w:spacing w:val="-63"/>
        </w:rPr>
        <w:t> </w:t>
      </w:r>
      <w:r>
        <w:rPr>
          <w:rFonts w:ascii="宋体" w:hAnsi="宋体" w:cs="宋体" w:eastAsia="宋体" w:hint="default"/>
        </w:rPr>
        <w:t>11</w:t>
      </w:r>
      <w:r>
        <w:rPr>
          <w:rFonts w:ascii="宋体" w:hAnsi="宋体" w:cs="宋体" w:eastAsia="宋体" w:hint="default"/>
          <w:spacing w:val="-63"/>
        </w:rPr>
        <w:t> </w:t>
      </w:r>
      <w:r>
        <w:rPr/>
        <w:t>月</w:t>
      </w:r>
      <w:r>
        <w:rPr>
          <w:spacing w:val="-63"/>
        </w:rPr>
        <w:t> </w:t>
      </w:r>
      <w:r>
        <w:rPr>
          <w:rFonts w:ascii="宋体" w:hAnsi="宋体" w:cs="宋体" w:eastAsia="宋体" w:hint="default"/>
        </w:rPr>
        <w:t>27</w:t>
      </w:r>
      <w:r>
        <w:rPr>
          <w:rFonts w:ascii="宋体" w:hAnsi="宋体" w:cs="宋体" w:eastAsia="宋体" w:hint="default"/>
          <w:spacing w:val="-63"/>
        </w:rPr>
        <w:t> </w:t>
      </w:r>
      <w:r>
        <w:rPr/>
        <w:t>日开始计算，锁定期</w:t>
      </w:r>
      <w:r>
        <w:rPr>
          <w:spacing w:val="-63"/>
        </w:rPr>
        <w:t> </w:t>
      </w:r>
      <w:r>
        <w:rPr>
          <w:rFonts w:ascii="宋体" w:hAnsi="宋体" w:cs="宋体" w:eastAsia="宋体" w:hint="default"/>
        </w:rPr>
        <w:t>12</w:t>
      </w:r>
      <w:r>
        <w:rPr>
          <w:rFonts w:ascii="宋体" w:hAnsi="宋体" w:cs="宋体" w:eastAsia="宋体" w:hint="default"/>
          <w:spacing w:val="-63"/>
        </w:rPr>
        <w:t> </w:t>
      </w:r>
      <w:r>
        <w:rPr/>
        <w:t>个月。通过第一期员工持股计划的实施，让员工与公司利益共享，增 加员工归属感，提高员工凝聚力和公司竞争力，促进公司可持续发展。</w:t>
      </w:r>
    </w:p>
    <w:p>
      <w:pPr>
        <w:pStyle w:val="BodyText"/>
        <w:spacing w:line="408" w:lineRule="auto" w:before="46"/>
        <w:ind w:left="1701" w:right="0"/>
        <w:jc w:val="left"/>
      </w:pPr>
      <w:r>
        <w:rPr>
          <w:rFonts w:ascii="宋体" w:hAnsi="宋体" w:cs="宋体" w:eastAsia="宋体" w:hint="default"/>
        </w:rPr>
        <w:t>10</w:t>
      </w:r>
      <w:r>
        <w:rPr/>
        <w:t>、人力资源优化整合，企业文化凝心聚力。 </w:t>
      </w:r>
      <w:r>
        <w:rPr>
          <w:spacing w:val="-2"/>
        </w:rPr>
        <w:t>报告期内，公司对人力资源工作进一步优化整合，紧紧围绕目标管理建立考核体系，通过定岗定编、</w:t>
      </w:r>
    </w:p>
    <w:p>
      <w:pPr>
        <w:pStyle w:val="BodyText"/>
        <w:spacing w:line="408" w:lineRule="auto" w:before="46"/>
        <w:ind w:left="1274" w:right="0"/>
        <w:jc w:val="left"/>
      </w:pPr>
      <w:r>
        <w:rPr/>
        <w:t>履职评估、持证上岗、下放考核权等措施将员工个人绩效考核直接与本部门任务完成情况挂钩，体现责</w:t>
      </w:r>
      <w:r>
        <w:rPr>
          <w:spacing w:val="-68"/>
        </w:rPr>
        <w:t> </w:t>
      </w:r>
      <w:r>
        <w:rPr>
          <w:spacing w:val="-68"/>
        </w:rPr>
      </w:r>
      <w:r>
        <w:rPr/>
        <w:t>权利一体化，充分激发管理者和员工的积极性和主动性，自觉围绕目标管理，有效开展日常工作。</w:t>
      </w:r>
    </w:p>
    <w:p>
      <w:pPr>
        <w:pStyle w:val="BodyText"/>
        <w:spacing w:line="408" w:lineRule="auto" w:before="46"/>
        <w:ind w:left="1274" w:right="1027" w:firstLine="427"/>
        <w:jc w:val="left"/>
      </w:pPr>
      <w:r>
        <w:rPr>
          <w:spacing w:val="-6"/>
        </w:rPr>
        <w:t>在企业文化建设方面，“春训”作为公司的优良传统，已经成为光一文化的重要组成部分，按照</w:t>
      </w:r>
      <w:r>
        <w:rPr>
          <w:spacing w:val="-44"/>
        </w:rPr>
        <w:t> </w:t>
      </w:r>
      <w:r>
        <w:rPr>
          <w:rFonts w:ascii="宋体" w:hAnsi="宋体" w:cs="宋体" w:eastAsia="宋体" w:hint="default"/>
        </w:rPr>
        <w:t>2015 </w:t>
      </w:r>
      <w:r>
        <w:rPr/>
        <w:t>年春训的目标及要求，年初确立“创新意识”和“攀登者精神”为主题，以“统一价值观、内聚人心、</w:t>
      </w:r>
      <w:r>
        <w:rPr>
          <w:spacing w:val="-68"/>
        </w:rPr>
        <w:t> </w:t>
      </w:r>
      <w:r>
        <w:rPr>
          <w:spacing w:val="-68"/>
        </w:rPr>
      </w:r>
      <w:r>
        <w:rPr/>
        <w:t>外塑形象、助力发展”为年度工作目标，运用各类宣传平台，动员全体员工参与，通过公共宣传栏、微</w:t>
      </w:r>
      <w:r>
        <w:rPr>
          <w:spacing w:val="-68"/>
        </w:rPr>
        <w:t> </w:t>
      </w:r>
      <w:r>
        <w:rPr>
          <w:spacing w:val="-68"/>
        </w:rPr>
      </w:r>
      <w:r>
        <w:rPr>
          <w:spacing w:val="-2"/>
        </w:rPr>
        <w:t>信平台、《攀登者》内刊等进行专题研讨与宣传活动，组织职工羽毛球比赛、为贫困地区学童捐款捐物、</w:t>
      </w:r>
      <w:r>
        <w:rPr>
          <w:spacing w:val="-72"/>
        </w:rPr>
        <w:t> </w:t>
      </w:r>
      <w:r>
        <w:rPr>
          <w:spacing w:val="-72"/>
        </w:rPr>
      </w:r>
      <w:r>
        <w:rPr/>
        <w:t>推出“</w:t>
      </w:r>
      <w:r>
        <w:rPr>
          <w:rFonts w:ascii="宋体" w:hAnsi="宋体" w:cs="宋体" w:eastAsia="宋体" w:hint="default"/>
        </w:rPr>
        <w:t>e </w:t>
      </w:r>
      <w:r>
        <w:rPr/>
        <w:t>蜂”吉祥物等一系列活动，促进部门、员工间的了解，更好的激发调动员工积极性、协作性和</w:t>
      </w:r>
      <w:r>
        <w:rPr>
          <w:spacing w:val="-68"/>
        </w:rPr>
        <w:t> </w:t>
      </w:r>
      <w:r>
        <w:rPr>
          <w:spacing w:val="-68"/>
        </w:rPr>
      </w:r>
      <w:r>
        <w:rPr/>
        <w:t>创造性，深化员工与公司共命运的意识，增强员工归宿感，提高企业凝聚力，努力为员工营造梦想的舞</w:t>
      </w:r>
      <w:r>
        <w:rPr>
          <w:spacing w:val="-68"/>
        </w:rPr>
        <w:t> </w:t>
      </w:r>
      <w:r>
        <w:rPr>
          <w:spacing w:val="-68"/>
        </w:rPr>
      </w:r>
      <w:r>
        <w:rPr/>
        <w:t>台、打造事业的平台。</w:t>
      </w:r>
    </w:p>
    <w:p>
      <w:pPr>
        <w:pStyle w:val="Heading2"/>
        <w:spacing w:line="240" w:lineRule="auto" w:before="23"/>
        <w:ind w:right="0"/>
        <w:jc w:val="left"/>
        <w:rPr>
          <w:b w:val="0"/>
          <w:bCs w:val="0"/>
        </w:rPr>
      </w:pPr>
      <w:bookmarkStart w:name="二、主营业务分析" w:id="25"/>
      <w:bookmarkEnd w:id="25"/>
      <w:r>
        <w:rPr>
          <w:b w:val="0"/>
          <w:bCs w:val="0"/>
        </w:rPr>
      </w:r>
      <w:r>
        <w:rPr/>
        <w:t>二、主营业务分析</w:t>
      </w:r>
      <w:r>
        <w:rPr>
          <w:b w:val="0"/>
          <w:bCs w:val="0"/>
        </w:rPr>
      </w:r>
    </w:p>
    <w:p>
      <w:pPr>
        <w:spacing w:line="417" w:lineRule="auto" w:before="186"/>
        <w:ind w:left="1133" w:right="5503" w:firstLine="0"/>
        <w:jc w:val="left"/>
        <w:rPr>
          <w:rFonts w:ascii="宋体" w:hAnsi="宋体" w:cs="宋体" w:eastAsia="宋体" w:hint="default"/>
          <w:sz w:val="20"/>
          <w:szCs w:val="20"/>
        </w:rPr>
      </w:pPr>
      <w:bookmarkStart w:name="1、概述" w:id="26"/>
      <w:bookmarkEnd w:id="26"/>
      <w:r>
        <w:rPr/>
      </w:r>
      <w:r>
        <w:rPr>
          <w:rFonts w:ascii="宋体" w:hAnsi="宋体" w:cs="宋体" w:eastAsia="宋体" w:hint="default"/>
          <w:b/>
          <w:bCs/>
          <w:sz w:val="20"/>
          <w:szCs w:val="20"/>
        </w:rPr>
        <w:t>1</w:t>
      </w:r>
      <w:r>
        <w:rPr>
          <w:rFonts w:ascii="宋体" w:hAnsi="宋体" w:cs="宋体" w:eastAsia="宋体" w:hint="default"/>
          <w:b/>
          <w:bCs/>
          <w:sz w:val="20"/>
          <w:szCs w:val="20"/>
        </w:rPr>
        <w:t>、概述</w:t>
      </w:r>
      <w:r>
        <w:rPr>
          <w:rFonts w:ascii="宋体" w:hAnsi="宋体" w:cs="宋体" w:eastAsia="宋体" w:hint="default"/>
          <w:b/>
          <w:bCs/>
          <w:w w:val="99"/>
          <w:sz w:val="20"/>
          <w:szCs w:val="20"/>
        </w:rPr>
        <w:t> </w:t>
      </w:r>
      <w:r>
        <w:rPr>
          <w:rFonts w:ascii="宋体" w:hAnsi="宋体" w:cs="宋体" w:eastAsia="宋体" w:hint="default"/>
          <w:sz w:val="21"/>
          <w:szCs w:val="21"/>
        </w:rPr>
        <w:t>参见“管理层讨论与分析”中的“一、概述”相关内容。 </w:t>
      </w:r>
      <w:bookmarkStart w:name="2、收入与成本" w:id="27"/>
      <w:bookmarkEnd w:id="27"/>
      <w:r>
        <w:rPr>
          <w:rFonts w:ascii="宋体" w:hAnsi="宋体" w:cs="宋体" w:eastAsia="宋体" w:hint="default"/>
          <w:sz w:val="21"/>
          <w:szCs w:val="21"/>
        </w:rPr>
      </w:r>
      <w:r>
        <w:rPr>
          <w:rFonts w:ascii="宋体" w:hAnsi="宋体" w:cs="宋体" w:eastAsia="宋体" w:hint="default"/>
          <w:b/>
          <w:bCs/>
          <w:sz w:val="20"/>
          <w:szCs w:val="20"/>
        </w:rPr>
        <w:t>2</w:t>
      </w:r>
      <w:r>
        <w:rPr>
          <w:rFonts w:ascii="宋体" w:hAnsi="宋体" w:cs="宋体" w:eastAsia="宋体" w:hint="default"/>
          <w:b/>
          <w:bCs/>
          <w:sz w:val="20"/>
          <w:szCs w:val="20"/>
        </w:rPr>
        <w:t>、收入与成本</w:t>
      </w:r>
      <w:r>
        <w:rPr>
          <w:rFonts w:ascii="宋体" w:hAnsi="宋体" w:cs="宋体" w:eastAsia="宋体" w:hint="default"/>
          <w:sz w:val="20"/>
          <w:szCs w:val="20"/>
        </w:rPr>
      </w:r>
    </w:p>
    <w:p>
      <w:pPr>
        <w:spacing w:before="58"/>
        <w:ind w:left="1133" w:right="0" w:firstLine="0"/>
        <w:jc w:val="left"/>
        <w:rPr>
          <w:rFonts w:ascii="宋体" w:hAnsi="宋体" w:cs="宋体" w:eastAsia="宋体" w:hint="default"/>
          <w:sz w:val="20"/>
          <w:szCs w:val="20"/>
        </w:rPr>
      </w:pPr>
      <w:bookmarkStart w:name="（1）营业收入构成" w:id="28"/>
      <w:bookmarkEnd w:id="28"/>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）营业收入构成</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1118" w:type="dxa"/>
        <w:tblLayout w:type="fixed"/>
        <w:tblCellMar>
          <w:top w:w="0" w:type="dxa"/>
          <w:left w:w="0" w:type="dxa"/>
          <w:bottom w:w="0" w:type="dxa"/>
          <w:right w:w="0" w:type="dxa"/>
        </w:tblCellMar>
        <w:tblLook w:val="01E0"/>
      </w:tblPr>
      <w:tblGrid>
        <w:gridCol w:w="1847"/>
        <w:gridCol w:w="1470"/>
        <w:gridCol w:w="1469"/>
        <w:gridCol w:w="1596"/>
        <w:gridCol w:w="1589"/>
        <w:gridCol w:w="1597"/>
      </w:tblGrid>
      <w:tr>
        <w:trPr>
          <w:trHeight w:val="219" w:hRule="exact"/>
        </w:trPr>
        <w:tc>
          <w:tcPr>
            <w:tcW w:w="1847" w:type="dxa"/>
            <w:tcBorders>
              <w:top w:val="single" w:sz="12" w:space="0" w:color="000000"/>
              <w:left w:val="single" w:sz="12" w:space="0" w:color="000000"/>
              <w:bottom w:val="nil" w:sz="6" w:space="0" w:color="auto"/>
              <w:right w:val="single" w:sz="6" w:space="0" w:color="000000"/>
            </w:tcBorders>
            <w:shd w:val="clear" w:color="auto" w:fill="D2D2D2"/>
          </w:tcPr>
          <w:p>
            <w:pPr/>
          </w:p>
        </w:tc>
        <w:tc>
          <w:tcPr>
            <w:tcW w:w="2939"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85"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7"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196" w:hRule="exact"/>
        </w:trPr>
        <w:tc>
          <w:tcPr>
            <w:tcW w:w="1847" w:type="dxa"/>
            <w:vMerge w:val="restart"/>
            <w:tcBorders>
              <w:top w:val="nil" w:sz="6" w:space="0" w:color="auto"/>
              <w:left w:val="single" w:sz="12" w:space="0" w:color="000000"/>
              <w:right w:val="single" w:sz="6" w:space="0" w:color="000000"/>
            </w:tcBorders>
            <w:shd w:val="clear" w:color="auto" w:fill="D2D2D2"/>
          </w:tcPr>
          <w:p>
            <w:pPr/>
          </w:p>
        </w:tc>
        <w:tc>
          <w:tcPr>
            <w:tcW w:w="2939" w:type="dxa"/>
            <w:gridSpan w:val="2"/>
            <w:vMerge/>
            <w:tcBorders>
              <w:left w:val="single" w:sz="6" w:space="0" w:color="000000"/>
              <w:bottom w:val="single" w:sz="6" w:space="0" w:color="000000"/>
              <w:right w:val="single" w:sz="6" w:space="0" w:color="000000"/>
            </w:tcBorders>
            <w:shd w:val="clear" w:color="auto" w:fill="D2D2D2"/>
          </w:tcPr>
          <w:p>
            <w:pPr/>
          </w:p>
        </w:tc>
        <w:tc>
          <w:tcPr>
            <w:tcW w:w="3185" w:type="dxa"/>
            <w:gridSpan w:val="2"/>
            <w:vMerge/>
            <w:tcBorders>
              <w:left w:val="single" w:sz="6" w:space="0" w:color="000000"/>
              <w:bottom w:val="single" w:sz="6" w:space="0" w:color="000000"/>
              <w:right w:val="single" w:sz="6" w:space="0" w:color="000000"/>
            </w:tcBorders>
            <w:shd w:val="clear" w:color="auto" w:fill="D2D2D2"/>
          </w:tcPr>
          <w:p>
            <w:pPr/>
          </w:p>
        </w:tc>
        <w:tc>
          <w:tcPr>
            <w:tcW w:w="1597"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847" w:type="dxa"/>
            <w:vMerge/>
            <w:tcBorders>
              <w:left w:val="single" w:sz="12" w:space="0" w:color="000000"/>
              <w:bottom w:val="nil" w:sz="6" w:space="0" w:color="auto"/>
              <w:right w:val="single" w:sz="6" w:space="0" w:color="000000"/>
            </w:tcBorders>
            <w:shd w:val="clear" w:color="auto" w:fill="D2D2D2"/>
          </w:tcPr>
          <w:p>
            <w:pPr/>
          </w:p>
        </w:tc>
        <w:tc>
          <w:tcPr>
            <w:tcW w:w="147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46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6" w:space="0" w:color="000000"/>
              <w:bottom w:val="nil" w:sz="6" w:space="0" w:color="auto"/>
              <w:right w:val="single" w:sz="12" w:space="0" w:color="000000"/>
            </w:tcBorders>
            <w:shd w:val="clear" w:color="auto" w:fill="D2D2D2"/>
          </w:tcPr>
          <w:p>
            <w:pPr/>
          </w:p>
        </w:tc>
      </w:tr>
      <w:tr>
        <w:trPr>
          <w:trHeight w:val="211" w:hRule="exact"/>
        </w:trPr>
        <w:tc>
          <w:tcPr>
            <w:tcW w:w="1847" w:type="dxa"/>
            <w:tcBorders>
              <w:top w:val="nil" w:sz="6" w:space="0" w:color="auto"/>
              <w:left w:val="single" w:sz="12" w:space="0" w:color="000000"/>
              <w:bottom w:val="single" w:sz="6" w:space="0" w:color="000000"/>
              <w:right w:val="single" w:sz="6" w:space="0" w:color="000000"/>
            </w:tcBorders>
            <w:shd w:val="clear" w:color="auto" w:fill="D2D2D2"/>
          </w:tcPr>
          <w:p>
            <w:pPr/>
          </w:p>
        </w:tc>
        <w:tc>
          <w:tcPr>
            <w:tcW w:w="1470" w:type="dxa"/>
            <w:vMerge/>
            <w:tcBorders>
              <w:left w:val="single" w:sz="6" w:space="0" w:color="000000"/>
              <w:bottom w:val="single" w:sz="6" w:space="0" w:color="000000"/>
              <w:right w:val="single" w:sz="6" w:space="0" w:color="000000"/>
            </w:tcBorders>
            <w:shd w:val="clear" w:color="auto" w:fill="D2D2D2"/>
          </w:tcPr>
          <w:p>
            <w:pPr/>
          </w:p>
        </w:tc>
        <w:tc>
          <w:tcPr>
            <w:tcW w:w="1469" w:type="dxa"/>
            <w:vMerge/>
            <w:tcBorders>
              <w:left w:val="single" w:sz="6" w:space="0" w:color="000000"/>
              <w:bottom w:val="single" w:sz="6" w:space="0" w:color="000000"/>
              <w:right w:val="single" w:sz="6" w:space="0" w:color="000000"/>
            </w:tcBorders>
            <w:shd w:val="clear" w:color="auto" w:fill="D2D2D2"/>
          </w:tcPr>
          <w:p>
            <w:pPr/>
          </w:p>
        </w:tc>
        <w:tc>
          <w:tcPr>
            <w:tcW w:w="1596" w:type="dxa"/>
            <w:vMerge/>
            <w:tcBorders>
              <w:left w:val="single" w:sz="6" w:space="0" w:color="000000"/>
              <w:bottom w:val="single" w:sz="6" w:space="0" w:color="000000"/>
              <w:right w:val="single" w:sz="6" w:space="0" w:color="000000"/>
            </w:tcBorders>
            <w:shd w:val="clear" w:color="auto" w:fill="D2D2D2"/>
          </w:tcPr>
          <w:p>
            <w:pPr/>
          </w:p>
        </w:tc>
        <w:tc>
          <w:tcPr>
            <w:tcW w:w="1589" w:type="dxa"/>
            <w:vMerge/>
            <w:tcBorders>
              <w:left w:val="single" w:sz="6" w:space="0" w:color="000000"/>
              <w:bottom w:val="single" w:sz="6" w:space="0" w:color="000000"/>
              <w:right w:val="single" w:sz="6" w:space="0" w:color="000000"/>
            </w:tcBorders>
            <w:shd w:val="clear" w:color="auto" w:fill="D2D2D2"/>
          </w:tcPr>
          <w:p>
            <w:pPr/>
          </w:p>
        </w:tc>
        <w:tc>
          <w:tcPr>
            <w:tcW w:w="1597"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15" w:hRule="exact"/>
        </w:trPr>
        <w:tc>
          <w:tcPr>
            <w:tcW w:w="184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营业收入合计</w:t>
            </w:r>
          </w:p>
        </w:tc>
        <w:tc>
          <w:tcPr>
            <w:tcW w:w="1470" w:type="dxa"/>
            <w:tcBorders>
              <w:top w:val="single" w:sz="6" w:space="0" w:color="000000"/>
              <w:left w:val="single" w:sz="9" w:space="0" w:color="D2D2D2"/>
              <w:bottom w:val="single" w:sz="6" w:space="0" w:color="000000"/>
              <w:right w:val="single" w:sz="14" w:space="0" w:color="D2D2D2"/>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707,673,703.50</w:t>
            </w:r>
          </w:p>
        </w:tc>
        <w:tc>
          <w:tcPr>
            <w:tcW w:w="1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19"/>
              <w:jc w:val="right"/>
              <w:rPr>
                <w:rFonts w:ascii="宋体" w:hAnsi="宋体" w:cs="宋体" w:eastAsia="宋体" w:hint="default"/>
                <w:sz w:val="18"/>
                <w:szCs w:val="18"/>
              </w:rPr>
            </w:pPr>
            <w:r>
              <w:rPr>
                <w:rFonts w:ascii="宋体"/>
                <w:sz w:val="18"/>
              </w:rPr>
              <w:t>100%</w:t>
            </w:r>
          </w:p>
        </w:tc>
        <w:tc>
          <w:tcPr>
            <w:tcW w:w="1596" w:type="dxa"/>
            <w:tcBorders>
              <w:top w:val="single" w:sz="6" w:space="0" w:color="000000"/>
              <w:left w:val="single" w:sz="14" w:space="0" w:color="D2D2D2"/>
              <w:bottom w:val="single" w:sz="6" w:space="0" w:color="000000"/>
              <w:right w:val="single" w:sz="14" w:space="0" w:color="D2D2D2"/>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343,346,895.97</w:t>
            </w:r>
          </w:p>
        </w:tc>
        <w:tc>
          <w:tcPr>
            <w:tcW w:w="15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15"/>
              <w:jc w:val="right"/>
              <w:rPr>
                <w:rFonts w:ascii="宋体" w:hAnsi="宋体" w:cs="宋体" w:eastAsia="宋体" w:hint="default"/>
                <w:sz w:val="18"/>
                <w:szCs w:val="18"/>
              </w:rPr>
            </w:pPr>
            <w:r>
              <w:rPr>
                <w:rFonts w:ascii="宋体"/>
                <w:sz w:val="18"/>
              </w:rPr>
              <w:t>100%</w:t>
            </w:r>
          </w:p>
        </w:tc>
        <w:tc>
          <w:tcPr>
            <w:tcW w:w="1597"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106.11%</w:t>
            </w:r>
          </w:p>
        </w:tc>
      </w:tr>
      <w:tr>
        <w:trPr>
          <w:trHeight w:val="398" w:hRule="exact"/>
        </w:trPr>
        <w:tc>
          <w:tcPr>
            <w:tcW w:w="9568" w:type="dxa"/>
            <w:gridSpan w:val="6"/>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4"/>
              <w:ind w:left="1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8" w:hRule="exact"/>
        </w:trPr>
        <w:tc>
          <w:tcPr>
            <w:tcW w:w="1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电力设备行业</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698,925,079.14</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98.76%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341,319,675.80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99.41%</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104.77%</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385,660.18</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481,509.42</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0.14%</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-19.91%</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8,362,964.18</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1.19%</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1,545,710.75</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0.45%</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441.04%</w:t>
            </w:r>
          </w:p>
        </w:tc>
      </w:tr>
      <w:tr>
        <w:trPr>
          <w:trHeight w:val="407" w:hRule="exact"/>
        </w:trPr>
        <w:tc>
          <w:tcPr>
            <w:tcW w:w="9568" w:type="dxa"/>
            <w:gridSpan w:val="6"/>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低压集抄系统</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94,673,543.75</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13.38%</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214,429,864.13</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62.45%</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-55.85%</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手持抄表终端</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860,573.55</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0.12%</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2,129,715.29</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0.62%</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-59.59%</w:t>
            </w:r>
          </w:p>
        </w:tc>
      </w:tr>
      <w:tr>
        <w:trPr>
          <w:trHeight w:val="408" w:hRule="exact"/>
        </w:trPr>
        <w:tc>
          <w:tcPr>
            <w:tcW w:w="1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专变采集终端</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45,981,544.94</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6.50%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103,541,872.16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30.16%</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-55.59%</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配电终端</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2,566,672.82</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0.36%</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电力设计及工程收入</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9,790,379.91</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1.38%</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电能计量表箱</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449,215,946.19</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63.48%</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高低压成套</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71,623,200.57</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10.12%</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100.00%</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改性材料</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8,810,888.04</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1.25%</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100.00%</w:t>
            </w:r>
          </w:p>
        </w:tc>
      </w:tr>
      <w:tr>
        <w:trPr>
          <w:trHeight w:val="408" w:hRule="exact"/>
        </w:trPr>
        <w:tc>
          <w:tcPr>
            <w:tcW w:w="1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其他产品</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15,787,989.55</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2.23%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21,699,733.64</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5"/>
              <w:jc w:val="right"/>
              <w:rPr>
                <w:rFonts w:ascii="宋体" w:hAnsi="宋体" w:cs="宋体" w:eastAsia="宋体" w:hint="default"/>
                <w:sz w:val="18"/>
                <w:szCs w:val="18"/>
              </w:rPr>
            </w:pPr>
            <w:r>
              <w:rPr>
                <w:rFonts w:ascii="宋体"/>
                <w:sz w:val="18"/>
              </w:rPr>
              <w:t>6.32%</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-27.24%</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8,362,964.18</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1.18%</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1,545,710.75</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0.45%</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441.04%</w:t>
            </w:r>
          </w:p>
        </w:tc>
      </w:tr>
      <w:tr>
        <w:trPr>
          <w:trHeight w:val="407" w:hRule="exact"/>
        </w:trPr>
        <w:tc>
          <w:tcPr>
            <w:tcW w:w="9568" w:type="dxa"/>
            <w:gridSpan w:val="6"/>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444,101,827.57</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62.76%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255,179,139.48</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74.32%</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74.04%</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33,848,248.57</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4.78%</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23,457,164.91</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6.83%</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44.30%</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华中地区</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79,134,146.03</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11.18%</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17,456,811.59</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5.08%</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353.31%</w:t>
            </w:r>
          </w:p>
        </w:tc>
      </w:tr>
      <w:tr>
        <w:trPr>
          <w:trHeight w:val="408" w:hRule="exact"/>
        </w:trPr>
        <w:tc>
          <w:tcPr>
            <w:tcW w:w="1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72,892,226.19</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10.30%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4,948,317.95</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1.44%</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1,373.07%</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西南地区</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8,053,965.01</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1.14%</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35,865,388.99</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10.45%</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-77.54%</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西北地区</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69,065,188.13</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9.76%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4,418,777.45</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1.29%</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1,462.99%</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东北地区</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578,102.00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0.08%</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1,864,672.52</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0.54%</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-69.00%</w:t>
            </w:r>
          </w:p>
        </w:tc>
      </w:tr>
      <w:tr>
        <w:trPr>
          <w:trHeight w:val="415" w:hRule="exact"/>
        </w:trPr>
        <w:tc>
          <w:tcPr>
            <w:tcW w:w="184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境外</w:t>
            </w:r>
          </w:p>
        </w:tc>
        <w:tc>
          <w:tcPr>
            <w:tcW w:w="1470" w:type="dxa"/>
            <w:tcBorders>
              <w:top w:val="single" w:sz="6" w:space="0" w:color="000000"/>
              <w:left w:val="single" w:sz="6" w:space="0" w:color="000000"/>
              <w:bottom w:val="single" w:sz="12" w:space="0" w:color="000000"/>
              <w:right w:val="single" w:sz="6" w:space="0" w:color="000000"/>
            </w:tcBorders>
          </w:tcPr>
          <w:p>
            <w:pPr/>
          </w:p>
        </w:tc>
        <w:tc>
          <w:tcPr>
            <w:tcW w:w="1469" w:type="dxa"/>
            <w:tcBorders>
              <w:top w:val="single" w:sz="6" w:space="0" w:color="000000"/>
              <w:left w:val="single" w:sz="6" w:space="0" w:color="000000"/>
              <w:bottom w:val="single" w:sz="12" w:space="0" w:color="000000"/>
              <w:right w:val="single" w:sz="6" w:space="0" w:color="000000"/>
            </w:tcBorders>
          </w:tcPr>
          <w:p>
            <w:pP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156,623.08</w:t>
            </w:r>
          </w:p>
        </w:tc>
        <w:tc>
          <w:tcPr>
            <w:tcW w:w="15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0.05%</w:t>
            </w:r>
          </w:p>
        </w:tc>
        <w:tc>
          <w:tcPr>
            <w:tcW w:w="15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-100.00%</w:t>
            </w:r>
          </w:p>
        </w:tc>
      </w:tr>
    </w:tbl>
    <w:p>
      <w:pPr>
        <w:spacing w:before="72"/>
        <w:ind w:left="1134" w:right="0" w:firstLine="0"/>
        <w:jc w:val="left"/>
        <w:rPr>
          <w:rFonts w:ascii="宋体" w:hAnsi="宋体" w:cs="宋体" w:eastAsia="宋体" w:hint="default"/>
          <w:sz w:val="20"/>
          <w:szCs w:val="20"/>
        </w:rPr>
      </w:pPr>
      <w:bookmarkStart w:name="（2）占公司营业收入或营业利润10%以上的行业、产品或地区情况" w:id="29"/>
      <w:bookmarkEnd w:id="29"/>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）占公司营业收入或营业利润</w:t>
      </w:r>
      <w:r>
        <w:rPr>
          <w:rFonts w:ascii="宋体" w:hAnsi="宋体" w:cs="宋体" w:eastAsia="宋体" w:hint="default"/>
          <w:b/>
          <w:bCs/>
          <w:spacing w:val="-54"/>
          <w:sz w:val="20"/>
          <w:szCs w:val="20"/>
        </w:rPr>
        <w:t> </w:t>
      </w:r>
      <w:r>
        <w:rPr>
          <w:rFonts w:ascii="宋体" w:hAnsi="宋体" w:cs="宋体" w:eastAsia="宋体" w:hint="default"/>
          <w:b/>
          <w:bCs/>
          <w:sz w:val="20"/>
          <w:szCs w:val="20"/>
        </w:rPr>
        <w:t>10%</w:t>
      </w:r>
      <w:r>
        <w:rPr>
          <w:rFonts w:ascii="宋体" w:hAnsi="宋体" w:cs="宋体" w:eastAsia="宋体" w:hint="default"/>
          <w:b/>
          <w:bCs/>
          <w:sz w:val="20"/>
          <w:szCs w:val="20"/>
        </w:rPr>
        <w:t>以上的行业、产品或地区情况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7"/>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tbl>
      <w:tblPr>
        <w:tblW w:w="0" w:type="auto"/>
        <w:jc w:val="left"/>
        <w:tblInd w:w="1118" w:type="dxa"/>
        <w:tblLayout w:type="fixed"/>
        <w:tblCellMar>
          <w:top w:w="0" w:type="dxa"/>
          <w:left w:w="0" w:type="dxa"/>
          <w:bottom w:w="0" w:type="dxa"/>
          <w:right w:w="0" w:type="dxa"/>
        </w:tblCellMar>
        <w:tblLook w:val="01E0"/>
      </w:tblPr>
      <w:tblGrid>
        <w:gridCol w:w="1368"/>
        <w:gridCol w:w="1367"/>
        <w:gridCol w:w="1366"/>
        <w:gridCol w:w="1367"/>
        <w:gridCol w:w="1367"/>
        <w:gridCol w:w="1367"/>
        <w:gridCol w:w="1371"/>
      </w:tblGrid>
      <w:tr>
        <w:trPr>
          <w:trHeight w:val="727" w:hRule="exact"/>
        </w:trPr>
        <w:tc>
          <w:tcPr>
            <w:tcW w:w="1368"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315" w:right="44"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317" w:right="45"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409" w:right="37"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7" w:hRule="exact"/>
        </w:trPr>
        <w:tc>
          <w:tcPr>
            <w:tcW w:w="9572"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7"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电力设备行业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698,925,079.14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499,317,320.87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28.56%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104.77%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116.41%</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-3.84%</w:t>
            </w:r>
          </w:p>
        </w:tc>
      </w:tr>
      <w:tr>
        <w:trPr>
          <w:trHeight w:val="407" w:hRule="exact"/>
        </w:trPr>
        <w:tc>
          <w:tcPr>
            <w:tcW w:w="9572"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7"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电能计量表箱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449,215,946.19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320,101,101.52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28.74%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100.00%</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100.00%</w:t>
            </w:r>
          </w:p>
        </w:tc>
      </w:tr>
      <w:tr>
        <w:trPr>
          <w:trHeight w:val="407"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低压集抄系统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94,673,543.75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69,270,973.79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26.83%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-55.85%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-52.62%</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-4.99%</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高低压成套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71,623,200.57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49,605,262.81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30.74%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100.00%</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100.00%</w:t>
            </w:r>
          </w:p>
        </w:tc>
      </w:tr>
      <w:tr>
        <w:trPr>
          <w:trHeight w:val="407" w:hRule="exact"/>
        </w:trPr>
        <w:tc>
          <w:tcPr>
            <w:tcW w:w="9572"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7"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443,671,332.57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311,388,530.44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29.82%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74.93%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93.76%</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-6.82%</w:t>
            </w:r>
          </w:p>
        </w:tc>
      </w:tr>
      <w:tr>
        <w:trPr>
          <w:trHeight w:val="407"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71,201,676.85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53,452,726.43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307.87%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249.59%</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12.52%</w:t>
            </w:r>
          </w:p>
        </w:tc>
      </w:tr>
      <w:tr>
        <w:trPr>
          <w:trHeight w:val="415" w:hRule="exact"/>
        </w:trPr>
        <w:tc>
          <w:tcPr>
            <w:tcW w:w="136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72,892,226.19</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52,019,429.16</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28.64%</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1,373.07%</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1,067.60%</w:t>
            </w:r>
          </w:p>
        </w:tc>
        <w:tc>
          <w:tcPr>
            <w:tcW w:w="13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18.68%</w:t>
            </w:r>
          </w:p>
        </w:tc>
      </w:tr>
    </w:tbl>
    <w:p>
      <w:pPr>
        <w:pStyle w:val="BodyText"/>
        <w:spacing w:line="408" w:lineRule="auto" w:before="63"/>
        <w:ind w:left="1134" w:right="1114"/>
        <w:jc w:val="left"/>
      </w:pPr>
      <w:r>
        <w:rPr/>
        <w:t>公司主营业务数据统计口径在报告期发生调整的情况下，公司最近</w:t>
      </w:r>
      <w:r>
        <w:rPr>
          <w:spacing w:val="-63"/>
        </w:rPr>
        <w:t> </w:t>
      </w:r>
      <w:r>
        <w:rPr>
          <w:rFonts w:ascii="宋体" w:hAnsi="宋体" w:cs="宋体" w:eastAsia="宋体" w:hint="default"/>
        </w:rPr>
        <w:t>1</w:t>
      </w:r>
      <w:r>
        <w:rPr>
          <w:rFonts w:ascii="宋体" w:hAnsi="宋体" w:cs="宋体" w:eastAsia="宋体" w:hint="default"/>
          <w:spacing w:val="-64"/>
        </w:rPr>
        <w:t> </w:t>
      </w:r>
      <w:r>
        <w:rPr/>
        <w:t>年按报告期末口径调整后的主营业务 数据</w:t>
      </w:r>
    </w:p>
    <w:p>
      <w:pPr>
        <w:pStyle w:val="BodyText"/>
        <w:spacing w:line="240" w:lineRule="auto" w:before="46"/>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3）公司实物销售收入是否大于劳务收入" w:id="30"/>
      <w:bookmarkEnd w:id="30"/>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）公司实物销售收入是否大于劳务收入</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是 □ 否</w:t>
      </w:r>
    </w:p>
    <w:p>
      <w:pPr>
        <w:spacing w:line="240" w:lineRule="auto" w:before="12"/>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1607"/>
        <w:gridCol w:w="1573"/>
        <w:gridCol w:w="1605"/>
        <w:gridCol w:w="1594"/>
        <w:gridCol w:w="1594"/>
        <w:gridCol w:w="1594"/>
      </w:tblGrid>
      <w:tr>
        <w:trPr>
          <w:trHeight w:val="415" w:hRule="exact"/>
        </w:trPr>
        <w:tc>
          <w:tcPr>
            <w:tcW w:w="160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7"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低压集抄终端</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350,156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757,525</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-53.78%</w:t>
            </w:r>
          </w:p>
        </w:tc>
      </w:tr>
      <w:tr>
        <w:trPr>
          <w:trHeight w:val="407" w:hRule="exact"/>
        </w:trPr>
        <w:tc>
          <w:tcPr>
            <w:tcW w:w="1607" w:type="dxa"/>
            <w:vMerge/>
            <w:tcBorders>
              <w:left w:val="single" w:sz="12"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429,974</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781,318</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-44.97%</w:t>
            </w:r>
          </w:p>
        </w:tc>
      </w:tr>
      <w:tr>
        <w:trPr>
          <w:trHeight w:val="407" w:hRule="exact"/>
        </w:trPr>
        <w:tc>
          <w:tcPr>
            <w:tcW w:w="1607" w:type="dxa"/>
            <w:vMerge/>
            <w:tcBorders>
              <w:left w:val="single" w:sz="12" w:space="0" w:color="000000"/>
              <w:bottom w:val="single" w:sz="6"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119,394</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39,576</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201.68%</w:t>
            </w:r>
          </w:p>
        </w:tc>
      </w:tr>
      <w:tr>
        <w:trPr>
          <w:trHeight w:val="408"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专变采集终端</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56,441</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79,508</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-29.01%</w:t>
            </w:r>
          </w:p>
        </w:tc>
      </w:tr>
      <w:tr>
        <w:trPr>
          <w:trHeight w:val="407" w:hRule="exact"/>
        </w:trPr>
        <w:tc>
          <w:tcPr>
            <w:tcW w:w="1607" w:type="dxa"/>
            <w:vMerge/>
            <w:tcBorders>
              <w:left w:val="single" w:sz="12"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56,106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80,915</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-30.66%</w:t>
            </w:r>
          </w:p>
        </w:tc>
      </w:tr>
      <w:tr>
        <w:trPr>
          <w:trHeight w:val="407" w:hRule="exact"/>
        </w:trPr>
        <w:tc>
          <w:tcPr>
            <w:tcW w:w="1607" w:type="dxa"/>
            <w:vMerge/>
            <w:tcBorders>
              <w:left w:val="single" w:sz="12" w:space="0" w:color="000000"/>
              <w:bottom w:val="single" w:sz="6"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1,890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2,225</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-15.06%</w:t>
            </w:r>
          </w:p>
        </w:tc>
      </w:tr>
      <w:tr>
        <w:trPr>
          <w:trHeight w:val="407"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手持抄表终端</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669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1,411</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-52.59%</w:t>
            </w:r>
          </w:p>
        </w:tc>
      </w:tr>
      <w:tr>
        <w:trPr>
          <w:trHeight w:val="407" w:hRule="exact"/>
        </w:trPr>
        <w:tc>
          <w:tcPr>
            <w:tcW w:w="1607" w:type="dxa"/>
            <w:vMerge/>
            <w:tcBorders>
              <w:left w:val="single" w:sz="12"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929</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-97.85%</w:t>
            </w:r>
          </w:p>
        </w:tc>
      </w:tr>
      <w:tr>
        <w:trPr>
          <w:trHeight w:val="407" w:hRule="exact"/>
        </w:trPr>
        <w:tc>
          <w:tcPr>
            <w:tcW w:w="1607" w:type="dxa"/>
            <w:vMerge/>
            <w:tcBorders>
              <w:left w:val="single" w:sz="12" w:space="0" w:color="000000"/>
              <w:bottom w:val="single" w:sz="6"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391</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1,040</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-62.40%</w:t>
            </w:r>
          </w:p>
        </w:tc>
      </w:tr>
      <w:tr>
        <w:trPr>
          <w:trHeight w:val="408"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配电终端</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978</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100.00%</w:t>
            </w:r>
          </w:p>
        </w:tc>
      </w:tr>
      <w:tr>
        <w:trPr>
          <w:trHeight w:val="407" w:hRule="exact"/>
        </w:trPr>
        <w:tc>
          <w:tcPr>
            <w:tcW w:w="1607" w:type="dxa"/>
            <w:vMerge/>
            <w:tcBorders>
              <w:left w:val="single" w:sz="12"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978</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r>
        <w:trPr>
          <w:trHeight w:val="407" w:hRule="exact"/>
        </w:trPr>
        <w:tc>
          <w:tcPr>
            <w:tcW w:w="1607" w:type="dxa"/>
            <w:vMerge/>
            <w:tcBorders>
              <w:left w:val="single" w:sz="12" w:space="0" w:color="000000"/>
              <w:bottom w:val="single" w:sz="6"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r>
        <w:trPr>
          <w:trHeight w:val="407"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电能计量箱</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2,309,794</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r>
        <w:trPr>
          <w:trHeight w:val="415" w:hRule="exact"/>
        </w:trPr>
        <w:tc>
          <w:tcPr>
            <w:tcW w:w="1607" w:type="dxa"/>
            <w:vMerge/>
            <w:tcBorders>
              <w:left w:val="single" w:sz="12" w:space="0" w:color="000000"/>
              <w:bottom w:val="single" w:sz="12" w:space="0" w:color="000000"/>
              <w:right w:val="single" w:sz="14" w:space="0" w:color="D2D2D2"/>
            </w:tcBorders>
          </w:tcPr>
          <w:p>
            <w:pPr/>
          </w:p>
        </w:tc>
        <w:tc>
          <w:tcPr>
            <w:tcW w:w="157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2,303,120</w:t>
            </w:r>
          </w:p>
        </w:tc>
        <w:tc>
          <w:tcPr>
            <w:tcW w:w="1594" w:type="dxa"/>
            <w:tcBorders>
              <w:top w:val="single" w:sz="6" w:space="0" w:color="000000"/>
              <w:left w:val="single" w:sz="6" w:space="0" w:color="000000"/>
              <w:bottom w:val="single" w:sz="12" w:space="0" w:color="000000"/>
              <w:right w:val="single" w:sz="6" w:space="0" w:color="000000"/>
            </w:tcBorders>
          </w:tcPr>
          <w:p>
            <w:pP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1607"/>
        <w:gridCol w:w="1573"/>
        <w:gridCol w:w="1605"/>
        <w:gridCol w:w="1594"/>
        <w:gridCol w:w="1594"/>
        <w:gridCol w:w="1594"/>
      </w:tblGrid>
      <w:tr>
        <w:trPr>
          <w:trHeight w:val="415" w:hRule="exact"/>
        </w:trPr>
        <w:tc>
          <w:tcPr>
            <w:tcW w:w="160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7" w:hRule="exact"/>
        </w:trPr>
        <w:tc>
          <w:tcPr>
            <w:tcW w:w="1607" w:type="dxa"/>
            <w:tcBorders>
              <w:top w:val="single" w:sz="6" w:space="0" w:color="000000"/>
              <w:left w:val="single" w:sz="12" w:space="0" w:color="000000"/>
              <w:bottom w:val="single" w:sz="6"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21,153</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r>
        <w:trPr>
          <w:trHeight w:val="407"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高低压成套</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6,399</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r>
        <w:trPr>
          <w:trHeight w:val="407" w:hRule="exact"/>
        </w:trPr>
        <w:tc>
          <w:tcPr>
            <w:tcW w:w="1607" w:type="dxa"/>
            <w:vMerge/>
            <w:tcBorders>
              <w:left w:val="single" w:sz="12"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6,465</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r>
        <w:trPr>
          <w:trHeight w:val="407" w:hRule="exact"/>
        </w:trPr>
        <w:tc>
          <w:tcPr>
            <w:tcW w:w="1607" w:type="dxa"/>
            <w:vMerge/>
            <w:tcBorders>
              <w:left w:val="single" w:sz="12" w:space="0" w:color="000000"/>
              <w:bottom w:val="single" w:sz="6"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174</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100.00%</w:t>
            </w:r>
          </w:p>
        </w:tc>
      </w:tr>
      <w:tr>
        <w:trPr>
          <w:trHeight w:val="407"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改性材料</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千克</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971,025</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100.00%</w:t>
            </w:r>
          </w:p>
        </w:tc>
      </w:tr>
      <w:tr>
        <w:trPr>
          <w:trHeight w:val="408" w:hRule="exact"/>
        </w:trPr>
        <w:tc>
          <w:tcPr>
            <w:tcW w:w="1607" w:type="dxa"/>
            <w:vMerge/>
            <w:tcBorders>
              <w:left w:val="single" w:sz="12"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千克</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971,025</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100.00%</w:t>
            </w:r>
          </w:p>
        </w:tc>
      </w:tr>
      <w:tr>
        <w:trPr>
          <w:trHeight w:val="415" w:hRule="exact"/>
        </w:trPr>
        <w:tc>
          <w:tcPr>
            <w:tcW w:w="1607" w:type="dxa"/>
            <w:vMerge/>
            <w:tcBorders>
              <w:left w:val="single" w:sz="12" w:space="0" w:color="000000"/>
              <w:bottom w:val="single" w:sz="12" w:space="0" w:color="000000"/>
              <w:right w:val="single" w:sz="14" w:space="0" w:color="D2D2D2"/>
            </w:tcBorders>
          </w:tcPr>
          <w:p>
            <w:pPr/>
          </w:p>
        </w:tc>
        <w:tc>
          <w:tcPr>
            <w:tcW w:w="157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千克</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594" w:type="dxa"/>
            <w:tcBorders>
              <w:top w:val="single" w:sz="6" w:space="0" w:color="000000"/>
              <w:left w:val="single" w:sz="6" w:space="0" w:color="000000"/>
              <w:bottom w:val="single" w:sz="12" w:space="0" w:color="000000"/>
              <w:right w:val="single" w:sz="6" w:space="0" w:color="000000"/>
            </w:tcBorders>
          </w:tcPr>
          <w:p>
            <w:pP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bl>
    <w:p>
      <w:pPr>
        <w:pStyle w:val="BodyText"/>
        <w:spacing w:line="240" w:lineRule="auto" w:before="63"/>
        <w:ind w:left="1134" w:right="0"/>
        <w:jc w:val="left"/>
      </w:pPr>
      <w:r>
        <w:rPr/>
        <w:t>相关数据同比发生变动</w:t>
      </w:r>
      <w:r>
        <w:rPr>
          <w:spacing w:val="-54"/>
        </w:rPr>
        <w:t> </w:t>
      </w:r>
      <w:r>
        <w:rPr>
          <w:rFonts w:ascii="宋体" w:hAnsi="宋体" w:cs="宋体" w:eastAsia="宋体" w:hint="default"/>
        </w:rPr>
        <w:t>30%</w:t>
      </w:r>
      <w:r>
        <w:rPr/>
        <w:t>以上的原因说明</w:t>
      </w:r>
    </w:p>
    <w:p>
      <w:pPr>
        <w:spacing w:line="240" w:lineRule="auto" w:before="10"/>
        <w:rPr>
          <w:rFonts w:ascii="宋体" w:hAnsi="宋体" w:cs="宋体" w:eastAsia="宋体" w:hint="default"/>
          <w:sz w:val="14"/>
          <w:szCs w:val="14"/>
        </w:rPr>
      </w:pPr>
    </w:p>
    <w:p>
      <w:pPr>
        <w:pStyle w:val="BodyText"/>
        <w:spacing w:line="240" w:lineRule="auto"/>
        <w:ind w:left="113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408" w:lineRule="auto"/>
        <w:ind w:right="1093" w:firstLine="420"/>
        <w:jc w:val="left"/>
      </w:pPr>
      <w:r>
        <w:rPr>
          <w:spacing w:val="-1"/>
        </w:rPr>
        <w:t>①低压集抄终端</w:t>
      </w:r>
      <w:r>
        <w:rPr>
          <w:rFonts w:ascii="宋体" w:hAnsi="宋体" w:cs="宋体" w:eastAsia="宋体" w:hint="default"/>
          <w:spacing w:val="-1"/>
        </w:rPr>
        <w:t>2015</w:t>
      </w:r>
      <w:r>
        <w:rPr>
          <w:spacing w:val="-1"/>
        </w:rPr>
        <w:t>年产销同比下降，主要是</w:t>
      </w:r>
      <w:r>
        <w:rPr>
          <w:rFonts w:ascii="宋体" w:hAnsi="宋体" w:cs="宋体" w:eastAsia="宋体" w:hint="default"/>
          <w:spacing w:val="-1"/>
        </w:rPr>
        <w:t>2015</w:t>
      </w:r>
      <w:r>
        <w:rPr>
          <w:spacing w:val="-1"/>
        </w:rPr>
        <w:t>年国网招标产品结构调整，招标数量大幅减少，公</w:t>
      </w:r>
      <w:r>
        <w:rPr/>
        <w:t> 司相应产品的产销量随之减少，同时因为生产备货国网第三批中标的采集器、集中器较多导致库存增加。</w:t>
      </w:r>
    </w:p>
    <w:p>
      <w:pPr>
        <w:pStyle w:val="BodyText"/>
        <w:spacing w:line="240" w:lineRule="auto" w:before="46"/>
        <w:ind w:left="1554" w:right="0"/>
        <w:jc w:val="left"/>
      </w:pPr>
      <w:r>
        <w:rPr/>
        <w:t>②专变采集终端</w:t>
      </w:r>
      <w:r>
        <w:rPr>
          <w:rFonts w:ascii="宋体" w:hAnsi="宋体" w:cs="宋体" w:eastAsia="宋体" w:hint="default"/>
        </w:rPr>
        <w:t>2015</w:t>
      </w:r>
      <w:r>
        <w:rPr/>
        <w:t>年产销存同比下降，主要是国网招标数量减少所致。</w:t>
      </w:r>
    </w:p>
    <w:p>
      <w:pPr>
        <w:spacing w:line="240" w:lineRule="auto" w:before="10"/>
        <w:rPr>
          <w:rFonts w:ascii="宋体" w:hAnsi="宋体" w:cs="宋体" w:eastAsia="宋体" w:hint="default"/>
          <w:sz w:val="14"/>
          <w:szCs w:val="14"/>
        </w:rPr>
      </w:pPr>
    </w:p>
    <w:p>
      <w:pPr>
        <w:pStyle w:val="BodyText"/>
        <w:spacing w:line="240" w:lineRule="auto"/>
        <w:ind w:left="1553" w:right="0"/>
        <w:jc w:val="left"/>
      </w:pPr>
      <w:r>
        <w:rPr/>
        <w:t>③手持抄表终端</w:t>
      </w:r>
      <w:r>
        <w:rPr>
          <w:rFonts w:ascii="宋体" w:hAnsi="宋体" w:cs="宋体" w:eastAsia="宋体" w:hint="default"/>
        </w:rPr>
        <w:t>2015</w:t>
      </w:r>
      <w:r>
        <w:rPr/>
        <w:t>年产销存同比下降，主要是网省公司招标减少所致。</w:t>
      </w:r>
    </w:p>
    <w:p>
      <w:pPr>
        <w:spacing w:line="240" w:lineRule="auto" w:before="10"/>
        <w:rPr>
          <w:rFonts w:ascii="宋体" w:hAnsi="宋体" w:cs="宋体" w:eastAsia="宋体" w:hint="default"/>
          <w:sz w:val="14"/>
          <w:szCs w:val="14"/>
        </w:rPr>
      </w:pPr>
    </w:p>
    <w:p>
      <w:pPr>
        <w:pStyle w:val="BodyText"/>
        <w:spacing w:line="240" w:lineRule="auto"/>
        <w:ind w:left="1553" w:right="0"/>
        <w:jc w:val="left"/>
      </w:pPr>
      <w:r>
        <w:rPr/>
        <w:t>④配电终端为</w:t>
      </w:r>
      <w:r>
        <w:rPr>
          <w:rFonts w:ascii="宋体" w:hAnsi="宋体" w:cs="宋体" w:eastAsia="宋体" w:hint="default"/>
        </w:rPr>
        <w:t>2015</w:t>
      </w:r>
      <w:r>
        <w:rPr/>
        <w:t>年研发生产销售的新产品。</w:t>
      </w:r>
    </w:p>
    <w:p>
      <w:pPr>
        <w:spacing w:line="240" w:lineRule="auto" w:before="10"/>
        <w:rPr>
          <w:rFonts w:ascii="宋体" w:hAnsi="宋体" w:cs="宋体" w:eastAsia="宋体" w:hint="default"/>
          <w:sz w:val="14"/>
          <w:szCs w:val="14"/>
        </w:rPr>
      </w:pPr>
    </w:p>
    <w:p>
      <w:pPr>
        <w:pStyle w:val="BodyText"/>
        <w:spacing w:line="240" w:lineRule="auto"/>
        <w:ind w:left="1554" w:right="0"/>
        <w:jc w:val="left"/>
      </w:pPr>
      <w:r>
        <w:rPr/>
        <w:t>⑤电能计量箱、高低压成套、改性材料为本报告期新增合并子公司湖北索瑞电气的产品。</w:t>
      </w:r>
    </w:p>
    <w:p>
      <w:pPr>
        <w:spacing w:line="240" w:lineRule="auto" w:before="7"/>
        <w:rPr>
          <w:rFonts w:ascii="宋体" w:hAnsi="宋体" w:cs="宋体" w:eastAsia="宋体" w:hint="default"/>
          <w:sz w:val="15"/>
          <w:szCs w:val="15"/>
        </w:rPr>
      </w:pPr>
    </w:p>
    <w:p>
      <w:pPr>
        <w:spacing w:before="0"/>
        <w:ind w:left="1133" w:right="0" w:firstLine="0"/>
        <w:jc w:val="left"/>
        <w:rPr>
          <w:rFonts w:ascii="宋体" w:hAnsi="宋体" w:cs="宋体" w:eastAsia="宋体" w:hint="default"/>
          <w:sz w:val="20"/>
          <w:szCs w:val="20"/>
        </w:rPr>
      </w:pPr>
      <w:bookmarkStart w:name="（4）公司已签订的重大销售合同截至本报告期的履行情况" w:id="31"/>
      <w:bookmarkEnd w:id="31"/>
      <w:r>
        <w:rPr/>
      </w: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）公司已签订的重大销售合同截至本报告期的履行情况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554" w:right="0" w:hanging="420"/>
        <w:jc w:val="left"/>
      </w:pPr>
      <w:r>
        <w:rPr/>
        <w:t>√ 适用 □</w:t>
      </w:r>
      <w:r>
        <w:rPr>
          <w:spacing w:val="-1"/>
        </w:rPr>
        <w:t> </w:t>
      </w:r>
      <w:r>
        <w:rPr/>
        <w:t>不适用</w:t>
      </w:r>
      <w:r>
        <w:rPr/>
        <w:t> </w:t>
      </w:r>
      <w:r>
        <w:rPr>
          <w:rFonts w:ascii="宋体" w:hAnsi="宋体" w:cs="宋体" w:eastAsia="宋体" w:hint="default"/>
          <w:spacing w:val="5"/>
        </w:rPr>
        <w:t>2015</w:t>
      </w:r>
      <w:r>
        <w:rPr>
          <w:spacing w:val="5"/>
        </w:rPr>
        <w:t>年</w:t>
      </w:r>
      <w:r>
        <w:rPr>
          <w:rFonts w:ascii="宋体" w:hAnsi="宋体" w:cs="宋体" w:eastAsia="宋体" w:hint="default"/>
          <w:spacing w:val="5"/>
        </w:rPr>
        <w:t>4</w:t>
      </w:r>
      <w:r>
        <w:rPr>
          <w:spacing w:val="5"/>
        </w:rPr>
        <w:t>月</w:t>
      </w:r>
      <w:r>
        <w:rPr>
          <w:rFonts w:ascii="宋体" w:hAnsi="宋体" w:cs="宋体" w:eastAsia="宋体" w:hint="default"/>
          <w:spacing w:val="5"/>
        </w:rPr>
        <w:t>29</w:t>
      </w:r>
      <w:r>
        <w:rPr>
          <w:spacing w:val="5"/>
        </w:rPr>
        <w:t>日，在国家电网公司</w:t>
      </w:r>
      <w:r>
        <w:rPr>
          <w:rFonts w:ascii="宋体" w:hAnsi="宋体" w:cs="宋体" w:eastAsia="宋体" w:hint="default"/>
          <w:spacing w:val="5"/>
        </w:rPr>
        <w:t>2015</w:t>
      </w:r>
      <w:r>
        <w:rPr>
          <w:spacing w:val="5"/>
        </w:rPr>
        <w:t>年第一批电能表及用电信息采集设备招标采购（招标编号：</w:t>
      </w:r>
    </w:p>
    <w:p>
      <w:pPr>
        <w:pStyle w:val="BodyText"/>
        <w:spacing w:line="408" w:lineRule="auto" w:before="46"/>
        <w:ind w:right="1116"/>
        <w:jc w:val="left"/>
      </w:pPr>
      <w:r>
        <w:rPr>
          <w:rFonts w:ascii="宋体" w:hAnsi="宋体" w:cs="宋体" w:eastAsia="宋体" w:hint="default"/>
        </w:rPr>
        <w:t>0711-15OTL046</w:t>
      </w:r>
      <w:r>
        <w:rPr/>
        <w:t>）中，公司中标金额为</w:t>
      </w:r>
      <w:r>
        <w:rPr>
          <w:rFonts w:ascii="宋体" w:hAnsi="宋体" w:cs="宋体" w:eastAsia="宋体" w:hint="default"/>
        </w:rPr>
        <w:t>4,781.95</w:t>
      </w:r>
      <w:r>
        <w:rPr/>
        <w:t>万元。截至报告期末，中标形成的订单正在执行中，尚未</w:t>
      </w:r>
      <w:r>
        <w:rPr>
          <w:spacing w:val="-34"/>
        </w:rPr>
        <w:t> </w:t>
      </w:r>
      <w:r>
        <w:rPr>
          <w:spacing w:val="-34"/>
        </w:rPr>
      </w:r>
      <w:r>
        <w:rPr/>
        <w:t>执行完毕。</w:t>
      </w:r>
    </w:p>
    <w:p>
      <w:pPr>
        <w:pStyle w:val="BodyText"/>
        <w:spacing w:line="240" w:lineRule="auto" w:before="46"/>
        <w:ind w:left="1554" w:right="0"/>
        <w:jc w:val="left"/>
      </w:pPr>
      <w:r>
        <w:rPr>
          <w:rFonts w:ascii="宋体" w:hAnsi="宋体" w:cs="宋体" w:eastAsia="宋体" w:hint="default"/>
          <w:spacing w:val="5"/>
        </w:rPr>
        <w:t>2015</w:t>
      </w:r>
      <w:r>
        <w:rPr>
          <w:spacing w:val="5"/>
        </w:rPr>
        <w:t>年</w:t>
      </w:r>
      <w:r>
        <w:rPr>
          <w:rFonts w:ascii="宋体" w:hAnsi="宋体" w:cs="宋体" w:eastAsia="宋体" w:hint="default"/>
          <w:spacing w:val="5"/>
        </w:rPr>
        <w:t>9</w:t>
      </w:r>
      <w:r>
        <w:rPr>
          <w:spacing w:val="5"/>
        </w:rPr>
        <w:t>月</w:t>
      </w:r>
      <w:r>
        <w:rPr>
          <w:rFonts w:ascii="宋体" w:hAnsi="宋体" w:cs="宋体" w:eastAsia="宋体" w:hint="default"/>
          <w:spacing w:val="5"/>
        </w:rPr>
        <w:t>28</w:t>
      </w:r>
      <w:r>
        <w:rPr>
          <w:spacing w:val="5"/>
        </w:rPr>
        <w:t>日，在国家电网公司</w:t>
      </w:r>
      <w:r>
        <w:rPr>
          <w:rFonts w:ascii="宋体" w:hAnsi="宋体" w:cs="宋体" w:eastAsia="宋体" w:hint="default"/>
          <w:spacing w:val="5"/>
        </w:rPr>
        <w:t>2015</w:t>
      </w:r>
      <w:r>
        <w:rPr>
          <w:spacing w:val="5"/>
        </w:rPr>
        <w:t>年第二批电能表及用电信息采集设备招标采购（招标编号：</w:t>
      </w:r>
    </w:p>
    <w:p>
      <w:pPr>
        <w:spacing w:line="240" w:lineRule="auto" w:before="10"/>
        <w:rPr>
          <w:rFonts w:ascii="宋体" w:hAnsi="宋体" w:cs="宋体" w:eastAsia="宋体" w:hint="default"/>
          <w:sz w:val="14"/>
          <w:szCs w:val="14"/>
        </w:rPr>
      </w:pPr>
    </w:p>
    <w:p>
      <w:pPr>
        <w:pStyle w:val="BodyText"/>
        <w:spacing w:line="408" w:lineRule="auto"/>
        <w:ind w:right="1116"/>
        <w:jc w:val="left"/>
      </w:pPr>
      <w:r>
        <w:rPr>
          <w:rFonts w:ascii="宋体" w:hAnsi="宋体" w:cs="宋体" w:eastAsia="宋体" w:hint="default"/>
        </w:rPr>
        <w:t>0711-15OTL047</w:t>
      </w:r>
      <w:r>
        <w:rPr/>
        <w:t>）中，公司中标金额为</w:t>
      </w:r>
      <w:r>
        <w:rPr>
          <w:rFonts w:ascii="宋体" w:hAnsi="宋体" w:cs="宋体" w:eastAsia="宋体" w:hint="default"/>
        </w:rPr>
        <w:t>3,166.21</w:t>
      </w:r>
      <w:r>
        <w:rPr/>
        <w:t>万元。截至报告期末，中标形成的订单正在执行中，尚未</w:t>
      </w:r>
      <w:r>
        <w:rPr>
          <w:spacing w:val="-34"/>
        </w:rPr>
        <w:t> </w:t>
      </w:r>
      <w:r>
        <w:rPr>
          <w:spacing w:val="-34"/>
        </w:rPr>
      </w:r>
      <w:r>
        <w:rPr/>
        <w:t>执行完毕。</w:t>
      </w:r>
    </w:p>
    <w:p>
      <w:pPr>
        <w:pStyle w:val="BodyText"/>
        <w:spacing w:line="240" w:lineRule="auto" w:before="46"/>
        <w:ind w:left="1554" w:right="0"/>
        <w:jc w:val="left"/>
      </w:pP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16</w:t>
      </w:r>
      <w:r>
        <w:rPr>
          <w:spacing w:val="3"/>
        </w:rPr>
        <w:t>日，在国家电网公司</w:t>
      </w:r>
      <w:r>
        <w:rPr>
          <w:rFonts w:ascii="宋体" w:hAnsi="宋体" w:cs="宋体" w:eastAsia="宋体" w:hint="default"/>
          <w:spacing w:val="3"/>
        </w:rPr>
        <w:t>2015</w:t>
      </w:r>
      <w:r>
        <w:rPr>
          <w:spacing w:val="3"/>
        </w:rPr>
        <w:t>年第三批电能表及用电信息采集设备招标采购（招标编号：</w:t>
      </w:r>
    </w:p>
    <w:p>
      <w:pPr>
        <w:spacing w:line="240" w:lineRule="auto" w:before="10"/>
        <w:rPr>
          <w:rFonts w:ascii="宋体" w:hAnsi="宋体" w:cs="宋体" w:eastAsia="宋体" w:hint="default"/>
          <w:sz w:val="14"/>
          <w:szCs w:val="14"/>
        </w:rPr>
      </w:pPr>
    </w:p>
    <w:p>
      <w:pPr>
        <w:pStyle w:val="BodyText"/>
        <w:spacing w:line="408" w:lineRule="auto"/>
        <w:ind w:left="1134" w:right="1092"/>
        <w:jc w:val="left"/>
      </w:pPr>
      <w:r>
        <w:rPr>
          <w:rFonts w:ascii="宋体" w:hAnsi="宋体" w:cs="宋体" w:eastAsia="宋体" w:hint="default"/>
        </w:rPr>
        <w:t>0711-15OTL04822000</w:t>
      </w:r>
      <w:r>
        <w:rPr/>
        <w:t>）中，公司中标金额为</w:t>
      </w:r>
      <w:r>
        <w:rPr>
          <w:rFonts w:ascii="宋体" w:hAnsi="宋体" w:cs="宋体" w:eastAsia="宋体" w:hint="default"/>
        </w:rPr>
        <w:t>5,113.68</w:t>
      </w:r>
      <w:r>
        <w:rPr/>
        <w:t>万元。截至报告期末，中标形成的订单正在执行中， 尚未执行完毕。</w:t>
      </w:r>
    </w:p>
    <w:p>
      <w:pPr>
        <w:spacing w:before="55"/>
        <w:ind w:left="1134" w:right="0" w:firstLine="0"/>
        <w:jc w:val="left"/>
        <w:rPr>
          <w:rFonts w:ascii="宋体" w:hAnsi="宋体" w:cs="宋体" w:eastAsia="宋体" w:hint="default"/>
          <w:sz w:val="20"/>
          <w:szCs w:val="20"/>
        </w:rPr>
      </w:pPr>
      <w:bookmarkStart w:name="（5）营业成本构成" w:id="32"/>
      <w:bookmarkEnd w:id="32"/>
      <w:r>
        <w:rPr/>
      </w:r>
      <w:r>
        <w:rPr>
          <w:rFonts w:ascii="宋体" w:hAnsi="宋体" w:cs="宋体" w:eastAsia="宋体" w:hint="default"/>
          <w:b/>
          <w:bCs/>
          <w:sz w:val="20"/>
          <w:szCs w:val="20"/>
        </w:rPr>
        <w:t>（</w:t>
      </w:r>
      <w:r>
        <w:rPr>
          <w:rFonts w:ascii="宋体" w:hAnsi="宋体" w:cs="宋体" w:eastAsia="宋体" w:hint="default"/>
          <w:b/>
          <w:bCs/>
          <w:sz w:val="20"/>
          <w:szCs w:val="20"/>
        </w:rPr>
        <w:t>5</w:t>
      </w:r>
      <w:r>
        <w:rPr>
          <w:rFonts w:ascii="宋体" w:hAnsi="宋体" w:cs="宋体" w:eastAsia="宋体" w:hint="default"/>
          <w:b/>
          <w:bCs/>
          <w:sz w:val="20"/>
          <w:szCs w:val="20"/>
        </w:rPr>
        <w:t>）营业成本构成</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行业分类</w:t>
      </w:r>
    </w:p>
    <w:p>
      <w:pPr>
        <w:spacing w:line="240" w:lineRule="auto" w:before="9"/>
        <w:rPr>
          <w:rFonts w:ascii="宋体" w:hAnsi="宋体" w:cs="宋体" w:eastAsia="宋体" w:hint="default"/>
          <w:sz w:val="16"/>
          <w:szCs w:val="16"/>
        </w:rPr>
      </w:pPr>
    </w:p>
    <w:p>
      <w:pPr>
        <w:spacing w:before="0"/>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1277"/>
        <w:gridCol w:w="1560"/>
        <w:gridCol w:w="1418"/>
        <w:gridCol w:w="1417"/>
        <w:gridCol w:w="1419"/>
        <w:gridCol w:w="1417"/>
        <w:gridCol w:w="1065"/>
      </w:tblGrid>
      <w:tr>
        <w:trPr>
          <w:trHeight w:val="415" w:hRule="exact"/>
        </w:trPr>
        <w:tc>
          <w:tcPr>
            <w:tcW w:w="1277"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60"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36"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65"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7" w:hRule="exact"/>
        </w:trPr>
        <w:tc>
          <w:tcPr>
            <w:tcW w:w="1277" w:type="dxa"/>
            <w:vMerge/>
            <w:tcBorders>
              <w:left w:val="single" w:sz="12" w:space="0" w:color="000000"/>
              <w:bottom w:val="single" w:sz="6" w:space="0" w:color="000000"/>
              <w:right w:val="single" w:sz="6" w:space="0" w:color="000000"/>
            </w:tcBorders>
            <w:shd w:val="clear" w:color="auto" w:fill="D2D2D2"/>
          </w:tcPr>
          <w:p>
            <w:pPr/>
          </w:p>
        </w:tc>
        <w:tc>
          <w:tcPr>
            <w:tcW w:w="1560" w:type="dxa"/>
            <w:vMerge/>
            <w:tcBorders>
              <w:left w:val="single" w:sz="6" w:space="0" w:color="000000"/>
              <w:bottom w:val="single" w:sz="6" w:space="0" w:color="000000"/>
              <w:right w:val="single" w:sz="6" w:space="0" w:color="000000"/>
            </w:tcBorders>
            <w:shd w:val="clear" w:color="auto" w:fill="D2D2D2"/>
          </w:tcPr>
          <w:p>
            <w:pPr/>
          </w:p>
        </w:tc>
        <w:tc>
          <w:tcPr>
            <w:tcW w:w="1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7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65"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电力设备行业</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376,985,723.47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78.90%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159,193,674.73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68.66%</w:t>
            </w:r>
          </w:p>
        </w:tc>
        <w:tc>
          <w:tcPr>
            <w:tcW w:w="10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10.23%</w:t>
            </w:r>
          </w:p>
        </w:tc>
      </w:tr>
      <w:tr>
        <w:trPr>
          <w:trHeight w:val="407"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电力设备行业</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16,537,706.47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3.46%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9,668,031.82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4.17%</w:t>
            </w:r>
          </w:p>
        </w:tc>
        <w:tc>
          <w:tcPr>
            <w:tcW w:w="10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-0.71%</w:t>
            </w:r>
          </w:p>
        </w:tc>
      </w:tr>
      <w:tr>
        <w:trPr>
          <w:trHeight w:val="407"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电力设备行业</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25,674,029.63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5.37%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19,836,645.98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8.56%</w:t>
            </w:r>
          </w:p>
        </w:tc>
        <w:tc>
          <w:tcPr>
            <w:tcW w:w="10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-3.18%</w:t>
            </w:r>
          </w:p>
        </w:tc>
      </w:tr>
      <w:tr>
        <w:trPr>
          <w:trHeight w:val="415" w:hRule="exact"/>
        </w:trPr>
        <w:tc>
          <w:tcPr>
            <w:tcW w:w="127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电力设备行业</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自制商品成本合计</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419,197,459.57</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87.73%</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188,698,352.53</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81.39%</w:t>
            </w:r>
          </w:p>
        </w:tc>
        <w:tc>
          <w:tcPr>
            <w:tcW w:w="10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6.34%</w:t>
            </w:r>
          </w:p>
        </w:tc>
      </w:tr>
    </w:tbl>
    <w:p>
      <w:pPr>
        <w:pStyle w:val="BodyText"/>
        <w:spacing w:line="240" w:lineRule="auto" w:before="63"/>
        <w:ind w:left="1134" w:right="0"/>
        <w:jc w:val="left"/>
      </w:pPr>
      <w:r>
        <w:rPr/>
        <w:t>说明</w:t>
      </w:r>
    </w:p>
    <w:p>
      <w:pPr>
        <w:spacing w:line="240" w:lineRule="auto" w:before="10"/>
        <w:rPr>
          <w:rFonts w:ascii="宋体" w:hAnsi="宋体" w:cs="宋体" w:eastAsia="宋体" w:hint="default"/>
          <w:sz w:val="14"/>
          <w:szCs w:val="14"/>
        </w:rPr>
      </w:pPr>
    </w:p>
    <w:p>
      <w:pPr>
        <w:pStyle w:val="BodyText"/>
        <w:spacing w:line="408" w:lineRule="auto"/>
        <w:ind w:right="1130" w:firstLine="420"/>
        <w:jc w:val="both"/>
      </w:pPr>
      <w:r>
        <w:rPr>
          <w:spacing w:val="-1"/>
        </w:rPr>
        <w:t>报告期内，公司营业成本构成项目中的原材料比重较上年同期存在较大浮动，主要为本期新增合并子</w:t>
      </w:r>
      <w:r>
        <w:rPr/>
        <w:t> 公司索瑞电气的营业成本构成，导致生产产品不同。</w:t>
      </w:r>
    </w:p>
    <w:p>
      <w:pPr>
        <w:spacing w:before="55"/>
        <w:ind w:left="1134" w:right="0" w:firstLine="0"/>
        <w:jc w:val="left"/>
        <w:rPr>
          <w:rFonts w:ascii="宋体" w:hAnsi="宋体" w:cs="宋体" w:eastAsia="宋体" w:hint="default"/>
          <w:sz w:val="20"/>
          <w:szCs w:val="20"/>
        </w:rPr>
      </w:pPr>
      <w:bookmarkStart w:name="（6）报告期内合并范围是否发生变动" w:id="33"/>
      <w:bookmarkEnd w:id="33"/>
      <w:r>
        <w:rPr/>
      </w:r>
      <w:r>
        <w:rPr>
          <w:rFonts w:ascii="宋体" w:hAnsi="宋体" w:cs="宋体" w:eastAsia="宋体" w:hint="default"/>
          <w:b/>
          <w:bCs/>
          <w:sz w:val="20"/>
          <w:szCs w:val="20"/>
        </w:rPr>
        <w:t>（</w:t>
      </w:r>
      <w:r>
        <w:rPr>
          <w:rFonts w:ascii="宋体" w:hAnsi="宋体" w:cs="宋体" w:eastAsia="宋体" w:hint="default"/>
          <w:b/>
          <w:bCs/>
          <w:sz w:val="20"/>
          <w:szCs w:val="20"/>
        </w:rPr>
        <w:t>6</w:t>
      </w:r>
      <w:r>
        <w:rPr>
          <w:rFonts w:ascii="宋体" w:hAnsi="宋体" w:cs="宋体" w:eastAsia="宋体" w:hint="default"/>
          <w:b/>
          <w:bCs/>
          <w:sz w:val="20"/>
          <w:szCs w:val="20"/>
        </w:rPr>
        <w:t>）报告期内合并范围是否发生变动</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是 □ 否</w:t>
      </w:r>
    </w:p>
    <w:p>
      <w:pPr>
        <w:spacing w:line="240" w:lineRule="auto" w:before="10"/>
        <w:rPr>
          <w:rFonts w:ascii="宋体" w:hAnsi="宋体" w:cs="宋体" w:eastAsia="宋体" w:hint="default"/>
          <w:sz w:val="14"/>
          <w:szCs w:val="14"/>
        </w:rPr>
      </w:pPr>
    </w:p>
    <w:p>
      <w:pPr>
        <w:pStyle w:val="BodyText"/>
        <w:spacing w:line="408" w:lineRule="auto"/>
        <w:ind w:right="1130" w:firstLine="423"/>
        <w:jc w:val="both"/>
      </w:pPr>
      <w:r>
        <w:rPr>
          <w:spacing w:val="-1"/>
        </w:rPr>
        <w:t>①</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24</w:t>
      </w:r>
      <w:r>
        <w:rPr>
          <w:spacing w:val="-1"/>
        </w:rPr>
        <w:t>日，经中国证券监督管理委员会《关于核准光一科技股份有限公司向任昌兆等发行股</w:t>
      </w:r>
      <w:r>
        <w:rPr/>
        <w:t> </w:t>
      </w:r>
      <w:r>
        <w:rPr>
          <w:spacing w:val="-1"/>
        </w:rPr>
        <w:t>份购买资产的批复》（证监许可</w:t>
      </w:r>
      <w:r>
        <w:rPr>
          <w:rFonts w:ascii="宋体" w:hAnsi="宋体" w:cs="宋体" w:eastAsia="宋体" w:hint="default"/>
          <w:spacing w:val="-1"/>
        </w:rPr>
        <w:t>[2014]1399</w:t>
      </w:r>
      <w:r>
        <w:rPr>
          <w:spacing w:val="-1"/>
        </w:rPr>
        <w:t>号）核准，公司以发行股份及支付现金购买资产的方式对索瑞</w:t>
      </w:r>
      <w:r>
        <w:rPr>
          <w:spacing w:val="-79"/>
        </w:rPr>
        <w:t> </w:t>
      </w:r>
      <w:r>
        <w:rPr>
          <w:spacing w:val="-79"/>
        </w:rPr>
      </w:r>
      <w:r>
        <w:rPr>
          <w:spacing w:val="-1"/>
        </w:rPr>
        <w:t>电气进行重大资产重组，索瑞电气于</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26</w:t>
      </w:r>
      <w:r>
        <w:rPr>
          <w:spacing w:val="-1"/>
        </w:rPr>
        <w:t>日完成工商变更，其资产负债表于</w:t>
      </w:r>
      <w:r>
        <w:rPr>
          <w:rFonts w:ascii="宋体" w:hAnsi="宋体" w:cs="宋体" w:eastAsia="宋体" w:hint="default"/>
          <w:spacing w:val="-1"/>
        </w:rPr>
        <w:t>2014</w:t>
      </w:r>
      <w:r>
        <w:rPr>
          <w:spacing w:val="-1"/>
        </w:rPr>
        <w:t>年期末纳入合并</w:t>
      </w:r>
      <w:r>
        <w:rPr>
          <w:spacing w:val="-80"/>
        </w:rPr>
        <w:t> </w:t>
      </w:r>
      <w:r>
        <w:rPr>
          <w:spacing w:val="-80"/>
        </w:rPr>
      </w:r>
      <w:r>
        <w:rPr/>
        <w:t>范围，其利润表和现金流量表于本报告期初纳入合并范围。</w:t>
      </w:r>
    </w:p>
    <w:p>
      <w:pPr>
        <w:pStyle w:val="BodyText"/>
        <w:spacing w:line="408" w:lineRule="auto" w:before="46"/>
        <w:ind w:right="1132" w:firstLine="423"/>
        <w:jc w:val="both"/>
      </w:pPr>
      <w:r>
        <w:rPr/>
        <w:t>②</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16</w:t>
      </w:r>
      <w:r>
        <w:rPr/>
        <w:t>日，公司披露了《关于投资设立全资子公司的公告》（公告编号：</w:t>
      </w:r>
      <w:r>
        <w:rPr>
          <w:rFonts w:ascii="宋体" w:hAnsi="宋体" w:cs="宋体" w:eastAsia="宋体" w:hint="default"/>
        </w:rPr>
        <w:t>2015-002</w:t>
      </w:r>
      <w:r>
        <w:rPr/>
        <w:t>），公司 以现金方式出资</w:t>
      </w:r>
      <w:r>
        <w:rPr>
          <w:rFonts w:ascii="宋体" w:hAnsi="宋体" w:cs="宋体" w:eastAsia="宋体" w:hint="default"/>
        </w:rPr>
        <w:t>1,000</w:t>
      </w:r>
      <w:r>
        <w:rPr/>
        <w:t>万元设立全资子公司江苏光一贵仁股权投资基金管理有限公司并已完成工商注册，</w:t>
      </w:r>
      <w:r>
        <w:rPr>
          <w:spacing w:val="-35"/>
        </w:rPr>
        <w:t> </w:t>
      </w:r>
      <w:r>
        <w:rPr>
          <w:spacing w:val="-35"/>
        </w:rPr>
      </w:r>
      <w:r>
        <w:rPr/>
        <w:t>光一贵仁于本报告期初纳入合并范围。</w:t>
      </w:r>
    </w:p>
    <w:p>
      <w:pPr>
        <w:pStyle w:val="BodyText"/>
        <w:spacing w:line="408" w:lineRule="auto" w:before="46"/>
        <w:ind w:right="1130" w:firstLine="420"/>
        <w:jc w:val="both"/>
      </w:pPr>
      <w:r>
        <w:rPr/>
        <w:t>③</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19</w:t>
      </w:r>
      <w:r>
        <w:rPr/>
        <w:t>日，公司披露了《关于收购资产的公告》（公告编号：</w:t>
      </w:r>
      <w:r>
        <w:rPr>
          <w:rFonts w:ascii="宋体" w:hAnsi="宋体" w:cs="宋体" w:eastAsia="宋体" w:hint="default"/>
        </w:rPr>
        <w:t>2015-039</w:t>
      </w:r>
      <w:r>
        <w:rPr/>
        <w:t>号），公司以自有资 金通过受让股权的方式分别以现金</w:t>
      </w:r>
      <w:r>
        <w:rPr>
          <w:rFonts w:ascii="宋体" w:hAnsi="宋体" w:cs="宋体" w:eastAsia="宋体" w:hint="default"/>
        </w:rPr>
        <w:t>700</w:t>
      </w:r>
      <w:r>
        <w:rPr/>
        <w:t>万元人民币收购德能工程</w:t>
      </w:r>
      <w:r>
        <w:rPr>
          <w:rFonts w:ascii="宋体" w:hAnsi="宋体" w:cs="宋体" w:eastAsia="宋体" w:hint="default"/>
        </w:rPr>
        <w:t>100%</w:t>
      </w:r>
      <w:r>
        <w:rPr/>
        <w:t>股权、以现金</w:t>
      </w:r>
      <w:r>
        <w:rPr>
          <w:rFonts w:ascii="宋体" w:hAnsi="宋体" w:cs="宋体" w:eastAsia="宋体" w:hint="default"/>
        </w:rPr>
        <w:t>2900</w:t>
      </w:r>
      <w:r>
        <w:rPr/>
        <w:t>万元人民币收购德</w:t>
      </w:r>
      <w:r>
        <w:rPr>
          <w:spacing w:val="-27"/>
        </w:rPr>
        <w:t> </w:t>
      </w:r>
      <w:r>
        <w:rPr>
          <w:spacing w:val="-27"/>
        </w:rPr>
      </w:r>
      <w:r>
        <w:rPr>
          <w:spacing w:val="-1"/>
        </w:rPr>
        <w:t>能设计</w:t>
      </w:r>
      <w:r>
        <w:rPr>
          <w:rFonts w:ascii="宋体" w:hAnsi="宋体" w:cs="宋体" w:eastAsia="宋体" w:hint="default"/>
          <w:spacing w:val="-1"/>
        </w:rPr>
        <w:t>100%</w:t>
      </w:r>
      <w:r>
        <w:rPr>
          <w:spacing w:val="-1"/>
        </w:rPr>
        <w:t>股权。德能工程和德能设计均已完成工商变更。根据会计准则的相关规定，德能工程于</w:t>
      </w:r>
      <w:r>
        <w:rPr>
          <w:rFonts w:ascii="宋体" w:hAnsi="宋体" w:cs="宋体" w:eastAsia="宋体" w:hint="default"/>
          <w:spacing w:val="-1"/>
        </w:rPr>
        <w:t>2015</w:t>
      </w:r>
      <w:r>
        <w:rPr>
          <w:spacing w:val="-1"/>
        </w:rPr>
        <w:t>年</w:t>
      </w:r>
      <w:r>
        <w:rPr>
          <w:spacing w:val="-79"/>
        </w:rPr>
        <w:t> </w:t>
      </w:r>
      <w:r>
        <w:rPr>
          <w:rFonts w:ascii="宋体" w:hAnsi="宋体" w:cs="宋体" w:eastAsia="宋体" w:hint="default"/>
        </w:rPr>
        <w:t>8</w:t>
      </w:r>
      <w:r>
        <w:rPr/>
        <w:t>月</w:t>
      </w:r>
      <w:r>
        <w:rPr>
          <w:rFonts w:ascii="宋体" w:hAnsi="宋体" w:cs="宋体" w:eastAsia="宋体" w:hint="default"/>
        </w:rPr>
        <w:t>1</w:t>
      </w:r>
      <w:r>
        <w:rPr/>
        <w:t>日、德能设计于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w:t>
      </w:r>
      <w:r>
        <w:rPr/>
        <w:t>日其财务报表纳入合并范围。</w:t>
      </w:r>
    </w:p>
    <w:p>
      <w:pPr>
        <w:spacing w:before="55"/>
        <w:ind w:left="1133" w:right="0" w:firstLine="0"/>
        <w:jc w:val="left"/>
        <w:rPr>
          <w:rFonts w:ascii="宋体" w:hAnsi="宋体" w:cs="宋体" w:eastAsia="宋体" w:hint="default"/>
          <w:sz w:val="20"/>
          <w:szCs w:val="20"/>
        </w:rPr>
      </w:pPr>
      <w:bookmarkStart w:name="（7）公司报告期内业务、产品或服务发生重大变化或调整有关情况" w:id="34"/>
      <w:bookmarkEnd w:id="34"/>
      <w:r>
        <w:rPr/>
      </w:r>
      <w:r>
        <w:rPr>
          <w:rFonts w:ascii="宋体" w:hAnsi="宋体" w:cs="宋体" w:eastAsia="宋体" w:hint="default"/>
          <w:b/>
          <w:bCs/>
          <w:sz w:val="20"/>
          <w:szCs w:val="20"/>
        </w:rPr>
        <w:t>（</w:t>
      </w:r>
      <w:r>
        <w:rPr>
          <w:rFonts w:ascii="宋体" w:hAnsi="宋体" w:cs="宋体" w:eastAsia="宋体" w:hint="default"/>
          <w:b/>
          <w:bCs/>
          <w:sz w:val="20"/>
          <w:szCs w:val="20"/>
        </w:rPr>
        <w:t>7</w:t>
      </w:r>
      <w:r>
        <w:rPr>
          <w:rFonts w:ascii="宋体" w:hAnsi="宋体" w:cs="宋体" w:eastAsia="宋体" w:hint="default"/>
          <w:b/>
          <w:bCs/>
          <w:sz w:val="20"/>
          <w:szCs w:val="20"/>
        </w:rPr>
        <w:t>）公司报告期内业务、产品或服务发生重大变化或调整有关情况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554" w:right="0" w:hanging="420"/>
        <w:jc w:val="left"/>
      </w:pPr>
      <w:r>
        <w:rPr/>
        <w:t>√ 适用 □</w:t>
      </w:r>
      <w:r>
        <w:rPr>
          <w:spacing w:val="-1"/>
        </w:rPr>
        <w:t> </w:t>
      </w:r>
      <w:r>
        <w:rPr/>
        <w:t>不适用</w:t>
      </w:r>
      <w:r>
        <w:rPr/>
        <w:t> </w:t>
      </w:r>
      <w:r>
        <w:rPr>
          <w:spacing w:val="-1"/>
        </w:rPr>
        <w:t>报告期内公司主营业务产品结构发生变化，主要是新增合并单位索瑞电气的销售产品，在本期销售占</w:t>
      </w:r>
    </w:p>
    <w:p>
      <w:pPr>
        <w:pStyle w:val="BodyText"/>
        <w:spacing w:line="240" w:lineRule="auto" w:before="46"/>
        <w:ind w:left="1134" w:right="0"/>
        <w:jc w:val="left"/>
      </w:pPr>
      <w:r>
        <w:rPr/>
        <w:t>比</w:t>
      </w:r>
      <w:r>
        <w:rPr>
          <w:rFonts w:ascii="宋体" w:hAnsi="宋体" w:cs="宋体" w:eastAsia="宋体" w:hint="default"/>
        </w:rPr>
        <w:t>10%</w:t>
      </w:r>
      <w:r>
        <w:rPr/>
        <w:t>以上产品中新增了合并单位索瑞电气的电能计量表箱和高低压成套产品。</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8）主要销售客户和主要供应商情况" w:id="35"/>
      <w:bookmarkEnd w:id="35"/>
      <w:r>
        <w:rPr/>
      </w:r>
      <w:r>
        <w:rPr>
          <w:rFonts w:ascii="宋体" w:hAnsi="宋体" w:cs="宋体" w:eastAsia="宋体" w:hint="default"/>
          <w:b/>
          <w:bCs/>
          <w:sz w:val="20"/>
          <w:szCs w:val="20"/>
        </w:rPr>
        <w:t>（</w:t>
      </w:r>
      <w:r>
        <w:rPr>
          <w:rFonts w:ascii="宋体" w:hAnsi="宋体" w:cs="宋体" w:eastAsia="宋体" w:hint="default"/>
          <w:b/>
          <w:bCs/>
          <w:sz w:val="20"/>
          <w:szCs w:val="20"/>
        </w:rPr>
        <w:t>8</w:t>
      </w:r>
      <w:r>
        <w:rPr>
          <w:rFonts w:ascii="宋体" w:hAnsi="宋体" w:cs="宋体" w:eastAsia="宋体" w:hint="default"/>
          <w:b/>
          <w:bCs/>
          <w:sz w:val="20"/>
          <w:szCs w:val="20"/>
        </w:rPr>
        <w:t>）主要销售客户和主要供应商情况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公司主要销售客户情况</w:t>
      </w:r>
    </w:p>
    <w:p>
      <w:pPr>
        <w:spacing w:line="240" w:lineRule="auto" w:before="9"/>
        <w:rPr>
          <w:rFonts w:ascii="宋体" w:hAnsi="宋体" w:cs="宋体" w:eastAsia="宋体" w:hint="default"/>
          <w:sz w:val="16"/>
          <w:szCs w:val="16"/>
        </w:rPr>
      </w:pPr>
    </w:p>
    <w:p>
      <w:pPr>
        <w:spacing w:before="0"/>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118" w:type="dxa"/>
        <w:tblLayout w:type="fixed"/>
        <w:tblCellMar>
          <w:top w:w="0" w:type="dxa"/>
          <w:left w:w="0" w:type="dxa"/>
          <w:bottom w:w="0" w:type="dxa"/>
          <w:right w:w="0" w:type="dxa"/>
        </w:tblCellMar>
        <w:tblLook w:val="01E0"/>
      </w:tblPr>
      <w:tblGrid>
        <w:gridCol w:w="4113"/>
        <w:gridCol w:w="5456"/>
      </w:tblGrid>
      <w:tr>
        <w:trPr>
          <w:trHeight w:val="422" w:hRule="exact"/>
        </w:trPr>
        <w:tc>
          <w:tcPr>
            <w:tcW w:w="4113"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w:t>
            </w:r>
          </w:p>
        </w:tc>
        <w:tc>
          <w:tcPr>
            <w:tcW w:w="545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247,757,530.65</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4113"/>
        <w:gridCol w:w="5456"/>
      </w:tblGrid>
      <w:tr>
        <w:trPr>
          <w:trHeight w:val="422" w:hRule="exact"/>
        </w:trPr>
        <w:tc>
          <w:tcPr>
            <w:tcW w:w="4113"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45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35.01%</w:t>
            </w:r>
          </w:p>
        </w:tc>
      </w:tr>
    </w:tbl>
    <w:p>
      <w:pPr>
        <w:spacing w:line="240" w:lineRule="auto" w:before="1"/>
        <w:rPr>
          <w:rFonts w:ascii="宋体" w:hAnsi="宋体" w:cs="宋体" w:eastAsia="宋体" w:hint="default"/>
          <w:sz w:val="14"/>
          <w:szCs w:val="14"/>
        </w:rPr>
      </w:pPr>
    </w:p>
    <w:p>
      <w:pPr>
        <w:pStyle w:val="BodyText"/>
        <w:spacing w:line="240" w:lineRule="auto" w:before="35"/>
        <w:ind w:left="1134" w:right="0"/>
        <w:jc w:val="left"/>
      </w:pPr>
      <w:r>
        <w:rPr/>
        <w:t>公司前</w:t>
      </w:r>
      <w:r>
        <w:rPr>
          <w:spacing w:val="-53"/>
        </w:rPr>
        <w:t> </w:t>
      </w:r>
      <w:r>
        <w:rPr>
          <w:rFonts w:ascii="宋体" w:hAnsi="宋体" w:cs="宋体" w:eastAsia="宋体" w:hint="default"/>
        </w:rPr>
        <w:t>5</w:t>
      </w:r>
      <w:r>
        <w:rPr>
          <w:rFonts w:ascii="宋体" w:hAnsi="宋体" w:cs="宋体" w:eastAsia="宋体" w:hint="default"/>
          <w:spacing w:val="-53"/>
        </w:rPr>
        <w:t> </w:t>
      </w:r>
      <w:r>
        <w:rPr/>
        <w:t>大客户资料</w:t>
      </w:r>
    </w:p>
    <w:p>
      <w:pPr>
        <w:spacing w:before="140"/>
        <w:ind w:left="0" w:right="122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5"/>
          <w:szCs w:val="5"/>
        </w:rPr>
      </w:pPr>
    </w:p>
    <w:tbl>
      <w:tblPr>
        <w:tblW w:w="0" w:type="auto"/>
        <w:jc w:val="left"/>
        <w:tblInd w:w="1118" w:type="dxa"/>
        <w:tblLayout w:type="fixed"/>
        <w:tblCellMar>
          <w:top w:w="0" w:type="dxa"/>
          <w:left w:w="0" w:type="dxa"/>
          <w:bottom w:w="0" w:type="dxa"/>
          <w:right w:w="0" w:type="dxa"/>
        </w:tblCellMar>
        <w:tblLook w:val="01E0"/>
      </w:tblPr>
      <w:tblGrid>
        <w:gridCol w:w="792"/>
        <w:gridCol w:w="3312"/>
        <w:gridCol w:w="2732"/>
        <w:gridCol w:w="2732"/>
      </w:tblGrid>
      <w:tr>
        <w:trPr>
          <w:trHeight w:val="413" w:hRule="exact"/>
        </w:trPr>
        <w:tc>
          <w:tcPr>
            <w:tcW w:w="79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73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销售额</w:t>
            </w:r>
          </w:p>
        </w:tc>
        <w:tc>
          <w:tcPr>
            <w:tcW w:w="273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7" w:hRule="exact"/>
        </w:trPr>
        <w:tc>
          <w:tcPr>
            <w:tcW w:w="79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1</w:t>
            </w:r>
          </w:p>
        </w:tc>
        <w:tc>
          <w:tcPr>
            <w:tcW w:w="331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75,962,654.09</w:t>
            </w:r>
          </w:p>
        </w:tc>
        <w:tc>
          <w:tcPr>
            <w:tcW w:w="2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10.73%</w:t>
            </w:r>
          </w:p>
        </w:tc>
      </w:tr>
      <w:tr>
        <w:trPr>
          <w:trHeight w:val="408" w:hRule="exact"/>
        </w:trPr>
        <w:tc>
          <w:tcPr>
            <w:tcW w:w="79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2</w:t>
            </w:r>
          </w:p>
        </w:tc>
        <w:tc>
          <w:tcPr>
            <w:tcW w:w="331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62,744,741.92</w:t>
            </w:r>
          </w:p>
        </w:tc>
        <w:tc>
          <w:tcPr>
            <w:tcW w:w="2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8.87%</w:t>
            </w:r>
          </w:p>
        </w:tc>
      </w:tr>
      <w:tr>
        <w:trPr>
          <w:trHeight w:val="407" w:hRule="exact"/>
        </w:trPr>
        <w:tc>
          <w:tcPr>
            <w:tcW w:w="79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3</w:t>
            </w:r>
          </w:p>
        </w:tc>
        <w:tc>
          <w:tcPr>
            <w:tcW w:w="331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57,219,876.86</w:t>
            </w:r>
          </w:p>
        </w:tc>
        <w:tc>
          <w:tcPr>
            <w:tcW w:w="2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8.09%</w:t>
            </w:r>
          </w:p>
        </w:tc>
      </w:tr>
      <w:tr>
        <w:trPr>
          <w:trHeight w:val="407" w:hRule="exact"/>
        </w:trPr>
        <w:tc>
          <w:tcPr>
            <w:tcW w:w="79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4</w:t>
            </w:r>
          </w:p>
        </w:tc>
        <w:tc>
          <w:tcPr>
            <w:tcW w:w="331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28,389,398.31</w:t>
            </w:r>
          </w:p>
        </w:tc>
        <w:tc>
          <w:tcPr>
            <w:tcW w:w="2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4.01%</w:t>
            </w:r>
          </w:p>
        </w:tc>
      </w:tr>
      <w:tr>
        <w:trPr>
          <w:trHeight w:val="407" w:hRule="exact"/>
        </w:trPr>
        <w:tc>
          <w:tcPr>
            <w:tcW w:w="79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5</w:t>
            </w:r>
          </w:p>
        </w:tc>
        <w:tc>
          <w:tcPr>
            <w:tcW w:w="331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23,440,859.47</w:t>
            </w:r>
          </w:p>
        </w:tc>
        <w:tc>
          <w:tcPr>
            <w:tcW w:w="2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3.31%</w:t>
            </w:r>
          </w:p>
        </w:tc>
      </w:tr>
      <w:tr>
        <w:trPr>
          <w:trHeight w:val="414" w:hRule="exact"/>
        </w:trPr>
        <w:tc>
          <w:tcPr>
            <w:tcW w:w="79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sz w:val="18"/>
              </w:rPr>
              <w:t>--</w:t>
            </w:r>
          </w:p>
        </w:tc>
        <w:tc>
          <w:tcPr>
            <w:tcW w:w="27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247,757,530.65</w:t>
            </w:r>
          </w:p>
        </w:tc>
        <w:tc>
          <w:tcPr>
            <w:tcW w:w="27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35.01%</w:t>
            </w:r>
          </w:p>
        </w:tc>
      </w:tr>
    </w:tbl>
    <w:p>
      <w:pPr>
        <w:pStyle w:val="BodyText"/>
        <w:spacing w:line="240" w:lineRule="auto" w:before="63"/>
        <w:ind w:left="1134" w:right="0"/>
        <w:jc w:val="left"/>
      </w:pPr>
      <w:r>
        <w:rPr/>
        <w:t>公司主要供应商情况</w:t>
      </w:r>
    </w:p>
    <w:p>
      <w:pPr>
        <w:spacing w:before="140"/>
        <w:ind w:left="0" w:right="122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118" w:type="dxa"/>
        <w:tblLayout w:type="fixed"/>
        <w:tblCellMar>
          <w:top w:w="0" w:type="dxa"/>
          <w:left w:w="0" w:type="dxa"/>
          <w:bottom w:w="0" w:type="dxa"/>
          <w:right w:w="0" w:type="dxa"/>
        </w:tblCellMar>
        <w:tblLook w:val="01E0"/>
      </w:tblPr>
      <w:tblGrid>
        <w:gridCol w:w="4113"/>
        <w:gridCol w:w="5456"/>
      </w:tblGrid>
      <w:tr>
        <w:trPr>
          <w:trHeight w:val="415" w:hRule="exact"/>
        </w:trPr>
        <w:tc>
          <w:tcPr>
            <w:tcW w:w="41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w:t>
            </w:r>
          </w:p>
        </w:tc>
        <w:tc>
          <w:tcPr>
            <w:tcW w:w="545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168,720,916.05</w:t>
            </w:r>
          </w:p>
        </w:tc>
      </w:tr>
      <w:tr>
        <w:trPr>
          <w:trHeight w:val="414" w:hRule="exact"/>
        </w:trPr>
        <w:tc>
          <w:tcPr>
            <w:tcW w:w="41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45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35.43%</w:t>
            </w:r>
          </w:p>
        </w:tc>
      </w:tr>
    </w:tbl>
    <w:p>
      <w:pPr>
        <w:pStyle w:val="BodyText"/>
        <w:spacing w:line="240" w:lineRule="auto" w:before="63"/>
        <w:ind w:left="1134" w:right="0"/>
        <w:jc w:val="left"/>
      </w:pPr>
      <w:r>
        <w:rPr/>
        <w:t>公司前</w:t>
      </w:r>
      <w:r>
        <w:rPr>
          <w:spacing w:val="-53"/>
        </w:rPr>
        <w:t> </w:t>
      </w:r>
      <w:r>
        <w:rPr>
          <w:rFonts w:ascii="宋体" w:hAnsi="宋体" w:cs="宋体" w:eastAsia="宋体" w:hint="default"/>
        </w:rPr>
        <w:t>5</w:t>
      </w:r>
      <w:r>
        <w:rPr>
          <w:rFonts w:ascii="宋体" w:hAnsi="宋体" w:cs="宋体" w:eastAsia="宋体" w:hint="default"/>
          <w:spacing w:val="-53"/>
        </w:rPr>
        <w:t> </w:t>
      </w:r>
      <w:r>
        <w:rPr/>
        <w:t>名供应商资料</w:t>
      </w:r>
    </w:p>
    <w:p>
      <w:pPr>
        <w:spacing w:line="240" w:lineRule="auto" w:before="4"/>
        <w:rPr>
          <w:rFonts w:ascii="宋体" w:hAnsi="宋体" w:cs="宋体" w:eastAsia="宋体" w:hint="default"/>
          <w:sz w:val="13"/>
          <w:szCs w:val="1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118" w:type="dxa"/>
        <w:tblLayout w:type="fixed"/>
        <w:tblCellMar>
          <w:top w:w="0" w:type="dxa"/>
          <w:left w:w="0" w:type="dxa"/>
          <w:bottom w:w="0" w:type="dxa"/>
          <w:right w:w="0" w:type="dxa"/>
        </w:tblCellMar>
        <w:tblLook w:val="01E0"/>
      </w:tblPr>
      <w:tblGrid>
        <w:gridCol w:w="926"/>
        <w:gridCol w:w="3179"/>
        <w:gridCol w:w="2732"/>
        <w:gridCol w:w="2732"/>
      </w:tblGrid>
      <w:tr>
        <w:trPr>
          <w:trHeight w:val="415" w:hRule="exact"/>
        </w:trPr>
        <w:tc>
          <w:tcPr>
            <w:tcW w:w="92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7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73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采购额</w:t>
            </w:r>
          </w:p>
        </w:tc>
        <w:tc>
          <w:tcPr>
            <w:tcW w:w="273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7" w:hRule="exact"/>
        </w:trPr>
        <w:tc>
          <w:tcPr>
            <w:tcW w:w="9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1</w:t>
            </w:r>
          </w:p>
        </w:tc>
        <w:tc>
          <w:tcPr>
            <w:tcW w:w="317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76,983,385.90</w:t>
            </w:r>
          </w:p>
        </w:tc>
        <w:tc>
          <w:tcPr>
            <w:tcW w:w="2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16.16%</w:t>
            </w:r>
          </w:p>
        </w:tc>
      </w:tr>
      <w:tr>
        <w:trPr>
          <w:trHeight w:val="407" w:hRule="exact"/>
        </w:trPr>
        <w:tc>
          <w:tcPr>
            <w:tcW w:w="9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2</w:t>
            </w:r>
          </w:p>
        </w:tc>
        <w:tc>
          <w:tcPr>
            <w:tcW w:w="317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供应商二</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26,202,729.86</w:t>
            </w:r>
          </w:p>
        </w:tc>
        <w:tc>
          <w:tcPr>
            <w:tcW w:w="2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5.50%</w:t>
            </w:r>
          </w:p>
        </w:tc>
      </w:tr>
      <w:tr>
        <w:trPr>
          <w:trHeight w:val="407" w:hRule="exact"/>
        </w:trPr>
        <w:tc>
          <w:tcPr>
            <w:tcW w:w="9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3</w:t>
            </w:r>
          </w:p>
        </w:tc>
        <w:tc>
          <w:tcPr>
            <w:tcW w:w="317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供应商三</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22,112,201.77</w:t>
            </w:r>
          </w:p>
        </w:tc>
        <w:tc>
          <w:tcPr>
            <w:tcW w:w="2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4.64%</w:t>
            </w:r>
          </w:p>
        </w:tc>
      </w:tr>
      <w:tr>
        <w:trPr>
          <w:trHeight w:val="407" w:hRule="exact"/>
        </w:trPr>
        <w:tc>
          <w:tcPr>
            <w:tcW w:w="9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4</w:t>
            </w:r>
          </w:p>
        </w:tc>
        <w:tc>
          <w:tcPr>
            <w:tcW w:w="317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供应商四</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21,842,673.65</w:t>
            </w:r>
          </w:p>
        </w:tc>
        <w:tc>
          <w:tcPr>
            <w:tcW w:w="2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4.59%</w:t>
            </w:r>
          </w:p>
        </w:tc>
      </w:tr>
      <w:tr>
        <w:trPr>
          <w:trHeight w:val="409" w:hRule="exact"/>
        </w:trPr>
        <w:tc>
          <w:tcPr>
            <w:tcW w:w="9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5</w:t>
            </w:r>
          </w:p>
        </w:tc>
        <w:tc>
          <w:tcPr>
            <w:tcW w:w="317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供应商五</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21,579,924.87</w:t>
            </w:r>
          </w:p>
        </w:tc>
        <w:tc>
          <w:tcPr>
            <w:tcW w:w="2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4.53%</w:t>
            </w:r>
          </w:p>
        </w:tc>
      </w:tr>
      <w:tr>
        <w:trPr>
          <w:trHeight w:val="414" w:hRule="exact"/>
        </w:trPr>
        <w:tc>
          <w:tcPr>
            <w:tcW w:w="92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sz w:val="18"/>
              </w:rPr>
              <w:t>--</w:t>
            </w:r>
          </w:p>
        </w:tc>
        <w:tc>
          <w:tcPr>
            <w:tcW w:w="27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168,720,916.05</w:t>
            </w:r>
          </w:p>
        </w:tc>
        <w:tc>
          <w:tcPr>
            <w:tcW w:w="27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35.43%</w:t>
            </w:r>
          </w:p>
        </w:tc>
      </w:tr>
    </w:tbl>
    <w:p>
      <w:pPr>
        <w:spacing w:before="72"/>
        <w:ind w:left="1134" w:right="0" w:firstLine="0"/>
        <w:jc w:val="left"/>
        <w:rPr>
          <w:rFonts w:ascii="宋体" w:hAnsi="宋体" w:cs="宋体" w:eastAsia="宋体" w:hint="default"/>
          <w:sz w:val="20"/>
          <w:szCs w:val="20"/>
        </w:rPr>
      </w:pPr>
      <w:bookmarkStart w:name="3、费用" w:id="36"/>
      <w:bookmarkEnd w:id="36"/>
      <w:r>
        <w:rPr/>
      </w:r>
      <w:r>
        <w:rPr>
          <w:rFonts w:ascii="宋体" w:hAnsi="宋体" w:cs="宋体" w:eastAsia="宋体" w:hint="default"/>
          <w:b/>
          <w:bCs/>
          <w:sz w:val="20"/>
          <w:szCs w:val="20"/>
        </w:rPr>
        <w:t>3</w:t>
      </w:r>
      <w:r>
        <w:rPr>
          <w:rFonts w:ascii="宋体" w:hAnsi="宋体" w:cs="宋体" w:eastAsia="宋体" w:hint="default"/>
          <w:b/>
          <w:bCs/>
          <w:sz w:val="20"/>
          <w:szCs w:val="20"/>
        </w:rPr>
        <w:t>、费用</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1910"/>
        <w:gridCol w:w="1628"/>
        <w:gridCol w:w="1631"/>
        <w:gridCol w:w="1630"/>
        <w:gridCol w:w="2763"/>
      </w:tblGrid>
      <w:tr>
        <w:trPr>
          <w:trHeight w:val="415" w:hRule="exact"/>
        </w:trPr>
        <w:tc>
          <w:tcPr>
            <w:tcW w:w="1910"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62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1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1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76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3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7" w:hRule="exact"/>
        </w:trPr>
        <w:tc>
          <w:tcPr>
            <w:tcW w:w="191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589"/>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6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31,685,563.03</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17,065,773.48</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85.67%</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主要为合并范围增加所致</w:t>
            </w:r>
          </w:p>
        </w:tc>
      </w:tr>
      <w:tr>
        <w:trPr>
          <w:trHeight w:val="407" w:hRule="exact"/>
        </w:trPr>
        <w:tc>
          <w:tcPr>
            <w:tcW w:w="191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589"/>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6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93,800,764.70</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62,180,881.17</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50.85%</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主要为合并范围增加所致</w:t>
            </w:r>
          </w:p>
        </w:tc>
      </w:tr>
      <w:tr>
        <w:trPr>
          <w:trHeight w:val="320" w:hRule="exact"/>
        </w:trPr>
        <w:tc>
          <w:tcPr>
            <w:tcW w:w="1910" w:type="dxa"/>
            <w:tcBorders>
              <w:top w:val="single" w:sz="6" w:space="0" w:color="000000"/>
              <w:left w:val="single" w:sz="12" w:space="0" w:color="000000"/>
              <w:bottom w:val="nil" w:sz="6" w:space="0" w:color="auto"/>
              <w:right w:val="single" w:sz="6" w:space="0" w:color="000000"/>
            </w:tcBorders>
            <w:shd w:val="clear" w:color="auto" w:fill="D2D2D2"/>
          </w:tcPr>
          <w:p>
            <w:pPr/>
          </w:p>
        </w:tc>
        <w:tc>
          <w:tcPr>
            <w:tcW w:w="1628" w:type="dxa"/>
            <w:vMerge w:val="restart"/>
            <w:tcBorders>
              <w:top w:val="single" w:sz="6" w:space="0" w:color="000000"/>
              <w:left w:val="single" w:sz="9"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09" w:right="0"/>
              <w:jc w:val="left"/>
              <w:rPr>
                <w:rFonts w:ascii="宋体" w:hAnsi="宋体" w:cs="宋体" w:eastAsia="宋体" w:hint="default"/>
                <w:sz w:val="18"/>
                <w:szCs w:val="18"/>
              </w:rPr>
            </w:pPr>
            <w:r>
              <w:rPr>
                <w:rFonts w:ascii="宋体"/>
                <w:sz w:val="18"/>
              </w:rPr>
              <w:t>7,015,636.56</w:t>
            </w:r>
          </w:p>
        </w:tc>
        <w:tc>
          <w:tcPr>
            <w:tcW w:w="163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96" w:right="0"/>
              <w:jc w:val="left"/>
              <w:rPr>
                <w:rFonts w:ascii="宋体" w:hAnsi="宋体" w:cs="宋体" w:eastAsia="宋体" w:hint="default"/>
                <w:sz w:val="18"/>
                <w:szCs w:val="18"/>
              </w:rPr>
            </w:pPr>
            <w:r>
              <w:rPr>
                <w:rFonts w:ascii="宋体"/>
                <w:sz w:val="18"/>
              </w:rPr>
              <w:t>124,485.63</w:t>
            </w:r>
          </w:p>
        </w:tc>
        <w:tc>
          <w:tcPr>
            <w:tcW w:w="163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84" w:right="0"/>
              <w:jc w:val="left"/>
              <w:rPr>
                <w:rFonts w:ascii="宋体" w:hAnsi="宋体" w:cs="宋体" w:eastAsia="宋体" w:hint="default"/>
                <w:sz w:val="18"/>
                <w:szCs w:val="18"/>
              </w:rPr>
            </w:pPr>
            <w:r>
              <w:rPr>
                <w:rFonts w:ascii="宋体"/>
                <w:sz w:val="18"/>
              </w:rPr>
              <w:t>5,535.70%</w:t>
            </w:r>
          </w:p>
        </w:tc>
        <w:tc>
          <w:tcPr>
            <w:tcW w:w="2763" w:type="dxa"/>
            <w:vMerge w:val="restart"/>
            <w:tcBorders>
              <w:top w:val="single" w:sz="6" w:space="0" w:color="000000"/>
              <w:left w:val="single" w:sz="6" w:space="0" w:color="000000"/>
              <w:right w:val="single" w:sz="12" w:space="0" w:color="000000"/>
            </w:tcBorders>
          </w:tcPr>
          <w:p>
            <w:pPr>
              <w:pStyle w:val="TableParagraph"/>
              <w:spacing w:line="319" w:lineRule="auto" w:before="52"/>
              <w:ind w:left="20" w:right="18"/>
              <w:jc w:val="both"/>
              <w:rPr>
                <w:rFonts w:ascii="宋体" w:hAnsi="宋体" w:cs="宋体" w:eastAsia="宋体" w:hint="default"/>
                <w:sz w:val="18"/>
                <w:szCs w:val="18"/>
              </w:rPr>
            </w:pPr>
            <w:r>
              <w:rPr>
                <w:rFonts w:ascii="宋体" w:hAnsi="宋体" w:cs="宋体" w:eastAsia="宋体" w:hint="default"/>
                <w:sz w:val="18"/>
                <w:szCs w:val="18"/>
              </w:rPr>
              <w:t>主要为一方面合并范围增加，另一 方面募集资金持续使用利息收入减 少所致</w:t>
            </w:r>
          </w:p>
        </w:tc>
      </w:tr>
      <w:tr>
        <w:trPr>
          <w:trHeight w:val="392" w:hRule="exact"/>
        </w:trPr>
        <w:tc>
          <w:tcPr>
            <w:tcW w:w="1910"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589"/>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628" w:type="dxa"/>
            <w:vMerge/>
            <w:tcBorders>
              <w:left w:val="single" w:sz="9" w:space="0" w:color="D2D2D2"/>
              <w:right w:val="single" w:sz="6" w:space="0" w:color="000000"/>
            </w:tcBorders>
          </w:tcPr>
          <w:p>
            <w:pPr/>
          </w:p>
        </w:tc>
        <w:tc>
          <w:tcPr>
            <w:tcW w:w="1631" w:type="dxa"/>
            <w:vMerge/>
            <w:tcBorders>
              <w:left w:val="single" w:sz="6" w:space="0" w:color="000000"/>
              <w:right w:val="single" w:sz="6" w:space="0" w:color="000000"/>
            </w:tcBorders>
          </w:tcPr>
          <w:p>
            <w:pPr/>
          </w:p>
        </w:tc>
        <w:tc>
          <w:tcPr>
            <w:tcW w:w="1630" w:type="dxa"/>
            <w:vMerge/>
            <w:tcBorders>
              <w:left w:val="single" w:sz="6" w:space="0" w:color="000000"/>
              <w:right w:val="single" w:sz="6" w:space="0" w:color="000000"/>
            </w:tcBorders>
          </w:tcPr>
          <w:p>
            <w:pPr/>
          </w:p>
        </w:tc>
        <w:tc>
          <w:tcPr>
            <w:tcW w:w="2763" w:type="dxa"/>
            <w:vMerge/>
            <w:tcBorders>
              <w:left w:val="single" w:sz="6" w:space="0" w:color="000000"/>
              <w:right w:val="single" w:sz="12" w:space="0" w:color="000000"/>
            </w:tcBorders>
          </w:tcPr>
          <w:p>
            <w:pPr/>
          </w:p>
        </w:tc>
      </w:tr>
      <w:tr>
        <w:trPr>
          <w:trHeight w:val="327" w:hRule="exact"/>
        </w:trPr>
        <w:tc>
          <w:tcPr>
            <w:tcW w:w="1910" w:type="dxa"/>
            <w:tcBorders>
              <w:top w:val="nil" w:sz="6" w:space="0" w:color="auto"/>
              <w:left w:val="single" w:sz="12" w:space="0" w:color="000000"/>
              <w:bottom w:val="single" w:sz="12" w:space="0" w:color="000000"/>
              <w:right w:val="single" w:sz="6" w:space="0" w:color="000000"/>
            </w:tcBorders>
            <w:shd w:val="clear" w:color="auto" w:fill="D2D2D2"/>
          </w:tcPr>
          <w:p>
            <w:pPr/>
          </w:p>
        </w:tc>
        <w:tc>
          <w:tcPr>
            <w:tcW w:w="1628" w:type="dxa"/>
            <w:vMerge/>
            <w:tcBorders>
              <w:left w:val="single" w:sz="9" w:space="0" w:color="D2D2D2"/>
              <w:bottom w:val="single" w:sz="12" w:space="0" w:color="000000"/>
              <w:right w:val="single" w:sz="6" w:space="0" w:color="000000"/>
            </w:tcBorders>
          </w:tcPr>
          <w:p>
            <w:pPr/>
          </w:p>
        </w:tc>
        <w:tc>
          <w:tcPr>
            <w:tcW w:w="1631" w:type="dxa"/>
            <w:vMerge/>
            <w:tcBorders>
              <w:left w:val="single" w:sz="6" w:space="0" w:color="000000"/>
              <w:bottom w:val="single" w:sz="12" w:space="0" w:color="000000"/>
              <w:right w:val="single" w:sz="6" w:space="0" w:color="000000"/>
            </w:tcBorders>
          </w:tcPr>
          <w:p>
            <w:pPr/>
          </w:p>
        </w:tc>
        <w:tc>
          <w:tcPr>
            <w:tcW w:w="1630" w:type="dxa"/>
            <w:vMerge/>
            <w:tcBorders>
              <w:left w:val="single" w:sz="6" w:space="0" w:color="000000"/>
              <w:bottom w:val="single" w:sz="12" w:space="0" w:color="000000"/>
              <w:right w:val="single" w:sz="6" w:space="0" w:color="000000"/>
            </w:tcBorders>
          </w:tcPr>
          <w:p>
            <w:pPr/>
          </w:p>
        </w:tc>
        <w:tc>
          <w:tcPr>
            <w:tcW w:w="2763" w:type="dxa"/>
            <w:vMerge/>
            <w:tcBorders>
              <w:left w:val="single" w:sz="6" w:space="0" w:color="000000"/>
              <w:bottom w:val="single" w:sz="12" w:space="0" w:color="000000"/>
              <w:right w:val="single" w:sz="12" w:space="0" w:color="000000"/>
            </w:tcBorders>
          </w:tcPr>
          <w:p>
            <w:pPr/>
          </w:p>
        </w:tc>
      </w:tr>
    </w:tbl>
    <w:p>
      <w:pPr>
        <w:spacing w:before="72"/>
        <w:ind w:left="1134" w:right="0" w:firstLine="0"/>
        <w:jc w:val="left"/>
        <w:rPr>
          <w:rFonts w:ascii="宋体" w:hAnsi="宋体" w:cs="宋体" w:eastAsia="宋体" w:hint="default"/>
          <w:sz w:val="20"/>
          <w:szCs w:val="20"/>
        </w:rPr>
      </w:pPr>
      <w:bookmarkStart w:name="4、研发投入" w:id="37"/>
      <w:bookmarkEnd w:id="37"/>
      <w:r>
        <w:rPr/>
      </w:r>
      <w:r>
        <w:rPr>
          <w:rFonts w:ascii="宋体" w:hAnsi="宋体" w:cs="宋体" w:eastAsia="宋体" w:hint="default"/>
          <w:b/>
          <w:bCs/>
          <w:sz w:val="20"/>
          <w:szCs w:val="20"/>
        </w:rPr>
        <w:t>4</w:t>
      </w:r>
      <w:r>
        <w:rPr>
          <w:rFonts w:ascii="宋体" w:hAnsi="宋体" w:cs="宋体" w:eastAsia="宋体" w:hint="default"/>
          <w:b/>
          <w:bCs/>
          <w:sz w:val="20"/>
          <w:szCs w:val="20"/>
        </w:rPr>
        <w:t>、研发投入</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right="1026" w:firstLine="420"/>
        <w:jc w:val="left"/>
      </w:pPr>
      <w:r>
        <w:rPr/>
        <w:t>针对传统用电信息采集市场逐步萎缩的现状，公司提前布局，一方面围绕用电信息采集核心技术的未 来发展趋势，加大对宽带载波技术的研发投入，为用采产品的更新换代提前做好技术基础工作；同时，加 强用采产品的深化应用技术研究，实现户变关系测试仪产品化。在配电自动化方面，公司成功研制故障指 </w:t>
      </w:r>
      <w:r>
        <w:rPr>
          <w:spacing w:val="-3"/>
        </w:rPr>
        <w:t>示器，产品在江苏、江西两省中标，标志着公司成功进入配电自动化市场；另一方面，知识产权保护方面，</w:t>
      </w:r>
      <w:r>
        <w:rPr>
          <w:spacing w:val="-94"/>
        </w:rPr>
        <w:t> </w:t>
      </w:r>
      <w:r>
        <w:rPr>
          <w:spacing w:val="-94"/>
        </w:rPr>
      </w:r>
      <w:r>
        <w:rPr/>
        <w:t>公司自主研发的“EFC</w:t>
      </w:r>
      <w:r>
        <w:rPr>
          <w:rFonts w:ascii="宋体" w:hAnsi="宋体" w:cs="宋体" w:eastAsia="宋体" w:hint="default"/>
        </w:rPr>
        <w:t>-EMS2000 </w:t>
      </w:r>
      <w:r>
        <w:rPr>
          <w:spacing w:val="3"/>
        </w:rPr>
        <w:t>能源管理系统”取得软件著作权</w:t>
      </w:r>
      <w:r>
        <w:rPr>
          <w:rFonts w:ascii="宋体" w:hAnsi="宋体" w:cs="宋体" w:eastAsia="宋体" w:hint="default"/>
          <w:spacing w:val="3"/>
        </w:rPr>
        <w:t>6</w:t>
      </w:r>
      <w:r>
        <w:rPr>
          <w:spacing w:val="3"/>
        </w:rPr>
        <w:t>项，申请发明专利和实用新型专利各</w:t>
      </w:r>
      <w:r>
        <w:rPr>
          <w:rFonts w:ascii="宋体" w:hAnsi="宋体" w:cs="宋体" w:eastAsia="宋体" w:hint="default"/>
          <w:spacing w:val="3"/>
        </w:rPr>
        <w:t>1</w:t>
      </w:r>
      <w:r>
        <w:rPr>
          <w:rFonts w:ascii="宋体" w:hAnsi="宋体" w:cs="宋体" w:eastAsia="宋体" w:hint="default"/>
          <w:spacing w:val="-42"/>
        </w:rPr>
        <w:t> </w:t>
      </w:r>
      <w:r>
        <w:rPr/>
        <w:t>项，已通过江苏省经济和信息化委员会组织的新产品鉴定；公司与东南大学共同研发的“EFC</w:t>
      </w:r>
      <w:r>
        <w:rPr>
          <w:rFonts w:ascii="宋体" w:hAnsi="宋体" w:cs="宋体" w:eastAsia="宋体" w:hint="default"/>
        </w:rPr>
        <w:t>-MGS100</w:t>
      </w:r>
      <w:r>
        <w:rPr/>
        <w:t>分布 式发电与智能微电网系统”通过新技术鉴定，项目提出并开发的“多源互补的智能微电网柔性控制与能量 优化技术”达到国内外领先水平，申请发明专利和实用新型专利各</w:t>
      </w:r>
      <w:r>
        <w:rPr>
          <w:rFonts w:ascii="宋体" w:hAnsi="宋体" w:cs="宋体" w:eastAsia="宋体" w:hint="default"/>
        </w:rPr>
        <w:t>1</w:t>
      </w:r>
      <w:r>
        <w:rPr/>
        <w:t>项，取得软件著作权</w:t>
      </w:r>
      <w:r>
        <w:rPr>
          <w:rFonts w:ascii="宋体" w:hAnsi="宋体" w:cs="宋体" w:eastAsia="宋体" w:hint="default"/>
        </w:rPr>
        <w:t>1</w:t>
      </w:r>
      <w:r>
        <w:rPr/>
        <w:t>项，申报高新技 术产品</w:t>
      </w:r>
      <w:r>
        <w:rPr>
          <w:rFonts w:ascii="宋体" w:hAnsi="宋体" w:cs="宋体" w:eastAsia="宋体" w:hint="default"/>
        </w:rPr>
        <w:t>1</w:t>
      </w:r>
      <w:r>
        <w:rPr/>
        <w:t>项，并获得了江宁区产学研和新兴产业示范项目资助。通过上述措施，不断提高研发实力与核心</w:t>
      </w:r>
      <w:r>
        <w:rPr>
          <w:spacing w:val="-35"/>
        </w:rPr>
        <w:t> </w:t>
      </w:r>
      <w:r>
        <w:rPr>
          <w:spacing w:val="-35"/>
        </w:rPr>
      </w:r>
      <w:r>
        <w:rPr/>
        <w:t>技术能力。</w:t>
      </w:r>
    </w:p>
    <w:p>
      <w:pPr>
        <w:pStyle w:val="BodyText"/>
        <w:spacing w:line="240" w:lineRule="auto" w:before="46"/>
        <w:ind w:right="0"/>
        <w:jc w:val="left"/>
      </w:pPr>
      <w:r>
        <w:rPr/>
        <w:t>近三年公司研发投入金额及占营业收入的比例</w:t>
      </w:r>
    </w:p>
    <w:p>
      <w:pPr>
        <w:spacing w:line="240" w:lineRule="auto" w:before="11"/>
        <w:rPr>
          <w:rFonts w:ascii="宋体" w:hAnsi="宋体" w:cs="宋体" w:eastAsia="宋体" w:hint="default"/>
          <w:sz w:val="13"/>
          <w:szCs w:val="13"/>
        </w:rPr>
      </w:pPr>
    </w:p>
    <w:p>
      <w:pPr>
        <w:spacing w:before="0"/>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2376"/>
        <w:gridCol w:w="2403"/>
        <w:gridCol w:w="2392"/>
        <w:gridCol w:w="2391"/>
      </w:tblGrid>
      <w:tr>
        <w:trPr>
          <w:trHeight w:val="413" w:hRule="exact"/>
        </w:trPr>
        <w:tc>
          <w:tcPr>
            <w:tcW w:w="2376"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240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7" w:hRule="exact"/>
        </w:trPr>
        <w:tc>
          <w:tcPr>
            <w:tcW w:w="237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176</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156</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150</w:t>
            </w:r>
          </w:p>
        </w:tc>
      </w:tr>
      <w:tr>
        <w:trPr>
          <w:trHeight w:val="408" w:hRule="exact"/>
        </w:trPr>
        <w:tc>
          <w:tcPr>
            <w:tcW w:w="237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16.94%</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36.11%</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37.13%</w:t>
            </w:r>
          </w:p>
        </w:tc>
      </w:tr>
      <w:tr>
        <w:trPr>
          <w:trHeight w:val="407" w:hRule="exact"/>
        </w:trPr>
        <w:tc>
          <w:tcPr>
            <w:tcW w:w="237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研发投入金额</w:t>
            </w:r>
          </w:p>
        </w:tc>
        <w:tc>
          <w:tcPr>
            <w:tcW w:w="240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44,002,117.97</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21,441,628.06</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21,525,210.30</w:t>
            </w:r>
          </w:p>
        </w:tc>
      </w:tr>
      <w:tr>
        <w:trPr>
          <w:trHeight w:val="407" w:hRule="exact"/>
        </w:trPr>
        <w:tc>
          <w:tcPr>
            <w:tcW w:w="237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6.22%</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6.24%</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6.66%</w:t>
            </w:r>
          </w:p>
        </w:tc>
      </w:tr>
      <w:tr>
        <w:trPr>
          <w:trHeight w:val="407" w:hRule="exact"/>
        </w:trPr>
        <w:tc>
          <w:tcPr>
            <w:tcW w:w="237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研发支出资本化的金额</w:t>
            </w:r>
          </w:p>
        </w:tc>
        <w:tc>
          <w:tcPr>
            <w:tcW w:w="240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719" w:hRule="exact"/>
        </w:trPr>
        <w:tc>
          <w:tcPr>
            <w:tcW w:w="237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904" w:right="97" w:hanging="811"/>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0.00%</w:t>
            </w:r>
          </w:p>
        </w:tc>
      </w:tr>
      <w:tr>
        <w:trPr>
          <w:trHeight w:val="727" w:hRule="exact"/>
        </w:trPr>
        <w:tc>
          <w:tcPr>
            <w:tcW w:w="237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52"/>
              <w:ind w:left="814" w:right="97" w:hanging="721"/>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0.00%</w:t>
            </w:r>
          </w:p>
        </w:tc>
      </w:tr>
    </w:tbl>
    <w:p>
      <w:pPr>
        <w:pStyle w:val="BodyText"/>
        <w:spacing w:line="240" w:lineRule="auto" w:before="63"/>
        <w:ind w:left="1134" w:right="0"/>
        <w:jc w:val="left"/>
      </w:pPr>
      <w:r>
        <w:rPr/>
        <w:t>研发投入总额占营业收入的比重较上年发生显著变化的原因</w:t>
      </w:r>
    </w:p>
    <w:p>
      <w:pPr>
        <w:spacing w:line="240" w:lineRule="auto" w:before="10"/>
        <w:rPr>
          <w:rFonts w:ascii="宋体" w:hAnsi="宋体" w:cs="宋体" w:eastAsia="宋体" w:hint="default"/>
          <w:sz w:val="14"/>
          <w:szCs w:val="14"/>
        </w:rPr>
      </w:pPr>
    </w:p>
    <w:p>
      <w:pPr>
        <w:pStyle w:val="BodyText"/>
        <w:spacing w:line="408" w:lineRule="auto"/>
        <w:ind w:left="1134" w:right="6132"/>
        <w:jc w:val="left"/>
      </w:pPr>
      <w:r>
        <w:rPr/>
        <w:t>□ 适用 √</w:t>
      </w:r>
      <w:r>
        <w:rPr>
          <w:spacing w:val="-1"/>
        </w:rPr>
        <w:t> </w:t>
      </w:r>
      <w:r>
        <w:rPr/>
        <w:t>不适用</w:t>
      </w:r>
      <w:r>
        <w:rPr/>
        <w:t> 研发投入资本化率大幅变动的原因及其合理性说明</w:t>
      </w:r>
    </w:p>
    <w:p>
      <w:pPr>
        <w:pStyle w:val="BodyText"/>
        <w:spacing w:line="240" w:lineRule="auto" w:before="46"/>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5、现金流" w:id="38"/>
      <w:bookmarkEnd w:id="38"/>
      <w:r>
        <w:rPr/>
      </w:r>
      <w:r>
        <w:rPr>
          <w:rFonts w:ascii="宋体" w:hAnsi="宋体" w:cs="宋体" w:eastAsia="宋体" w:hint="default"/>
          <w:b/>
          <w:bCs/>
          <w:sz w:val="20"/>
          <w:szCs w:val="20"/>
        </w:rPr>
        <w:t>5</w:t>
      </w:r>
      <w:r>
        <w:rPr>
          <w:rFonts w:ascii="宋体" w:hAnsi="宋体" w:cs="宋体" w:eastAsia="宋体" w:hint="default"/>
          <w:b/>
          <w:bCs/>
          <w:sz w:val="20"/>
          <w:szCs w:val="20"/>
        </w:rPr>
        <w:t>、现金流</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2536"/>
        <w:gridCol w:w="2349"/>
        <w:gridCol w:w="2339"/>
        <w:gridCol w:w="2338"/>
      </w:tblGrid>
      <w:tr>
        <w:trPr>
          <w:trHeight w:val="415" w:hRule="exact"/>
        </w:trPr>
        <w:tc>
          <w:tcPr>
            <w:tcW w:w="253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3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3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7" w:hRule="exact"/>
        </w:trPr>
        <w:tc>
          <w:tcPr>
            <w:tcW w:w="253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4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719,431,584.06</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435,283,848.51</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65.28%</w:t>
            </w:r>
          </w:p>
        </w:tc>
      </w:tr>
      <w:tr>
        <w:trPr>
          <w:trHeight w:val="407" w:hRule="exact"/>
        </w:trPr>
        <w:tc>
          <w:tcPr>
            <w:tcW w:w="253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4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694,043,272.61</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447,250,907.99</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55.18%</w:t>
            </w:r>
          </w:p>
        </w:tc>
      </w:tr>
      <w:tr>
        <w:trPr>
          <w:trHeight w:val="415" w:hRule="exact"/>
        </w:trPr>
        <w:tc>
          <w:tcPr>
            <w:tcW w:w="253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49"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25,388,311.45</w:t>
            </w:r>
          </w:p>
        </w:tc>
        <w:tc>
          <w:tcPr>
            <w:tcW w:w="23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-11,967,059.48</w:t>
            </w:r>
          </w:p>
        </w:tc>
        <w:tc>
          <w:tcPr>
            <w:tcW w:w="233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312.15%</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25" w:type="dxa"/>
        <w:tblLayout w:type="fixed"/>
        <w:tblCellMar>
          <w:top w:w="0" w:type="dxa"/>
          <w:left w:w="0" w:type="dxa"/>
          <w:bottom w:w="0" w:type="dxa"/>
          <w:right w:w="0" w:type="dxa"/>
        </w:tblCellMar>
        <w:tblLook w:val="01E0"/>
      </w:tblPr>
      <w:tblGrid>
        <w:gridCol w:w="2536"/>
        <w:gridCol w:w="2349"/>
        <w:gridCol w:w="2339"/>
        <w:gridCol w:w="2338"/>
      </w:tblGrid>
      <w:tr>
        <w:trPr>
          <w:trHeight w:val="415" w:hRule="exact"/>
        </w:trPr>
        <w:tc>
          <w:tcPr>
            <w:tcW w:w="253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3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3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7" w:hRule="exact"/>
        </w:trPr>
        <w:tc>
          <w:tcPr>
            <w:tcW w:w="253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4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11,270,000.00</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125,610,701.02</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-91.03%</w:t>
            </w:r>
          </w:p>
        </w:tc>
      </w:tr>
      <w:tr>
        <w:trPr>
          <w:trHeight w:val="407" w:hRule="exact"/>
        </w:trPr>
        <w:tc>
          <w:tcPr>
            <w:tcW w:w="253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4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275,495,503.67</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97,617,507.27</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182.22%</w:t>
            </w:r>
          </w:p>
        </w:tc>
      </w:tr>
      <w:tr>
        <w:trPr>
          <w:trHeight w:val="407" w:hRule="exact"/>
        </w:trPr>
        <w:tc>
          <w:tcPr>
            <w:tcW w:w="253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4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-264,225,503.67</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27,993,193.75</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-1,043.89%</w:t>
            </w:r>
          </w:p>
        </w:tc>
      </w:tr>
      <w:tr>
        <w:trPr>
          <w:trHeight w:val="407" w:hRule="exact"/>
        </w:trPr>
        <w:tc>
          <w:tcPr>
            <w:tcW w:w="253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4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263,061,890.47</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118,375,596.00</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122.23%</w:t>
            </w:r>
          </w:p>
        </w:tc>
      </w:tr>
      <w:tr>
        <w:trPr>
          <w:trHeight w:val="407" w:hRule="exact"/>
        </w:trPr>
        <w:tc>
          <w:tcPr>
            <w:tcW w:w="253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4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185,965,901.83</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115,662,273.97</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60.78%</w:t>
            </w:r>
          </w:p>
        </w:tc>
      </w:tr>
      <w:tr>
        <w:trPr>
          <w:trHeight w:val="408" w:hRule="exact"/>
        </w:trPr>
        <w:tc>
          <w:tcPr>
            <w:tcW w:w="253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4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77,095,988.64</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2,713,322.03</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2,741.39%</w:t>
            </w:r>
          </w:p>
        </w:tc>
      </w:tr>
      <w:tr>
        <w:trPr>
          <w:trHeight w:val="415" w:hRule="exact"/>
        </w:trPr>
        <w:tc>
          <w:tcPr>
            <w:tcW w:w="253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49"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-161,741,203.58</w:t>
            </w:r>
          </w:p>
        </w:tc>
        <w:tc>
          <w:tcPr>
            <w:tcW w:w="23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18,739,456.30</w:t>
            </w:r>
          </w:p>
        </w:tc>
        <w:tc>
          <w:tcPr>
            <w:tcW w:w="233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-963.11%</w:t>
            </w:r>
          </w:p>
        </w:tc>
      </w:tr>
    </w:tbl>
    <w:p>
      <w:pPr>
        <w:pStyle w:val="BodyText"/>
        <w:spacing w:line="240" w:lineRule="auto" w:before="63"/>
        <w:ind w:left="1134" w:right="0"/>
        <w:jc w:val="left"/>
      </w:pPr>
      <w:r>
        <w:rPr/>
        <w:t>相关数据同比发生重大变动的主要影响因素说明</w:t>
      </w:r>
    </w:p>
    <w:p>
      <w:pPr>
        <w:spacing w:line="240" w:lineRule="auto" w:before="10"/>
        <w:rPr>
          <w:rFonts w:ascii="宋体" w:hAnsi="宋体" w:cs="宋体" w:eastAsia="宋体" w:hint="default"/>
          <w:sz w:val="14"/>
          <w:szCs w:val="14"/>
        </w:rPr>
      </w:pPr>
    </w:p>
    <w:p>
      <w:pPr>
        <w:pStyle w:val="BodyText"/>
        <w:spacing w:line="240" w:lineRule="auto"/>
        <w:ind w:left="113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408" w:lineRule="auto"/>
        <w:ind w:left="1275" w:right="0" w:firstLine="426"/>
        <w:jc w:val="left"/>
      </w:pPr>
      <w:r>
        <w:rPr/>
        <w:t>本报告期各项经营活动现金流量较上年度发生较大幅度变化，主要是本期新增合并范围所致。报告 期经营活动现金净流量较上年同期增长</w:t>
      </w:r>
      <w:r>
        <w:rPr>
          <w:rFonts w:ascii="宋体" w:hAnsi="宋体" w:cs="宋体" w:eastAsia="宋体" w:hint="default"/>
        </w:rPr>
        <w:t>312.15%</w:t>
      </w:r>
      <w:r>
        <w:rPr/>
        <w:t>，主要是公司加强应收账款管理，加大收款力度，货款回 </w:t>
      </w:r>
      <w:r>
        <w:rPr>
          <w:spacing w:val="-2"/>
        </w:rPr>
        <w:t>笼增加；投资活动现金流入较上年大幅减少，主要是上年同期子公司索瑞电气的期初现金合并纳入所致；</w:t>
      </w:r>
      <w:r>
        <w:rPr>
          <w:spacing w:val="-74"/>
        </w:rPr>
        <w:t> </w:t>
      </w:r>
      <w:r>
        <w:rPr>
          <w:spacing w:val="-74"/>
        </w:rPr>
      </w:r>
      <w:r>
        <w:rPr/>
        <w:t>投资活动现金流出较上年大幅增加，主要是支付索瑞电气、德能设计、德能工程的股权收购款、基建项</w:t>
      </w:r>
      <w:r>
        <w:rPr>
          <w:spacing w:val="-67"/>
        </w:rPr>
        <w:t> </w:t>
      </w:r>
      <w:r>
        <w:rPr>
          <w:spacing w:val="-67"/>
        </w:rPr>
      </w:r>
      <w:r>
        <w:rPr/>
        <w:t>目投入及对外投资；筹资活动现金净流量较上年同期增长</w:t>
      </w:r>
      <w:r>
        <w:rPr>
          <w:rFonts w:ascii="宋体" w:hAnsi="宋体" w:cs="宋体" w:eastAsia="宋体" w:hint="default"/>
        </w:rPr>
        <w:t>2741.39%</w:t>
      </w:r>
      <w:r>
        <w:rPr/>
        <w:t>，主要是一方面新增合并范围，另一</w:t>
      </w:r>
      <w:r>
        <w:rPr>
          <w:spacing w:val="-65"/>
        </w:rPr>
        <w:t> </w:t>
      </w:r>
      <w:r>
        <w:rPr>
          <w:spacing w:val="-65"/>
        </w:rPr>
      </w:r>
      <w:r>
        <w:rPr/>
        <w:t>方面公司项目贷款、并购贷款增加所致。</w:t>
      </w:r>
    </w:p>
    <w:p>
      <w:pPr>
        <w:pStyle w:val="BodyText"/>
        <w:spacing w:line="408" w:lineRule="auto" w:before="46"/>
        <w:ind w:left="1275" w:right="1116" w:firstLine="426"/>
        <w:jc w:val="left"/>
      </w:pPr>
      <w:r>
        <w:rPr>
          <w:spacing w:val="-2"/>
        </w:rPr>
        <w:t>现金及现金等价物净增加额较上年同期下降</w:t>
      </w:r>
      <w:r>
        <w:rPr>
          <w:rFonts w:ascii="宋体" w:hAnsi="宋体" w:cs="宋体" w:eastAsia="宋体" w:hint="default"/>
          <w:spacing w:val="-2"/>
        </w:rPr>
        <w:t>963.11%</w:t>
      </w:r>
      <w:r>
        <w:rPr>
          <w:spacing w:val="-2"/>
        </w:rPr>
        <w:t>，主要是基建投入、对外投资、支付股权收购款</w:t>
      </w:r>
      <w:r>
        <w:rPr/>
        <w:t> 影响。</w:t>
      </w:r>
    </w:p>
    <w:p>
      <w:pPr>
        <w:pStyle w:val="BodyText"/>
        <w:spacing w:line="240" w:lineRule="auto" w:before="46"/>
        <w:ind w:right="0"/>
        <w:jc w:val="left"/>
      </w:pPr>
      <w:r>
        <w:rPr/>
        <w:t>报告期内公司经营活动产生的现金净流量与本年度净利润存在重大差异的原因说明</w:t>
      </w:r>
    </w:p>
    <w:p>
      <w:pPr>
        <w:spacing w:line="240" w:lineRule="auto" w:before="10"/>
        <w:rPr>
          <w:rFonts w:ascii="宋体" w:hAnsi="宋体" w:cs="宋体" w:eastAsia="宋体" w:hint="default"/>
          <w:sz w:val="14"/>
          <w:szCs w:val="14"/>
        </w:rPr>
      </w:pPr>
    </w:p>
    <w:p>
      <w:pPr>
        <w:spacing w:line="408" w:lineRule="auto" w:before="0"/>
        <w:ind w:left="1134" w:right="885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三、非主营业务情况" w:id="39"/>
      <w:bookmarkEnd w:id="39"/>
      <w:r>
        <w:rPr>
          <w:rFonts w:ascii="宋体" w:hAnsi="宋体" w:cs="宋体" w:eastAsia="宋体" w:hint="default"/>
          <w:sz w:val="21"/>
          <w:szCs w:val="21"/>
        </w:rPr>
      </w:r>
      <w:r>
        <w:rPr>
          <w:rFonts w:ascii="宋体" w:hAnsi="宋体" w:cs="宋体" w:eastAsia="宋体" w:hint="default"/>
          <w:b/>
          <w:bCs/>
          <w:sz w:val="21"/>
          <w:szCs w:val="21"/>
        </w:rPr>
        <w:t>三、非主营业务情况</w:t>
      </w:r>
      <w:r>
        <w:rPr>
          <w:rFonts w:ascii="宋体" w:hAnsi="宋体" w:cs="宋体" w:eastAsia="宋体" w:hint="default"/>
          <w:sz w:val="21"/>
          <w:szCs w:val="21"/>
        </w:rPr>
      </w:r>
    </w:p>
    <w:p>
      <w:pPr>
        <w:spacing w:line="412" w:lineRule="auto" w:before="46"/>
        <w:ind w:left="1133" w:right="8444" w:firstLine="0"/>
        <w:jc w:val="left"/>
        <w:rPr>
          <w:rFonts w:ascii="宋体" w:hAnsi="宋体" w:cs="宋体" w:eastAsia="宋体" w:hint="default"/>
          <w:sz w:val="20"/>
          <w:szCs w:val="20"/>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四、资产及负债状况" w:id="40"/>
      <w:bookmarkEnd w:id="40"/>
      <w:r>
        <w:rPr>
          <w:rFonts w:ascii="宋体" w:hAnsi="宋体" w:cs="宋体" w:eastAsia="宋体" w:hint="default"/>
          <w:sz w:val="21"/>
          <w:szCs w:val="21"/>
        </w:rPr>
      </w:r>
      <w:r>
        <w:rPr>
          <w:rFonts w:ascii="宋体" w:hAnsi="宋体" w:cs="宋体" w:eastAsia="宋体" w:hint="default"/>
          <w:b/>
          <w:bCs/>
          <w:sz w:val="21"/>
          <w:szCs w:val="21"/>
        </w:rPr>
        <w:t>四、资产及负债状况</w:t>
      </w:r>
      <w:r>
        <w:rPr>
          <w:rFonts w:ascii="宋体" w:hAnsi="宋体" w:cs="宋体" w:eastAsia="宋体" w:hint="default"/>
          <w:b/>
          <w:bCs/>
          <w:w w:val="99"/>
          <w:sz w:val="21"/>
          <w:szCs w:val="21"/>
        </w:rPr>
        <w:t> </w:t>
      </w:r>
      <w:bookmarkStart w:name="1、资产构成重大变动情况" w:id="41"/>
      <w:bookmarkEnd w:id="41"/>
      <w:r>
        <w:rPr>
          <w:rFonts w:ascii="宋体" w:hAnsi="宋体" w:cs="宋体" w:eastAsia="宋体" w:hint="default"/>
          <w:b/>
          <w:bCs/>
          <w:w w:val="99"/>
          <w:sz w:val="21"/>
          <w:szCs w:val="21"/>
        </w:rPr>
      </w:r>
      <w:r>
        <w:rPr>
          <w:rFonts w:ascii="宋体" w:hAnsi="宋体" w:cs="宋体" w:eastAsia="宋体" w:hint="default"/>
          <w:b/>
          <w:bCs/>
          <w:sz w:val="20"/>
          <w:szCs w:val="20"/>
        </w:rPr>
        <w:t>1</w:t>
      </w:r>
      <w:r>
        <w:rPr>
          <w:rFonts w:ascii="宋体" w:hAnsi="宋体" w:cs="宋体" w:eastAsia="宋体" w:hint="default"/>
          <w:b/>
          <w:bCs/>
          <w:sz w:val="20"/>
          <w:szCs w:val="20"/>
        </w:rPr>
        <w:t>、资产构成重大变动情况</w:t>
      </w:r>
      <w:r>
        <w:rPr>
          <w:rFonts w:ascii="宋体" w:hAnsi="宋体" w:cs="宋体" w:eastAsia="宋体" w:hint="default"/>
          <w:sz w:val="20"/>
          <w:szCs w:val="20"/>
        </w:rPr>
      </w:r>
    </w:p>
    <w:p>
      <w:pPr>
        <w:spacing w:before="41"/>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1352"/>
        <w:gridCol w:w="1619"/>
        <w:gridCol w:w="1276"/>
        <w:gridCol w:w="1417"/>
        <w:gridCol w:w="1276"/>
        <w:gridCol w:w="1134"/>
        <w:gridCol w:w="1489"/>
      </w:tblGrid>
      <w:tr>
        <w:trPr>
          <w:trHeight w:val="219" w:hRule="exact"/>
        </w:trPr>
        <w:tc>
          <w:tcPr>
            <w:tcW w:w="135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2895"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693"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134"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489"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6" w:hRule="exact"/>
        </w:trPr>
        <w:tc>
          <w:tcPr>
            <w:tcW w:w="1352" w:type="dxa"/>
            <w:vMerge w:val="restart"/>
            <w:tcBorders>
              <w:top w:val="nil" w:sz="6" w:space="0" w:color="auto"/>
              <w:left w:val="single" w:sz="12" w:space="0" w:color="000000"/>
              <w:right w:val="single" w:sz="6" w:space="0" w:color="000000"/>
            </w:tcBorders>
            <w:shd w:val="clear" w:color="auto" w:fill="D2D2D2"/>
          </w:tcPr>
          <w:p>
            <w:pPr/>
          </w:p>
        </w:tc>
        <w:tc>
          <w:tcPr>
            <w:tcW w:w="2895" w:type="dxa"/>
            <w:gridSpan w:val="2"/>
            <w:vMerge/>
            <w:tcBorders>
              <w:left w:val="single" w:sz="6" w:space="0" w:color="000000"/>
              <w:bottom w:val="single" w:sz="6" w:space="0" w:color="000000"/>
              <w:right w:val="single" w:sz="6" w:space="0" w:color="000000"/>
            </w:tcBorders>
            <w:shd w:val="clear" w:color="auto" w:fill="D2D2D2"/>
          </w:tcPr>
          <w:p>
            <w:pPr/>
          </w:p>
        </w:tc>
        <w:tc>
          <w:tcPr>
            <w:tcW w:w="2693" w:type="dxa"/>
            <w:gridSpan w:val="2"/>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1489" w:type="dxa"/>
            <w:vMerge/>
            <w:tcBorders>
              <w:left w:val="single" w:sz="6" w:space="0" w:color="000000"/>
              <w:right w:val="single" w:sz="12" w:space="0" w:color="000000"/>
            </w:tcBorders>
            <w:shd w:val="clear" w:color="auto" w:fill="D2D2D2"/>
          </w:tcPr>
          <w:p>
            <w:pPr/>
          </w:p>
        </w:tc>
      </w:tr>
      <w:tr>
        <w:trPr>
          <w:trHeight w:val="196" w:hRule="exact"/>
        </w:trPr>
        <w:tc>
          <w:tcPr>
            <w:tcW w:w="1352" w:type="dxa"/>
            <w:vMerge/>
            <w:tcBorders>
              <w:left w:val="single" w:sz="12" w:space="0" w:color="000000"/>
              <w:bottom w:val="nil" w:sz="6" w:space="0" w:color="auto"/>
              <w:right w:val="single" w:sz="6" w:space="0" w:color="000000"/>
            </w:tcBorders>
            <w:shd w:val="clear" w:color="auto" w:fill="D2D2D2"/>
          </w:tcPr>
          <w:p>
            <w:pPr/>
          </w:p>
        </w:tc>
        <w:tc>
          <w:tcPr>
            <w:tcW w:w="161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90"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90"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4" w:type="dxa"/>
            <w:vMerge/>
            <w:tcBorders>
              <w:left w:val="single" w:sz="6" w:space="0" w:color="000000"/>
              <w:right w:val="single" w:sz="6" w:space="0" w:color="000000"/>
            </w:tcBorders>
            <w:shd w:val="clear" w:color="auto" w:fill="D2D2D2"/>
          </w:tcPr>
          <w:p>
            <w:pPr/>
          </w:p>
        </w:tc>
        <w:tc>
          <w:tcPr>
            <w:tcW w:w="1489" w:type="dxa"/>
            <w:vMerge/>
            <w:tcBorders>
              <w:left w:val="single" w:sz="6" w:space="0" w:color="000000"/>
              <w:right w:val="single" w:sz="12" w:space="0" w:color="000000"/>
            </w:tcBorders>
            <w:shd w:val="clear" w:color="auto" w:fill="D2D2D2"/>
          </w:tcPr>
          <w:p>
            <w:pPr/>
          </w:p>
        </w:tc>
      </w:tr>
      <w:tr>
        <w:trPr>
          <w:trHeight w:val="210" w:hRule="exact"/>
        </w:trPr>
        <w:tc>
          <w:tcPr>
            <w:tcW w:w="1352" w:type="dxa"/>
            <w:tcBorders>
              <w:top w:val="nil" w:sz="6" w:space="0" w:color="auto"/>
              <w:left w:val="single" w:sz="12" w:space="0" w:color="000000"/>
              <w:bottom w:val="single" w:sz="6" w:space="0" w:color="000000"/>
              <w:right w:val="single" w:sz="6" w:space="0" w:color="000000"/>
            </w:tcBorders>
            <w:shd w:val="clear" w:color="auto" w:fill="D2D2D2"/>
          </w:tcPr>
          <w:p>
            <w:pPr/>
          </w:p>
        </w:tc>
        <w:tc>
          <w:tcPr>
            <w:tcW w:w="1619"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417"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1489"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61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211,665,903.76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9.72%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376,665,386.10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18.95%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-9.23%</w:t>
            </w:r>
          </w:p>
        </w:tc>
        <w:tc>
          <w:tcPr>
            <w:tcW w:w="148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61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767,991,492.02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35.26%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603,335,604.49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30.35%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4.91%</w:t>
            </w:r>
          </w:p>
        </w:tc>
        <w:tc>
          <w:tcPr>
            <w:tcW w:w="148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存货</w:t>
            </w:r>
          </w:p>
        </w:tc>
        <w:tc>
          <w:tcPr>
            <w:tcW w:w="161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116,667,777.60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5.36%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84,813,968.80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4.27%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1.09%</w:t>
            </w:r>
          </w:p>
        </w:tc>
        <w:tc>
          <w:tcPr>
            <w:tcW w:w="1489"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35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161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10,291,118.19</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0.47%</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11,069,385.27</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0.56%</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-0.09%</w:t>
            </w:r>
          </w:p>
        </w:tc>
        <w:tc>
          <w:tcPr>
            <w:tcW w:w="148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1359"/>
        <w:gridCol w:w="1619"/>
        <w:gridCol w:w="1276"/>
        <w:gridCol w:w="1417"/>
        <w:gridCol w:w="1276"/>
        <w:gridCol w:w="1134"/>
        <w:gridCol w:w="1489"/>
      </w:tblGrid>
      <w:tr>
        <w:trPr>
          <w:trHeight w:val="415" w:hRule="exact"/>
        </w:trPr>
        <w:tc>
          <w:tcPr>
            <w:tcW w:w="135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619" w:type="dxa"/>
            <w:tcBorders>
              <w:top w:val="single" w:sz="12"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21,953,574.83</w:t>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1.01%</w:t>
            </w:r>
          </w:p>
        </w:tc>
        <w:tc>
          <w:tcPr>
            <w:tcW w:w="1417" w:type="dxa"/>
            <w:tcBorders>
              <w:top w:val="single" w:sz="12" w:space="0" w:color="000000"/>
              <w:left w:val="single" w:sz="6" w:space="0" w:color="000000"/>
              <w:bottom w:val="single" w:sz="6" w:space="0" w:color="000000"/>
              <w:right w:val="single" w:sz="6" w:space="0" w:color="000000"/>
            </w:tcBorders>
          </w:tcPr>
          <w:p>
            <w:pP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1.01%</w:t>
            </w:r>
          </w:p>
        </w:tc>
        <w:tc>
          <w:tcPr>
            <w:tcW w:w="1489" w:type="dxa"/>
            <w:tcBorders>
              <w:top w:val="single" w:sz="12" w:space="0" w:color="000000"/>
              <w:left w:val="single" w:sz="6" w:space="0" w:color="000000"/>
              <w:bottom w:val="single" w:sz="6" w:space="0" w:color="000000"/>
              <w:right w:val="single" w:sz="12" w:space="0" w:color="000000"/>
            </w:tcBorders>
          </w:tcPr>
          <w:p>
            <w:pPr/>
          </w:p>
        </w:tc>
      </w:tr>
      <w:tr>
        <w:trPr>
          <w:trHeight w:val="407" w:hRule="exact"/>
        </w:trPr>
        <w:tc>
          <w:tcPr>
            <w:tcW w:w="135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61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148,454,025.47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6.82%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138,314,060.18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6.96%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-0.14%</w:t>
            </w:r>
          </w:p>
        </w:tc>
        <w:tc>
          <w:tcPr>
            <w:tcW w:w="148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5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61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235,170,941.86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10.80%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160,258,437.13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2.74%</w:t>
            </w:r>
          </w:p>
        </w:tc>
        <w:tc>
          <w:tcPr>
            <w:tcW w:w="148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5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61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119,500,000.00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5.49%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108,000,000.00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5.43%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0.06%</w:t>
            </w:r>
          </w:p>
        </w:tc>
        <w:tc>
          <w:tcPr>
            <w:tcW w:w="1489"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35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61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104,892,062.40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4.82%</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30,515,796.00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1.54%</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3.28%</w:t>
            </w:r>
          </w:p>
        </w:tc>
        <w:tc>
          <w:tcPr>
            <w:tcW w:w="1489" w:type="dxa"/>
            <w:tcBorders>
              <w:top w:val="single" w:sz="6" w:space="0" w:color="000000"/>
              <w:left w:val="single" w:sz="6" w:space="0" w:color="000000"/>
              <w:bottom w:val="single" w:sz="12" w:space="0" w:color="000000"/>
              <w:right w:val="single" w:sz="12" w:space="0" w:color="000000"/>
            </w:tcBorders>
          </w:tcPr>
          <w:p>
            <w:pPr/>
          </w:p>
        </w:tc>
      </w:tr>
    </w:tbl>
    <w:p>
      <w:pPr>
        <w:spacing w:before="72"/>
        <w:ind w:left="1134" w:right="0" w:firstLine="0"/>
        <w:jc w:val="left"/>
        <w:rPr>
          <w:rFonts w:ascii="宋体" w:hAnsi="宋体" w:cs="宋体" w:eastAsia="宋体" w:hint="default"/>
          <w:sz w:val="20"/>
          <w:szCs w:val="20"/>
        </w:rPr>
      </w:pPr>
      <w:bookmarkStart w:name="2、以公允价值计量的资产和负债" w:id="42"/>
      <w:bookmarkEnd w:id="42"/>
      <w:r>
        <w:rPr/>
      </w:r>
      <w:r>
        <w:rPr>
          <w:rFonts w:ascii="宋体" w:hAnsi="宋体" w:cs="宋体" w:eastAsia="宋体" w:hint="default"/>
          <w:b/>
          <w:bCs/>
          <w:sz w:val="20"/>
          <w:szCs w:val="20"/>
        </w:rPr>
        <w:t>2</w:t>
      </w:r>
      <w:r>
        <w:rPr>
          <w:rFonts w:ascii="宋体" w:hAnsi="宋体" w:cs="宋体" w:eastAsia="宋体" w:hint="default"/>
          <w:b/>
          <w:bCs/>
          <w:sz w:val="20"/>
          <w:szCs w:val="20"/>
        </w:rPr>
        <w:t>、以公允价值计量的资产和负债</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spacing w:line="412" w:lineRule="auto" w:before="0"/>
        <w:ind w:left="1134" w:right="8968" w:firstLine="0"/>
        <w:jc w:val="left"/>
        <w:rPr>
          <w:rFonts w:ascii="宋体" w:hAnsi="宋体" w:cs="宋体" w:eastAsia="宋体" w:hint="default"/>
          <w:sz w:val="20"/>
          <w:szCs w:val="20"/>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五、投资状况分析" w:id="43"/>
      <w:bookmarkEnd w:id="43"/>
      <w:r>
        <w:rPr>
          <w:rFonts w:ascii="宋体" w:hAnsi="宋体" w:cs="宋体" w:eastAsia="宋体" w:hint="default"/>
          <w:sz w:val="21"/>
          <w:szCs w:val="21"/>
        </w:rPr>
      </w:r>
      <w:r>
        <w:rPr>
          <w:rFonts w:ascii="宋体" w:hAnsi="宋体" w:cs="宋体" w:eastAsia="宋体" w:hint="default"/>
          <w:b/>
          <w:bCs/>
          <w:sz w:val="21"/>
          <w:szCs w:val="21"/>
        </w:rPr>
        <w:t>五、投资状况分析</w:t>
      </w:r>
      <w:r>
        <w:rPr>
          <w:rFonts w:ascii="宋体" w:hAnsi="宋体" w:cs="宋体" w:eastAsia="宋体" w:hint="default"/>
          <w:b/>
          <w:bCs/>
          <w:w w:val="99"/>
          <w:sz w:val="21"/>
          <w:szCs w:val="21"/>
        </w:rPr>
        <w:t> </w:t>
      </w:r>
      <w:bookmarkStart w:name="1、总体情况" w:id="44"/>
      <w:bookmarkEnd w:id="44"/>
      <w:r>
        <w:rPr>
          <w:rFonts w:ascii="宋体" w:hAnsi="宋体" w:cs="宋体" w:eastAsia="宋体" w:hint="default"/>
          <w:b/>
          <w:bCs/>
          <w:w w:val="99"/>
          <w:sz w:val="21"/>
          <w:szCs w:val="21"/>
        </w:rPr>
      </w:r>
      <w:r>
        <w:rPr>
          <w:rFonts w:ascii="宋体" w:hAnsi="宋体" w:cs="宋体" w:eastAsia="宋体" w:hint="default"/>
          <w:b/>
          <w:bCs/>
          <w:sz w:val="20"/>
          <w:szCs w:val="20"/>
        </w:rPr>
        <w:t>1</w:t>
      </w:r>
      <w:r>
        <w:rPr>
          <w:rFonts w:ascii="宋体" w:hAnsi="宋体" w:cs="宋体" w:eastAsia="宋体" w:hint="default"/>
          <w:b/>
          <w:bCs/>
          <w:sz w:val="20"/>
          <w:szCs w:val="20"/>
        </w:rPr>
        <w:t>、总体情况</w:t>
      </w:r>
      <w:r>
        <w:rPr>
          <w:rFonts w:ascii="宋体" w:hAnsi="宋体" w:cs="宋体" w:eastAsia="宋体" w:hint="default"/>
          <w:sz w:val="20"/>
          <w:szCs w:val="20"/>
        </w:rPr>
      </w:r>
    </w:p>
    <w:p>
      <w:pPr>
        <w:pStyle w:val="BodyText"/>
        <w:spacing w:line="240" w:lineRule="auto" w:before="53"/>
        <w:ind w:left="1134" w:right="0"/>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89"/>
        <w:gridCol w:w="3190"/>
        <w:gridCol w:w="3191"/>
      </w:tblGrid>
      <w:tr>
        <w:trPr>
          <w:trHeight w:val="415" w:hRule="exact"/>
        </w:trPr>
        <w:tc>
          <w:tcPr>
            <w:tcW w:w="318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039" w:right="0"/>
              <w:jc w:val="left"/>
              <w:rPr>
                <w:rFonts w:ascii="宋体" w:hAnsi="宋体" w:cs="宋体" w:eastAsia="宋体" w:hint="default"/>
                <w:sz w:val="18"/>
                <w:szCs w:val="18"/>
              </w:rPr>
            </w:pPr>
            <w:r>
              <w:rPr>
                <w:rFonts w:ascii="宋体" w:hAnsi="宋体" w:cs="宋体" w:eastAsia="宋体" w:hint="default"/>
                <w:sz w:val="18"/>
                <w:szCs w:val="18"/>
              </w:rPr>
              <w:t>报告期投资额</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57" w:right="0"/>
              <w:jc w:val="left"/>
              <w:rPr>
                <w:rFonts w:ascii="宋体" w:hAnsi="宋体" w:cs="宋体" w:eastAsia="宋体" w:hint="default"/>
                <w:sz w:val="18"/>
                <w:szCs w:val="18"/>
              </w:rPr>
            </w:pPr>
            <w:r>
              <w:rPr>
                <w:rFonts w:ascii="宋体" w:hAnsi="宋体" w:cs="宋体" w:eastAsia="宋体" w:hint="default"/>
                <w:sz w:val="18"/>
                <w:szCs w:val="18"/>
              </w:rPr>
              <w:t>上年同期投资额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15" w:hRule="exact"/>
        </w:trPr>
        <w:tc>
          <w:tcPr>
            <w:tcW w:w="318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975" w:right="0"/>
              <w:jc w:val="left"/>
              <w:rPr>
                <w:rFonts w:ascii="宋体" w:hAnsi="宋体" w:cs="宋体" w:eastAsia="宋体" w:hint="default"/>
                <w:sz w:val="18"/>
                <w:szCs w:val="18"/>
              </w:rPr>
            </w:pPr>
            <w:r>
              <w:rPr>
                <w:rFonts w:ascii="宋体"/>
                <w:sz w:val="18"/>
              </w:rPr>
              <w:t>84,653,574.83</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895" w:right="0"/>
              <w:jc w:val="left"/>
              <w:rPr>
                <w:rFonts w:ascii="宋体" w:hAnsi="宋体" w:cs="宋体" w:eastAsia="宋体" w:hint="default"/>
                <w:sz w:val="18"/>
                <w:szCs w:val="18"/>
              </w:rPr>
            </w:pPr>
            <w:r>
              <w:rPr>
                <w:rFonts w:ascii="宋体"/>
                <w:sz w:val="18"/>
              </w:rPr>
              <w:t>739,171,776.16</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-88.54%</w:t>
            </w:r>
          </w:p>
        </w:tc>
      </w:tr>
    </w:tbl>
    <w:p>
      <w:pPr>
        <w:spacing w:before="72"/>
        <w:ind w:left="1134" w:right="0" w:firstLine="0"/>
        <w:jc w:val="left"/>
        <w:rPr>
          <w:rFonts w:ascii="宋体" w:hAnsi="宋体" w:cs="宋体" w:eastAsia="宋体" w:hint="default"/>
          <w:sz w:val="20"/>
          <w:szCs w:val="20"/>
        </w:rPr>
      </w:pPr>
      <w:bookmarkStart w:name="2、报告期内获取的重大的股权投资情况" w:id="45"/>
      <w:bookmarkEnd w:id="45"/>
      <w:r>
        <w:rPr/>
      </w:r>
      <w:r>
        <w:rPr>
          <w:rFonts w:ascii="宋体" w:hAnsi="宋体" w:cs="宋体" w:eastAsia="宋体" w:hint="default"/>
          <w:b/>
          <w:bCs/>
          <w:sz w:val="20"/>
          <w:szCs w:val="20"/>
        </w:rPr>
        <w:t>2</w:t>
      </w:r>
      <w:r>
        <w:rPr>
          <w:rFonts w:ascii="宋体" w:hAnsi="宋体" w:cs="宋体" w:eastAsia="宋体" w:hint="default"/>
          <w:b/>
          <w:bCs/>
          <w:sz w:val="20"/>
          <w:szCs w:val="20"/>
        </w:rPr>
        <w:t>、报告期内获取的重大的股权投资情况</w:t>
      </w:r>
      <w:r>
        <w:rPr>
          <w:rFonts w:ascii="宋体" w:hAnsi="宋体" w:cs="宋体" w:eastAsia="宋体" w:hint="default"/>
          <w:sz w:val="20"/>
          <w:szCs w:val="20"/>
        </w:rPr>
      </w:r>
    </w:p>
    <w:p>
      <w:pPr>
        <w:spacing w:line="240" w:lineRule="auto" w:before="13"/>
        <w:rPr>
          <w:rFonts w:ascii="宋体" w:hAnsi="宋体" w:cs="宋体" w:eastAsia="宋体" w:hint="default"/>
          <w:b/>
          <w:bCs/>
          <w:sz w:val="16"/>
          <w:szCs w:val="1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7"/>
        <w:rPr>
          <w:rFonts w:ascii="宋体" w:hAnsi="宋体" w:cs="宋体" w:eastAsia="宋体" w:hint="default"/>
          <w:sz w:val="11"/>
          <w:szCs w:val="1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621" w:type="dxa"/>
        <w:tblLayout w:type="fixed"/>
        <w:tblCellMar>
          <w:top w:w="0" w:type="dxa"/>
          <w:left w:w="0" w:type="dxa"/>
          <w:bottom w:w="0" w:type="dxa"/>
          <w:right w:w="0" w:type="dxa"/>
        </w:tblCellMar>
        <w:tblLook w:val="01E0"/>
      </w:tblPr>
      <w:tblGrid>
        <w:gridCol w:w="639"/>
        <w:gridCol w:w="1204"/>
        <w:gridCol w:w="284"/>
        <w:gridCol w:w="1315"/>
        <w:gridCol w:w="810"/>
        <w:gridCol w:w="557"/>
        <w:gridCol w:w="577"/>
        <w:gridCol w:w="425"/>
        <w:gridCol w:w="426"/>
        <w:gridCol w:w="1276"/>
        <w:gridCol w:w="1276"/>
        <w:gridCol w:w="425"/>
        <w:gridCol w:w="709"/>
        <w:gridCol w:w="709"/>
      </w:tblGrid>
      <w:tr>
        <w:trPr>
          <w:trHeight w:val="1351" w:hRule="exact"/>
        </w:trPr>
        <w:tc>
          <w:tcPr>
            <w:tcW w:w="63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 w:right="4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1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2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44" w:right="43"/>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131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8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55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1" w:right="89"/>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90" w:right="101"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42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4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6" w:right="23"/>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42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7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7" w:right="74"/>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0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7" w:right="66"/>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5407" w:hRule="exact"/>
        </w:trPr>
        <w:tc>
          <w:tcPr>
            <w:tcW w:w="63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13" w:right="61"/>
              <w:jc w:val="both"/>
              <w:rPr>
                <w:rFonts w:ascii="宋体" w:hAnsi="宋体" w:cs="宋体" w:eastAsia="宋体" w:hint="default"/>
                <w:sz w:val="18"/>
                <w:szCs w:val="18"/>
              </w:rPr>
            </w:pPr>
            <w:r>
              <w:rPr>
                <w:rFonts w:ascii="宋体" w:hAnsi="宋体" w:cs="宋体" w:eastAsia="宋体" w:hint="default"/>
                <w:sz w:val="18"/>
                <w:szCs w:val="18"/>
              </w:rPr>
              <w:t>江苏德 能电力 设计咨 询有限 公司</w:t>
            </w:r>
          </w:p>
        </w:tc>
        <w:tc>
          <w:tcPr>
            <w:tcW w:w="120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21" w:right="-4"/>
              <w:jc w:val="both"/>
              <w:rPr>
                <w:rFonts w:ascii="宋体" w:hAnsi="宋体" w:cs="宋体" w:eastAsia="宋体" w:hint="default"/>
                <w:sz w:val="18"/>
                <w:szCs w:val="18"/>
              </w:rPr>
            </w:pPr>
            <w:r>
              <w:rPr>
                <w:rFonts w:ascii="宋体" w:hAnsi="宋体" w:cs="宋体" w:eastAsia="宋体" w:hint="default"/>
                <w:sz w:val="18"/>
                <w:szCs w:val="18"/>
              </w:rPr>
              <w:t>220KV</w:t>
            </w:r>
            <w:r>
              <w:rPr>
                <w:rFonts w:ascii="宋体" w:hAnsi="宋体" w:cs="宋体" w:eastAsia="宋体" w:hint="default"/>
                <w:spacing w:val="24"/>
                <w:sz w:val="18"/>
                <w:szCs w:val="18"/>
              </w:rPr>
              <w:t> </w:t>
            </w:r>
            <w:r>
              <w:rPr>
                <w:rFonts w:ascii="宋体" w:hAnsi="宋体" w:cs="宋体" w:eastAsia="宋体" w:hint="default"/>
                <w:spacing w:val="14"/>
                <w:sz w:val="18"/>
                <w:szCs w:val="18"/>
              </w:rPr>
              <w:t>及以下</w:t>
            </w:r>
            <w:r>
              <w:rPr>
                <w:rFonts w:ascii="宋体" w:hAnsi="宋体" w:cs="宋体" w:eastAsia="宋体" w:hint="default"/>
                <w:spacing w:val="-68"/>
                <w:sz w:val="18"/>
                <w:szCs w:val="18"/>
              </w:rPr>
              <w:t> </w:t>
            </w:r>
            <w:r>
              <w:rPr>
                <w:rFonts w:ascii="宋体" w:hAnsi="宋体" w:cs="宋体" w:eastAsia="宋体" w:hint="default"/>
                <w:spacing w:val="13"/>
                <w:sz w:val="18"/>
                <w:szCs w:val="18"/>
              </w:rPr>
              <w:t>输电、变电、</w:t>
            </w:r>
            <w:r>
              <w:rPr>
                <w:rFonts w:ascii="宋体" w:hAnsi="宋体" w:cs="宋体" w:eastAsia="宋体" w:hint="default"/>
                <w:spacing w:val="13"/>
                <w:sz w:val="18"/>
                <w:szCs w:val="18"/>
              </w:rPr>
              <w:t> </w:t>
            </w:r>
            <w:r>
              <w:rPr>
                <w:rFonts w:ascii="宋体" w:hAnsi="宋体" w:cs="宋体" w:eastAsia="宋体" w:hint="default"/>
                <w:sz w:val="18"/>
                <w:szCs w:val="18"/>
              </w:rPr>
              <w:t>配</w:t>
            </w:r>
            <w:r>
              <w:rPr>
                <w:rFonts w:ascii="宋体" w:hAnsi="宋体" w:cs="宋体" w:eastAsia="宋体" w:hint="default"/>
                <w:spacing w:val="-29"/>
                <w:sz w:val="18"/>
                <w:szCs w:val="18"/>
              </w:rPr>
              <w:t> </w:t>
            </w:r>
            <w:r>
              <w:rPr>
                <w:rFonts w:ascii="宋体" w:hAnsi="宋体" w:cs="宋体" w:eastAsia="宋体" w:hint="default"/>
                <w:sz w:val="18"/>
                <w:szCs w:val="18"/>
              </w:rPr>
              <w:t>电</w:t>
            </w:r>
            <w:r>
              <w:rPr>
                <w:rFonts w:ascii="宋体" w:hAnsi="宋体" w:cs="宋体" w:eastAsia="宋体" w:hint="default"/>
                <w:spacing w:val="-29"/>
                <w:sz w:val="18"/>
                <w:szCs w:val="18"/>
              </w:rPr>
              <w:t> </w:t>
            </w:r>
            <w:r>
              <w:rPr>
                <w:rFonts w:ascii="宋体" w:hAnsi="宋体" w:cs="宋体" w:eastAsia="宋体" w:hint="default"/>
                <w:sz w:val="18"/>
                <w:szCs w:val="18"/>
              </w:rPr>
              <w:t>工</w:t>
            </w:r>
            <w:r>
              <w:rPr>
                <w:rFonts w:ascii="宋体" w:hAnsi="宋体" w:cs="宋体" w:eastAsia="宋体" w:hint="default"/>
                <w:spacing w:val="-28"/>
                <w:sz w:val="18"/>
                <w:szCs w:val="18"/>
              </w:rPr>
              <w:t> </w:t>
            </w:r>
            <w:r>
              <w:rPr>
                <w:rFonts w:ascii="宋体" w:hAnsi="宋体" w:cs="宋体" w:eastAsia="宋体" w:hint="default"/>
                <w:sz w:val="18"/>
                <w:szCs w:val="18"/>
              </w:rPr>
              <w:t>程</w:t>
            </w:r>
            <w:r>
              <w:rPr>
                <w:rFonts w:ascii="宋体" w:hAnsi="宋体" w:cs="宋体" w:eastAsia="宋体" w:hint="default"/>
                <w:spacing w:val="-29"/>
                <w:sz w:val="18"/>
                <w:szCs w:val="18"/>
              </w:rPr>
              <w:t> </w:t>
            </w:r>
            <w:r>
              <w:rPr>
                <w:rFonts w:ascii="宋体" w:hAnsi="宋体" w:cs="宋体" w:eastAsia="宋体" w:hint="default"/>
                <w:sz w:val="18"/>
                <w:szCs w:val="18"/>
              </w:rPr>
              <w:t>设</w:t>
            </w:r>
            <w:r>
              <w:rPr>
                <w:rFonts w:ascii="宋体" w:hAnsi="宋体" w:cs="宋体" w:eastAsia="宋体" w:hint="default"/>
                <w:sz w:val="18"/>
                <w:szCs w:val="18"/>
              </w:rPr>
              <w:t> </w:t>
            </w:r>
            <w:r>
              <w:rPr>
                <w:rFonts w:ascii="宋体" w:hAnsi="宋体" w:cs="宋体" w:eastAsia="宋体" w:hint="default"/>
                <w:spacing w:val="13"/>
                <w:sz w:val="18"/>
                <w:szCs w:val="18"/>
              </w:rPr>
              <w:t>计，电力工程</w:t>
            </w:r>
            <w:r>
              <w:rPr>
                <w:rFonts w:ascii="宋体" w:hAnsi="宋体" w:cs="宋体" w:eastAsia="宋体" w:hint="default"/>
                <w:spacing w:val="13"/>
                <w:sz w:val="18"/>
                <w:szCs w:val="18"/>
              </w:rPr>
              <w:t> </w:t>
            </w:r>
            <w:r>
              <w:rPr>
                <w:rFonts w:ascii="宋体" w:hAnsi="宋体" w:cs="宋体" w:eastAsia="宋体" w:hint="default"/>
                <w:sz w:val="18"/>
                <w:szCs w:val="18"/>
              </w:rPr>
              <w:t>项</w:t>
            </w:r>
            <w:r>
              <w:rPr>
                <w:rFonts w:ascii="宋体" w:hAnsi="宋体" w:cs="宋体" w:eastAsia="宋体" w:hint="default"/>
                <w:spacing w:val="-29"/>
                <w:sz w:val="18"/>
                <w:szCs w:val="18"/>
              </w:rPr>
              <w:t> </w:t>
            </w:r>
            <w:r>
              <w:rPr>
                <w:rFonts w:ascii="宋体" w:hAnsi="宋体" w:cs="宋体" w:eastAsia="宋体" w:hint="default"/>
                <w:sz w:val="18"/>
                <w:szCs w:val="18"/>
              </w:rPr>
              <w:t>目</w:t>
            </w:r>
            <w:r>
              <w:rPr>
                <w:rFonts w:ascii="宋体" w:hAnsi="宋体" w:cs="宋体" w:eastAsia="宋体" w:hint="default"/>
                <w:spacing w:val="-29"/>
                <w:sz w:val="18"/>
                <w:szCs w:val="18"/>
              </w:rPr>
              <w:t> </w:t>
            </w:r>
            <w:r>
              <w:rPr>
                <w:rFonts w:ascii="宋体" w:hAnsi="宋体" w:cs="宋体" w:eastAsia="宋体" w:hint="default"/>
                <w:sz w:val="18"/>
                <w:szCs w:val="18"/>
              </w:rPr>
              <w:t>规</w:t>
            </w:r>
            <w:r>
              <w:rPr>
                <w:rFonts w:ascii="宋体" w:hAnsi="宋体" w:cs="宋体" w:eastAsia="宋体" w:hint="default"/>
                <w:spacing w:val="-28"/>
                <w:sz w:val="18"/>
                <w:szCs w:val="18"/>
              </w:rPr>
              <w:t> </w:t>
            </w:r>
            <w:r>
              <w:rPr>
                <w:rFonts w:ascii="宋体" w:hAnsi="宋体" w:cs="宋体" w:eastAsia="宋体" w:hint="default"/>
                <w:sz w:val="18"/>
                <w:szCs w:val="18"/>
              </w:rPr>
              <w:t>划</w:t>
            </w:r>
            <w:r>
              <w:rPr>
                <w:rFonts w:ascii="宋体" w:hAnsi="宋体" w:cs="宋体" w:eastAsia="宋体" w:hint="default"/>
                <w:spacing w:val="-29"/>
                <w:sz w:val="18"/>
                <w:szCs w:val="18"/>
              </w:rPr>
              <w:t> </w:t>
            </w:r>
            <w:r>
              <w:rPr>
                <w:rFonts w:ascii="宋体" w:hAnsi="宋体" w:cs="宋体" w:eastAsia="宋体" w:hint="default"/>
                <w:sz w:val="18"/>
                <w:szCs w:val="18"/>
              </w:rPr>
              <w:t>咨</w:t>
            </w:r>
            <w:r>
              <w:rPr>
                <w:rFonts w:ascii="宋体" w:hAnsi="宋体" w:cs="宋体" w:eastAsia="宋体" w:hint="default"/>
                <w:sz w:val="18"/>
                <w:szCs w:val="18"/>
              </w:rPr>
              <w:t> </w:t>
            </w:r>
            <w:r>
              <w:rPr>
                <w:rFonts w:ascii="宋体" w:hAnsi="宋体" w:cs="宋体" w:eastAsia="宋体" w:hint="default"/>
                <w:spacing w:val="13"/>
                <w:sz w:val="18"/>
                <w:szCs w:val="18"/>
              </w:rPr>
              <w:t>询，电力技术</w:t>
            </w:r>
            <w:r>
              <w:rPr>
                <w:rFonts w:ascii="宋体" w:hAnsi="宋体" w:cs="宋体" w:eastAsia="宋体" w:hint="default"/>
                <w:spacing w:val="13"/>
                <w:sz w:val="18"/>
                <w:szCs w:val="18"/>
              </w:rPr>
              <w:t> 咨询，电力工 程项目可行性 研究，编制电 力工程项目建 议书，制定接 入系统方案， 电网规划、设 计服务，编制 电力工程项目 设计、施工概 </w:t>
            </w:r>
            <w:r>
              <w:rPr>
                <w:rFonts w:ascii="宋体" w:hAnsi="宋体" w:cs="宋体" w:eastAsia="宋体" w:hint="default"/>
                <w:sz w:val="18"/>
                <w:szCs w:val="18"/>
              </w:rPr>
              <w:t>预算</w:t>
            </w:r>
          </w:p>
        </w:tc>
        <w:tc>
          <w:tcPr>
            <w:tcW w:w="2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0" w:right="67"/>
              <w:jc w:val="left"/>
              <w:rPr>
                <w:rFonts w:ascii="宋体" w:hAnsi="宋体" w:cs="宋体" w:eastAsia="宋体" w:hint="default"/>
                <w:sz w:val="18"/>
                <w:szCs w:val="18"/>
              </w:rPr>
            </w:pPr>
            <w:r>
              <w:rPr>
                <w:rFonts w:ascii="宋体" w:hAnsi="宋体" w:cs="宋体" w:eastAsia="宋体" w:hint="default"/>
                <w:sz w:val="18"/>
                <w:szCs w:val="18"/>
              </w:rPr>
              <w:t>收 购</w:t>
            </w:r>
          </w:p>
        </w:tc>
        <w:tc>
          <w:tcPr>
            <w:tcW w:w="13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sz w:val="18"/>
              </w:rPr>
              <w:t>29,000,000.00</w:t>
            </w:r>
          </w:p>
        </w:tc>
        <w:tc>
          <w:tcPr>
            <w:tcW w:w="8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100.00%</w:t>
            </w:r>
          </w:p>
        </w:tc>
        <w:tc>
          <w:tcPr>
            <w:tcW w:w="5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1" w:right="15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0" w:right="18"/>
              <w:jc w:val="left"/>
              <w:rPr>
                <w:rFonts w:ascii="宋体" w:hAnsi="宋体" w:cs="宋体" w:eastAsia="宋体" w:hint="default"/>
                <w:sz w:val="18"/>
                <w:szCs w:val="18"/>
              </w:rPr>
            </w:pPr>
            <w:r>
              <w:rPr>
                <w:rFonts w:ascii="宋体" w:hAnsi="宋体" w:cs="宋体" w:eastAsia="宋体" w:hint="default"/>
                <w:sz w:val="18"/>
                <w:szCs w:val="18"/>
              </w:rPr>
              <w:t>唐明 群先 </w:t>
            </w:r>
            <w:r>
              <w:rPr>
                <w:rFonts w:ascii="宋体" w:hAnsi="宋体" w:cs="宋体" w:eastAsia="宋体" w:hint="default"/>
                <w:spacing w:val="-6"/>
                <w:sz w:val="18"/>
                <w:szCs w:val="18"/>
              </w:rPr>
              <w:t>生、张</w:t>
            </w:r>
            <w:r>
              <w:rPr>
                <w:rFonts w:ascii="宋体" w:hAnsi="宋体" w:cs="宋体" w:eastAsia="宋体" w:hint="default"/>
                <w:sz w:val="18"/>
                <w:szCs w:val="18"/>
              </w:rPr>
              <w:t> 望崧 先生</w:t>
            </w:r>
          </w:p>
        </w:tc>
        <w:tc>
          <w:tcPr>
            <w:tcW w:w="4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1" w:right="29"/>
              <w:jc w:val="both"/>
              <w:rPr>
                <w:rFonts w:ascii="宋体" w:hAnsi="宋体" w:cs="宋体" w:eastAsia="宋体" w:hint="default"/>
                <w:sz w:val="18"/>
                <w:szCs w:val="18"/>
              </w:rPr>
            </w:pPr>
            <w:r>
              <w:rPr>
                <w:rFonts w:ascii="宋体" w:hAnsi="宋体" w:cs="宋体" w:eastAsia="宋体" w:hint="default"/>
                <w:sz w:val="18"/>
                <w:szCs w:val="18"/>
              </w:rPr>
              <w:t>电力 工程 设计</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sz w:val="18"/>
              </w:rPr>
              <w:t>7,000,000.00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sz w:val="18"/>
              </w:rPr>
              <w:t>4,231,667.88</w:t>
            </w:r>
          </w:p>
        </w:tc>
        <w:tc>
          <w:tcPr>
            <w:tcW w:w="4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 w:right="32"/>
              <w:jc w:val="both"/>
              <w:rPr>
                <w:rFonts w:ascii="宋体" w:hAnsi="宋体" w:cs="宋体" w:eastAsia="宋体" w:hint="default"/>
                <w:sz w:val="18"/>
                <w:szCs w:val="18"/>
              </w:rPr>
            </w:pPr>
            <w:r>
              <w:rPr>
                <w:rFonts w:ascii="宋体"/>
                <w:sz w:val="18"/>
              </w:rPr>
              <w:t>http:// www.cni nfo.com</w:t>
            </w:r>
          </w:p>
          <w:p>
            <w:pPr>
              <w:pStyle w:val="TableParagraph"/>
              <w:spacing w:line="316" w:lineRule="auto" w:before="19"/>
              <w:ind w:left="21" w:right="-56"/>
              <w:jc w:val="left"/>
              <w:rPr>
                <w:rFonts w:ascii="宋体" w:hAnsi="宋体" w:cs="宋体" w:eastAsia="宋体" w:hint="default"/>
                <w:sz w:val="18"/>
                <w:szCs w:val="18"/>
              </w:rPr>
            </w:pPr>
            <w:r>
              <w:rPr>
                <w:rFonts w:ascii="宋体" w:hAnsi="宋体" w:cs="宋体" w:eastAsia="宋体" w:hint="default"/>
                <w:sz w:val="18"/>
                <w:szCs w:val="18"/>
              </w:rPr>
              <w:t>.cn</w:t>
            </w:r>
            <w:r>
              <w:rPr>
                <w:rFonts w:ascii="宋体" w:hAnsi="宋体" w:cs="宋体" w:eastAsia="宋体" w:hint="default"/>
                <w:sz w:val="18"/>
                <w:szCs w:val="18"/>
              </w:rPr>
              <w:t>《光 一科技： 关于收 购资产 的公告》</w:t>
            </w:r>
          </w:p>
          <w:p>
            <w:pPr>
              <w:pStyle w:val="TableParagraph"/>
              <w:spacing w:line="316" w:lineRule="auto" w:before="19"/>
              <w:ind w:left="21" w:right="32"/>
              <w:jc w:val="left"/>
              <w:rPr>
                <w:rFonts w:ascii="宋体" w:hAnsi="宋体" w:cs="宋体" w:eastAsia="宋体" w:hint="default"/>
                <w:sz w:val="18"/>
                <w:szCs w:val="18"/>
              </w:rPr>
            </w:pPr>
            <w:r>
              <w:rPr>
                <w:rFonts w:ascii="宋体" w:hAnsi="宋体" w:cs="宋体" w:eastAsia="宋体" w:hint="default"/>
                <w:sz w:val="18"/>
                <w:szCs w:val="18"/>
              </w:rPr>
              <w:t>（公告 编号 </w:t>
            </w:r>
            <w:r>
              <w:rPr>
                <w:rFonts w:ascii="宋体" w:hAnsi="宋体" w:cs="宋体" w:eastAsia="宋体" w:hint="default"/>
                <w:sz w:val="18"/>
                <w:szCs w:val="18"/>
              </w:rPr>
              <w:t>2015-03</w:t>
            </w:r>
          </w:p>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628" w:type="dxa"/>
        <w:tblLayout w:type="fixed"/>
        <w:tblCellMar>
          <w:top w:w="0" w:type="dxa"/>
          <w:left w:w="0" w:type="dxa"/>
          <w:bottom w:w="0" w:type="dxa"/>
          <w:right w:w="0" w:type="dxa"/>
        </w:tblCellMar>
        <w:tblLook w:val="01E0"/>
      </w:tblPr>
      <w:tblGrid>
        <w:gridCol w:w="632"/>
        <w:gridCol w:w="1204"/>
        <w:gridCol w:w="284"/>
        <w:gridCol w:w="1315"/>
        <w:gridCol w:w="810"/>
        <w:gridCol w:w="557"/>
        <w:gridCol w:w="577"/>
        <w:gridCol w:w="425"/>
        <w:gridCol w:w="425"/>
        <w:gridCol w:w="1276"/>
        <w:gridCol w:w="1276"/>
        <w:gridCol w:w="425"/>
        <w:gridCol w:w="709"/>
        <w:gridCol w:w="703"/>
      </w:tblGrid>
      <w:tr>
        <w:trPr>
          <w:trHeight w:val="422" w:hRule="exact"/>
        </w:trPr>
        <w:tc>
          <w:tcPr>
            <w:tcW w:w="632"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1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4"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284"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left="44" w:right="0"/>
              <w:jc w:val="left"/>
              <w:rPr>
                <w:rFonts w:ascii="宋体" w:hAnsi="宋体" w:cs="宋体" w:eastAsia="宋体" w:hint="default"/>
                <w:sz w:val="18"/>
                <w:szCs w:val="18"/>
              </w:rPr>
            </w:pPr>
            <w:r>
              <w:rPr>
                <w:rFonts w:ascii="宋体"/>
                <w:sz w:val="18"/>
              </w:rPr>
              <w:t>--</w:t>
            </w:r>
          </w:p>
        </w:tc>
        <w:tc>
          <w:tcPr>
            <w:tcW w:w="13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110" w:right="0"/>
              <w:jc w:val="left"/>
              <w:rPr>
                <w:rFonts w:ascii="宋体" w:hAnsi="宋体" w:cs="宋体" w:eastAsia="宋体" w:hint="default"/>
                <w:sz w:val="18"/>
                <w:szCs w:val="18"/>
              </w:rPr>
            </w:pPr>
            <w:r>
              <w:rPr>
                <w:rFonts w:ascii="宋体"/>
                <w:sz w:val="18"/>
              </w:rPr>
              <w:t>29,000,000.00</w:t>
            </w:r>
          </w:p>
        </w:tc>
        <w:tc>
          <w:tcPr>
            <w:tcW w:w="810"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557"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577"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425"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sz w:val="18"/>
              </w:rPr>
              <w:t>--</w:t>
            </w:r>
          </w:p>
        </w:tc>
        <w:tc>
          <w:tcPr>
            <w:tcW w:w="425"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sz w:val="18"/>
              </w:rPr>
              <w:t>--</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160" w:right="0"/>
              <w:jc w:val="left"/>
              <w:rPr>
                <w:rFonts w:ascii="宋体" w:hAnsi="宋体" w:cs="宋体" w:eastAsia="宋体" w:hint="default"/>
                <w:sz w:val="18"/>
                <w:szCs w:val="18"/>
              </w:rPr>
            </w:pPr>
            <w:r>
              <w:rPr>
                <w:rFonts w:ascii="宋体"/>
                <w:sz w:val="18"/>
              </w:rPr>
              <w:t>7,000,000.00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160" w:right="0"/>
              <w:jc w:val="left"/>
              <w:rPr>
                <w:rFonts w:ascii="宋体" w:hAnsi="宋体" w:cs="宋体" w:eastAsia="宋体" w:hint="default"/>
                <w:sz w:val="18"/>
                <w:szCs w:val="18"/>
              </w:rPr>
            </w:pPr>
            <w:r>
              <w:rPr>
                <w:rFonts w:ascii="宋体"/>
                <w:sz w:val="18"/>
              </w:rPr>
              <w:t>4,231,667.88</w:t>
            </w:r>
          </w:p>
        </w:tc>
        <w:tc>
          <w:tcPr>
            <w:tcW w:w="425"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sz w:val="18"/>
              </w:rPr>
              <w:t>--</w:t>
            </w:r>
          </w:p>
        </w:tc>
        <w:tc>
          <w:tcPr>
            <w:tcW w:w="709"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03" w:type="dxa"/>
            <w:tcBorders>
              <w:top w:val="single" w:sz="12"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sz w:val="18"/>
              </w:rPr>
              <w:t>--</w:t>
            </w:r>
          </w:p>
        </w:tc>
      </w:tr>
    </w:tbl>
    <w:p>
      <w:pPr>
        <w:spacing w:before="72"/>
        <w:ind w:left="1134" w:right="0" w:firstLine="0"/>
        <w:jc w:val="left"/>
        <w:rPr>
          <w:rFonts w:ascii="宋体" w:hAnsi="宋体" w:cs="宋体" w:eastAsia="宋体" w:hint="default"/>
          <w:sz w:val="20"/>
          <w:szCs w:val="20"/>
        </w:rPr>
      </w:pPr>
      <w:bookmarkStart w:name="3、报告期内正在进行的重大的非股权投资情况" w:id="46"/>
      <w:bookmarkEnd w:id="46"/>
      <w:r>
        <w:rPr/>
      </w:r>
      <w:r>
        <w:rPr>
          <w:rFonts w:ascii="宋体" w:hAnsi="宋体" w:cs="宋体" w:eastAsia="宋体" w:hint="default"/>
          <w:b/>
          <w:bCs/>
          <w:sz w:val="20"/>
          <w:szCs w:val="20"/>
        </w:rPr>
        <w:t>3</w:t>
      </w:r>
      <w:r>
        <w:rPr>
          <w:rFonts w:ascii="宋体" w:hAnsi="宋体" w:cs="宋体" w:eastAsia="宋体" w:hint="default"/>
          <w:b/>
          <w:bCs/>
          <w:sz w:val="20"/>
          <w:szCs w:val="20"/>
        </w:rPr>
        <w:t>、报告期内正在进行的重大的非股权投资情况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7"/>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613" w:type="dxa"/>
        <w:tblLayout w:type="fixed"/>
        <w:tblCellMar>
          <w:top w:w="0" w:type="dxa"/>
          <w:left w:w="0" w:type="dxa"/>
          <w:bottom w:w="0" w:type="dxa"/>
          <w:right w:w="0" w:type="dxa"/>
        </w:tblCellMar>
        <w:tblLook w:val="01E0"/>
      </w:tblPr>
      <w:tblGrid>
        <w:gridCol w:w="1226"/>
        <w:gridCol w:w="568"/>
        <w:gridCol w:w="708"/>
        <w:gridCol w:w="709"/>
        <w:gridCol w:w="1276"/>
        <w:gridCol w:w="1417"/>
        <w:gridCol w:w="568"/>
        <w:gridCol w:w="709"/>
        <w:gridCol w:w="524"/>
        <w:gridCol w:w="737"/>
        <w:gridCol w:w="736"/>
        <w:gridCol w:w="736"/>
        <w:gridCol w:w="736"/>
      </w:tblGrid>
      <w:tr>
        <w:trPr>
          <w:trHeight w:val="1663" w:hRule="exact"/>
        </w:trPr>
        <w:tc>
          <w:tcPr>
            <w:tcW w:w="122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5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5" w:right="95"/>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0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6" w:right="74"/>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7" w:right="74"/>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51" w:right="88"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4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70" w:right="71"/>
              <w:jc w:val="left"/>
              <w:rPr>
                <w:rFonts w:ascii="宋体" w:hAnsi="宋体" w:cs="宋体" w:eastAsia="宋体" w:hint="default"/>
                <w:sz w:val="18"/>
                <w:szCs w:val="18"/>
              </w:rPr>
            </w:pPr>
            <w:r>
              <w:rPr>
                <w:rFonts w:ascii="宋体" w:hAnsi="宋体" w:cs="宋体" w:eastAsia="宋体" w:hint="default"/>
                <w:sz w:val="18"/>
                <w:szCs w:val="18"/>
              </w:rPr>
              <w:t>截至报告期末累 计实际投入金额</w:t>
            </w:r>
          </w:p>
        </w:tc>
        <w:tc>
          <w:tcPr>
            <w:tcW w:w="5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7"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52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74" w:right="72"/>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91" w:right="89"/>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89" w:right="89"/>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0" w:right="8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1" w:right="80"/>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719" w:hRule="exact"/>
        </w:trPr>
        <w:tc>
          <w:tcPr>
            <w:tcW w:w="1226"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92" w:right="64" w:hanging="135"/>
              <w:jc w:val="left"/>
              <w:rPr>
                <w:rFonts w:ascii="宋体" w:hAnsi="宋体" w:cs="宋体" w:eastAsia="宋体" w:hint="default"/>
                <w:sz w:val="18"/>
                <w:szCs w:val="18"/>
              </w:rPr>
            </w:pPr>
            <w:r>
              <w:rPr>
                <w:rFonts w:ascii="宋体" w:hAnsi="宋体" w:cs="宋体" w:eastAsia="宋体" w:hint="default"/>
                <w:sz w:val="18"/>
                <w:szCs w:val="18"/>
              </w:rPr>
              <w:t>生产与中试基 地</w:t>
            </w:r>
            <w:r>
              <w:rPr>
                <w:rFonts w:ascii="宋体" w:hAnsi="宋体" w:cs="宋体" w:eastAsia="宋体" w:hint="default"/>
                <w:sz w:val="18"/>
                <w:szCs w:val="18"/>
              </w:rPr>
              <w:t>/</w:t>
            </w:r>
            <w:r>
              <w:rPr>
                <w:rFonts w:ascii="宋体" w:hAnsi="宋体" w:cs="宋体" w:eastAsia="宋体" w:hint="default"/>
                <w:sz w:val="18"/>
                <w:szCs w:val="18"/>
              </w:rPr>
              <w:t>综合楼</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自建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1" w:right="131"/>
              <w:jc w:val="left"/>
              <w:rPr>
                <w:rFonts w:ascii="宋体" w:hAnsi="宋体" w:cs="宋体" w:eastAsia="宋体" w:hint="default"/>
                <w:sz w:val="18"/>
                <w:szCs w:val="18"/>
              </w:rPr>
            </w:pPr>
            <w:r>
              <w:rPr>
                <w:rFonts w:ascii="宋体" w:hAnsi="宋体" w:cs="宋体" w:eastAsia="宋体" w:hint="default"/>
                <w:sz w:val="18"/>
                <w:szCs w:val="18"/>
              </w:rPr>
              <w:t>电力设 备行业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37,839,824.15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113,187,815.80</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自筹</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center"/>
              <w:rPr>
                <w:rFonts w:ascii="宋体" w:hAnsi="宋体" w:cs="宋体" w:eastAsia="宋体" w:hint="default"/>
                <w:sz w:val="18"/>
                <w:szCs w:val="18"/>
              </w:rPr>
            </w:pPr>
            <w:r>
              <w:rPr>
                <w:rFonts w:ascii="宋体"/>
                <w:sz w:val="18"/>
              </w:rPr>
              <w:t>86.00%</w:t>
            </w:r>
          </w:p>
        </w:tc>
        <w:tc>
          <w:tcPr>
            <w:tcW w:w="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226"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237" w:right="64" w:hanging="180"/>
              <w:jc w:val="left"/>
              <w:rPr>
                <w:rFonts w:ascii="宋体" w:hAnsi="宋体" w:cs="宋体" w:eastAsia="宋体" w:hint="default"/>
                <w:sz w:val="18"/>
                <w:szCs w:val="18"/>
              </w:rPr>
            </w:pPr>
            <w:r>
              <w:rPr>
                <w:rFonts w:ascii="宋体" w:hAnsi="宋体" w:cs="宋体" w:eastAsia="宋体" w:hint="default"/>
                <w:sz w:val="18"/>
                <w:szCs w:val="18"/>
              </w:rPr>
              <w:t>山源科技公司 二期工程</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自建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131"/>
              <w:jc w:val="left"/>
              <w:rPr>
                <w:rFonts w:ascii="宋体" w:hAnsi="宋体" w:cs="宋体" w:eastAsia="宋体" w:hint="default"/>
                <w:sz w:val="18"/>
                <w:szCs w:val="18"/>
              </w:rPr>
            </w:pPr>
            <w:r>
              <w:rPr>
                <w:rFonts w:ascii="宋体" w:hAnsi="宋体" w:cs="宋体" w:eastAsia="宋体" w:hint="default"/>
                <w:sz w:val="18"/>
                <w:szCs w:val="18"/>
              </w:rPr>
              <w:t>电力设 备行业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1,708,788.96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6,071,753.75</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自筹</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1" w:right="0"/>
              <w:jc w:val="center"/>
              <w:rPr>
                <w:rFonts w:ascii="宋体" w:hAnsi="宋体" w:cs="宋体" w:eastAsia="宋体" w:hint="default"/>
                <w:sz w:val="18"/>
                <w:szCs w:val="18"/>
              </w:rPr>
            </w:pPr>
            <w:r>
              <w:rPr>
                <w:rFonts w:ascii="宋体"/>
                <w:sz w:val="18"/>
              </w:rPr>
              <w:t>90.00%</w:t>
            </w:r>
          </w:p>
        </w:tc>
        <w:tc>
          <w:tcPr>
            <w:tcW w:w="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226"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417" w:right="64" w:hanging="360"/>
              <w:jc w:val="left"/>
              <w:rPr>
                <w:rFonts w:ascii="宋体" w:hAnsi="宋体" w:cs="宋体" w:eastAsia="宋体" w:hint="default"/>
                <w:sz w:val="18"/>
                <w:szCs w:val="18"/>
              </w:rPr>
            </w:pPr>
            <w:r>
              <w:rPr>
                <w:rFonts w:ascii="宋体" w:hAnsi="宋体" w:cs="宋体" w:eastAsia="宋体" w:hint="default"/>
                <w:sz w:val="18"/>
                <w:szCs w:val="18"/>
              </w:rPr>
              <w:t>睿博公司一期 工程</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自建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131"/>
              <w:jc w:val="left"/>
              <w:rPr>
                <w:rFonts w:ascii="宋体" w:hAnsi="宋体" w:cs="宋体" w:eastAsia="宋体" w:hint="default"/>
                <w:sz w:val="18"/>
                <w:szCs w:val="18"/>
              </w:rPr>
            </w:pPr>
            <w:r>
              <w:rPr>
                <w:rFonts w:ascii="宋体" w:hAnsi="宋体" w:cs="宋体" w:eastAsia="宋体" w:hint="default"/>
                <w:sz w:val="18"/>
                <w:szCs w:val="18"/>
              </w:rPr>
              <w:t>电力设 备行业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32,969,603.47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45,952,526.94</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自筹</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1" w:right="0"/>
              <w:jc w:val="center"/>
              <w:rPr>
                <w:rFonts w:ascii="宋体" w:hAnsi="宋体" w:cs="宋体" w:eastAsia="宋体" w:hint="default"/>
                <w:sz w:val="18"/>
                <w:szCs w:val="18"/>
              </w:rPr>
            </w:pPr>
            <w:r>
              <w:rPr>
                <w:rFonts w:ascii="宋体"/>
                <w:sz w:val="18"/>
              </w:rPr>
              <w:t>45.00%</w:t>
            </w:r>
          </w:p>
        </w:tc>
        <w:tc>
          <w:tcPr>
            <w:tcW w:w="52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12" w:space="0" w:color="000000"/>
            </w:tcBorders>
          </w:tcPr>
          <w:p>
            <w:pPr/>
          </w:p>
        </w:tc>
      </w:tr>
      <w:tr>
        <w:trPr>
          <w:trHeight w:val="416" w:hRule="exact"/>
        </w:trPr>
        <w:tc>
          <w:tcPr>
            <w:tcW w:w="122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合计</w:t>
            </w:r>
          </w:p>
        </w:tc>
        <w:tc>
          <w:tcPr>
            <w:tcW w:w="56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185"/>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70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1276"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72,518,216.58</w:t>
            </w:r>
          </w:p>
        </w:tc>
        <w:tc>
          <w:tcPr>
            <w:tcW w:w="1417" w:type="dxa"/>
            <w:tcBorders>
              <w:top w:val="single" w:sz="6" w:space="0" w:color="000000"/>
              <w:left w:val="single" w:sz="6" w:space="0" w:color="000000"/>
              <w:bottom w:val="single" w:sz="12" w:space="0" w:color="000000"/>
              <w:right w:val="single" w:sz="14" w:space="0" w:color="D2D2D2"/>
            </w:tcBorders>
          </w:tcPr>
          <w:p>
            <w:pPr>
              <w:pStyle w:val="TableParagraph"/>
              <w:spacing w:line="240" w:lineRule="auto" w:before="52"/>
              <w:ind w:right="7"/>
              <w:jc w:val="right"/>
              <w:rPr>
                <w:rFonts w:ascii="宋体" w:hAnsi="宋体" w:cs="宋体" w:eastAsia="宋体" w:hint="default"/>
                <w:sz w:val="18"/>
                <w:szCs w:val="18"/>
              </w:rPr>
            </w:pPr>
            <w:r>
              <w:rPr>
                <w:rFonts w:ascii="宋体"/>
                <w:sz w:val="18"/>
              </w:rPr>
              <w:t>165,212,096.49</w:t>
            </w:r>
          </w:p>
        </w:tc>
        <w:tc>
          <w:tcPr>
            <w:tcW w:w="56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185"/>
              <w:jc w:val="right"/>
              <w:rPr>
                <w:rFonts w:ascii="宋体" w:hAnsi="宋体" w:cs="宋体" w:eastAsia="宋体" w:hint="default"/>
                <w:sz w:val="18"/>
                <w:szCs w:val="18"/>
              </w:rPr>
            </w:pPr>
            <w:r>
              <w:rPr>
                <w:rFonts w:ascii="宋体"/>
                <w:sz w:val="18"/>
              </w:rPr>
              <w:t>--</w:t>
            </w:r>
          </w:p>
        </w:tc>
        <w:tc>
          <w:tcPr>
            <w:tcW w:w="70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5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28" w:right="0"/>
              <w:jc w:val="left"/>
              <w:rPr>
                <w:rFonts w:ascii="宋体" w:hAnsi="宋体" w:cs="宋体" w:eastAsia="宋体" w:hint="default"/>
                <w:sz w:val="18"/>
                <w:szCs w:val="18"/>
              </w:rPr>
            </w:pPr>
            <w:r>
              <w:rPr>
                <w:rFonts w:ascii="宋体"/>
                <w:sz w:val="18"/>
              </w:rPr>
              <w:t>0.00</w:t>
            </w:r>
          </w:p>
        </w:tc>
        <w:tc>
          <w:tcPr>
            <w:tcW w:w="737" w:type="dxa"/>
            <w:tcBorders>
              <w:top w:val="single" w:sz="6" w:space="0" w:color="000000"/>
              <w:left w:val="single" w:sz="6" w:space="0" w:color="000000"/>
              <w:bottom w:val="single" w:sz="12" w:space="0" w:color="000000"/>
              <w:right w:val="single" w:sz="8" w:space="0" w:color="D2D2D2"/>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0.00</w:t>
            </w:r>
          </w:p>
        </w:tc>
        <w:tc>
          <w:tcPr>
            <w:tcW w:w="736"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736"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736"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sz w:val="18"/>
              </w:rPr>
              <w:t>--</w:t>
            </w:r>
          </w:p>
        </w:tc>
      </w:tr>
    </w:tbl>
    <w:p>
      <w:pPr>
        <w:spacing w:before="72"/>
        <w:ind w:left="1134" w:right="0" w:firstLine="0"/>
        <w:jc w:val="left"/>
        <w:rPr>
          <w:rFonts w:ascii="宋体" w:hAnsi="宋体" w:cs="宋体" w:eastAsia="宋体" w:hint="default"/>
          <w:sz w:val="20"/>
          <w:szCs w:val="20"/>
        </w:rPr>
      </w:pPr>
      <w:bookmarkStart w:name="4、以公允价值计量的金融资产" w:id="47"/>
      <w:bookmarkEnd w:id="47"/>
      <w:r>
        <w:rPr/>
      </w:r>
      <w:r>
        <w:rPr>
          <w:rFonts w:ascii="宋体" w:hAnsi="宋体" w:cs="宋体" w:eastAsia="宋体" w:hint="default"/>
          <w:b/>
          <w:bCs/>
          <w:sz w:val="20"/>
          <w:szCs w:val="20"/>
        </w:rPr>
        <w:t>4</w:t>
      </w:r>
      <w:r>
        <w:rPr>
          <w:rFonts w:ascii="宋体" w:hAnsi="宋体" w:cs="宋体" w:eastAsia="宋体" w:hint="default"/>
          <w:b/>
          <w:bCs/>
          <w:sz w:val="20"/>
          <w:szCs w:val="20"/>
        </w:rPr>
        <w:t>、以公允价值计量的金融资产</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7"/>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5、募集资金使用情况" w:id="48"/>
      <w:bookmarkEnd w:id="48"/>
      <w:r>
        <w:rPr/>
      </w:r>
      <w:r>
        <w:rPr>
          <w:rFonts w:ascii="宋体" w:hAnsi="宋体" w:cs="宋体" w:eastAsia="宋体" w:hint="default"/>
          <w:b/>
          <w:bCs/>
          <w:sz w:val="20"/>
          <w:szCs w:val="20"/>
        </w:rPr>
        <w:t>5</w:t>
      </w:r>
      <w:r>
        <w:rPr>
          <w:rFonts w:ascii="宋体" w:hAnsi="宋体" w:cs="宋体" w:eastAsia="宋体" w:hint="default"/>
          <w:b/>
          <w:bCs/>
          <w:sz w:val="20"/>
          <w:szCs w:val="20"/>
        </w:rPr>
        <w:t>、募集资金使用情况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1）募集资金总体使用情况" w:id="49"/>
      <w:bookmarkEnd w:id="49"/>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）募集资金总体使用情况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412" w:lineRule="exact"/>
        <w:ind w:left="1025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1.7pt;height:20.65pt;mso-position-horizontal-relative:char;mso-position-vertical-relative:line" coordorigin="0,0" coordsize="834,413">
            <v:group style="position:absolute;left:10;top:10;width:2;height:393" coordorigin="10,10" coordsize="2,393">
              <v:shape style="position:absolute;left:10;top:10;width:2;height:393" coordorigin="10,10" coordsize="0,393" path="m10,10l10,403e" filled="false" stroked="true" strokeweight="1.02pt" strokecolor="#ffffff">
                <v:path arrowok="t"/>
              </v:shape>
            </v:group>
            <v:group style="position:absolute;left:20;top:10;width:814;height:393" coordorigin="20,10" coordsize="814,393">
              <v:shape style="position:absolute;left:20;top:10;width:814;height:393" coordorigin="20,10" coordsize="814,393" path="m20,403l834,403,834,10,20,10,20,403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0"/>
        <w:ind w:left="0" w:right="725" w:firstLine="0"/>
        <w:jc w:val="right"/>
        <w:rPr>
          <w:rFonts w:ascii="宋体" w:hAnsi="宋体" w:cs="宋体" w:eastAsia="宋体" w:hint="default"/>
          <w:sz w:val="18"/>
          <w:szCs w:val="18"/>
        </w:rPr>
      </w:pPr>
      <w:r>
        <w:rPr/>
        <w:pict>
          <v:shape style="position:absolute;margin-left:38.639999pt;margin-top:-194.708282pt;width:518.75pt;height:228.9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2"/>
                    <w:gridCol w:w="872"/>
                    <w:gridCol w:w="877"/>
                    <w:gridCol w:w="870"/>
                    <w:gridCol w:w="870"/>
                    <w:gridCol w:w="869"/>
                    <w:gridCol w:w="870"/>
                    <w:gridCol w:w="870"/>
                    <w:gridCol w:w="870"/>
                    <w:gridCol w:w="870"/>
                    <w:gridCol w:w="868"/>
                  </w:tblGrid>
                  <w:tr>
                    <w:trPr>
                      <w:trHeight w:val="1351" w:hRule="exact"/>
                    </w:trPr>
                    <w:tc>
                      <w:tcPr>
                        <w:tcW w:w="162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0"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7" w:right="66"/>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7" w:right="66"/>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66" w:right="66"/>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67" w:right="66"/>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7" w:right="66"/>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5" w:right="59"/>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5" w:hRule="exact"/>
                    </w:trPr>
                    <w:tc>
                      <w:tcPr>
                        <w:tcW w:w="1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1" w:right="114"/>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35,429.12</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8,948.41</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25,678.22</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9,750.90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0" w:right="68"/>
                          <w:jc w:val="both"/>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 暂时补充 流动资金 剩余存放 于专户</w:t>
                        </w:r>
                      </w:p>
                    </w:tc>
                    <w:tc>
                      <w:tcPr>
                        <w:tcW w:w="8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tabs>
                            <w:tab w:pos="742" w:val="left" w:leader="none"/>
                          </w:tabs>
                          <w:spacing w:line="240" w:lineRule="auto"/>
                          <w:ind w:left="-130" w:right="11"/>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0</w:t>
                        </w:r>
                      </w:p>
                    </w:tc>
                  </w:tr>
                  <w:tr>
                    <w:trPr>
                      <w:trHeight w:val="408" w:hRule="exact"/>
                    </w:trPr>
                    <w:tc>
                      <w:tcPr>
                        <w:tcW w:w="162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合计</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87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35,429.12</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8,948.41</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25,678.22</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0.00%</w:t>
                        </w:r>
                      </w:p>
                    </w:tc>
                    <w:tc>
                      <w:tcPr>
                        <w:tcW w:w="870" w:type="dxa"/>
                        <w:tcBorders>
                          <w:top w:val="single" w:sz="6" w:space="0" w:color="000000"/>
                          <w:left w:val="single" w:sz="6" w:space="0" w:color="000000"/>
                          <w:bottom w:val="single" w:sz="6" w:space="0" w:color="000000"/>
                          <w:right w:val="single" w:sz="8" w:space="0" w:color="D2D2D2"/>
                        </w:tcBorders>
                      </w:tcPr>
                      <w:p>
                        <w:pPr>
                          <w:pStyle w:val="TableParagraph"/>
                          <w:spacing w:line="240" w:lineRule="auto" w:before="52"/>
                          <w:ind w:right="16"/>
                          <w:jc w:val="right"/>
                          <w:rPr>
                            <w:rFonts w:ascii="宋体" w:hAnsi="宋体" w:cs="宋体" w:eastAsia="宋体" w:hint="default"/>
                            <w:sz w:val="18"/>
                            <w:szCs w:val="18"/>
                          </w:rPr>
                        </w:pPr>
                        <w:r>
                          <w:rPr>
                            <w:rFonts w:ascii="宋体"/>
                            <w:sz w:val="18"/>
                          </w:rPr>
                          <w:t>9,750.90</w:t>
                        </w:r>
                      </w:p>
                    </w:tc>
                    <w:tc>
                      <w:tcPr>
                        <w:tcW w:w="8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868"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w:t>
                        </w:r>
                      </w:p>
                    </w:tc>
                  </w:tr>
                  <w:tr>
                    <w:trPr>
                      <w:trHeight w:val="406" w:hRule="exact"/>
                    </w:trPr>
                    <w:tc>
                      <w:tcPr>
                        <w:tcW w:w="10330" w:type="dxa"/>
                        <w:gridSpan w:val="11"/>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28" w:hRule="exact"/>
                    </w:trPr>
                    <w:tc>
                      <w:tcPr>
                        <w:tcW w:w="10330" w:type="dxa"/>
                        <w:gridSpan w:val="11"/>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pacing w:val="-4"/>
                            <w:sz w:val="18"/>
                            <w:szCs w:val="18"/>
                          </w:rPr>
                          <w:t>年度，公司共使用募集资金</w:t>
                        </w:r>
                        <w:r>
                          <w:rPr>
                            <w:rFonts w:ascii="宋体" w:hAnsi="宋体" w:cs="宋体" w:eastAsia="宋体" w:hint="default"/>
                            <w:spacing w:val="-43"/>
                            <w:sz w:val="18"/>
                            <w:szCs w:val="18"/>
                          </w:rPr>
                          <w:t> </w:t>
                        </w:r>
                        <w:r>
                          <w:rPr>
                            <w:rFonts w:ascii="宋体" w:hAnsi="宋体" w:cs="宋体" w:eastAsia="宋体" w:hint="default"/>
                            <w:sz w:val="18"/>
                            <w:szCs w:val="18"/>
                          </w:rPr>
                          <w:t>8,948.41</w:t>
                        </w:r>
                        <w:r>
                          <w:rPr>
                            <w:rFonts w:ascii="宋体" w:hAnsi="宋体" w:cs="宋体" w:eastAsia="宋体" w:hint="default"/>
                            <w:spacing w:val="-42"/>
                            <w:sz w:val="18"/>
                            <w:szCs w:val="18"/>
                          </w:rPr>
                          <w:t> </w:t>
                        </w:r>
                        <w:r>
                          <w:rPr>
                            <w:rFonts w:ascii="宋体" w:hAnsi="宋体" w:cs="宋体" w:eastAsia="宋体" w:hint="default"/>
                            <w:spacing w:val="-3"/>
                            <w:sz w:val="18"/>
                            <w:szCs w:val="18"/>
                          </w:rPr>
                          <w:t>万元，其中：“电力用户用电信息采集系统产能扩大建设项目”投入</w:t>
                        </w:r>
                        <w:r>
                          <w:rPr>
                            <w:rFonts w:ascii="宋体" w:hAnsi="宋体" w:cs="宋体" w:eastAsia="宋体" w:hint="default"/>
                            <w:spacing w:val="-43"/>
                            <w:sz w:val="18"/>
                            <w:szCs w:val="18"/>
                          </w:rPr>
                          <w:t> </w:t>
                        </w:r>
                        <w:r>
                          <w:rPr>
                            <w:rFonts w:ascii="宋体" w:hAnsi="宋体" w:cs="宋体" w:eastAsia="宋体" w:hint="default"/>
                            <w:sz w:val="18"/>
                            <w:szCs w:val="18"/>
                          </w:rPr>
                          <w:t>1,281.10</w:t>
                        </w:r>
                        <w:r>
                          <w:rPr>
                            <w:rFonts w:ascii="宋体" w:hAnsi="宋体" w:cs="宋体" w:eastAsia="宋体" w:hint="default"/>
                            <w:spacing w:val="-43"/>
                            <w:sz w:val="18"/>
                            <w:szCs w:val="18"/>
                          </w:rPr>
                          <w:t> </w:t>
                        </w:r>
                        <w:r>
                          <w:rPr>
                            <w:rFonts w:ascii="宋体" w:hAnsi="宋体" w:cs="宋体" w:eastAsia="宋体" w:hint="default"/>
                            <w:sz w:val="18"/>
                            <w:szCs w:val="18"/>
                          </w:rPr>
                          <w:t>万元</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“研发中心建设项目”投入</w:t>
                        </w:r>
                        <w:r>
                          <w:rPr>
                            <w:rFonts w:ascii="宋体" w:hAnsi="宋体" w:cs="宋体" w:eastAsia="宋体" w:hint="default"/>
                            <w:spacing w:val="-46"/>
                            <w:sz w:val="18"/>
                            <w:szCs w:val="18"/>
                          </w:rPr>
                          <w:t> </w:t>
                        </w:r>
                        <w:r>
                          <w:rPr>
                            <w:rFonts w:ascii="宋体" w:hAnsi="宋体" w:cs="宋体" w:eastAsia="宋体" w:hint="default"/>
                            <w:sz w:val="18"/>
                            <w:szCs w:val="18"/>
                          </w:rPr>
                          <w:t>371.06</w:t>
                        </w:r>
                        <w:r>
                          <w:rPr>
                            <w:rFonts w:ascii="宋体" w:hAnsi="宋体" w:cs="宋体" w:eastAsia="宋体" w:hint="default"/>
                            <w:spacing w:val="-46"/>
                            <w:sz w:val="18"/>
                            <w:szCs w:val="18"/>
                          </w:rPr>
                          <w:t> </w:t>
                        </w:r>
                        <w:r>
                          <w:rPr>
                            <w:rFonts w:ascii="宋体" w:hAnsi="宋体" w:cs="宋体" w:eastAsia="宋体" w:hint="default"/>
                            <w:sz w:val="18"/>
                            <w:szCs w:val="18"/>
                          </w:rPr>
                          <w:t>万元，使用超募资金支付索瑞电气股权转让款</w:t>
                        </w:r>
                        <w:r>
                          <w:rPr>
                            <w:rFonts w:ascii="宋体" w:hAnsi="宋体" w:cs="宋体" w:eastAsia="宋体" w:hint="default"/>
                            <w:spacing w:val="-46"/>
                            <w:sz w:val="18"/>
                            <w:szCs w:val="18"/>
                          </w:rPr>
                          <w:t> </w:t>
                        </w:r>
                        <w:r>
                          <w:rPr>
                            <w:rFonts w:ascii="宋体" w:hAnsi="宋体" w:cs="宋体" w:eastAsia="宋体" w:hint="default"/>
                            <w:sz w:val="18"/>
                            <w:szCs w:val="18"/>
                          </w:rPr>
                          <w:t>7,296.25</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p>
      <w:pPr>
        <w:spacing w:line="1630" w:lineRule="exact"/>
        <w:ind w:left="787" w:right="0" w:firstLine="0"/>
        <w:rPr>
          <w:rFonts w:ascii="宋体" w:hAnsi="宋体" w:cs="宋体" w:eastAsia="宋体" w:hint="default"/>
          <w:sz w:val="20"/>
          <w:szCs w:val="20"/>
        </w:rPr>
      </w:pPr>
      <w:r>
        <w:rPr>
          <w:rFonts w:ascii="宋体" w:hAnsi="宋体" w:cs="宋体" w:eastAsia="宋体" w:hint="default"/>
          <w:position w:val="-32"/>
          <w:sz w:val="20"/>
          <w:szCs w:val="20"/>
        </w:rPr>
        <w:pict>
          <v:shape style="width:516.5pt;height:81.5pt;mso-position-horizontal-relative:char;mso-position-vertical-relative:line" type="#_x0000_t202" filled="false" stroked="true" strokeweight="1.5pt" strokecolor="#000000">
            <w10:anchorlock/>
            <v:textbox inset="0,0,0,0">
              <w:txbxContent>
                <w:p>
                  <w:pPr>
                    <w:spacing w:before="10"/>
                    <w:ind w:left="373"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6"/>
                      <w:sz w:val="18"/>
                      <w:szCs w:val="18"/>
                    </w:rPr>
                    <w:t> </w:t>
                  </w: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31</w:t>
                  </w:r>
                  <w:r>
                    <w:rPr>
                      <w:rFonts w:ascii="宋体" w:hAnsi="宋体" w:cs="宋体" w:eastAsia="宋体" w:hint="default"/>
                      <w:spacing w:val="-56"/>
                      <w:sz w:val="18"/>
                      <w:szCs w:val="18"/>
                    </w:rPr>
                    <w:t> </w:t>
                  </w:r>
                  <w:r>
                    <w:rPr>
                      <w:rFonts w:ascii="宋体" w:hAnsi="宋体" w:cs="宋体" w:eastAsia="宋体" w:hint="default"/>
                      <w:sz w:val="18"/>
                      <w:szCs w:val="18"/>
                    </w:rPr>
                    <w:t>日，公司累计共使用募集资金</w:t>
                  </w:r>
                  <w:r>
                    <w:rPr>
                      <w:rFonts w:ascii="宋体" w:hAnsi="宋体" w:cs="宋体" w:eastAsia="宋体" w:hint="default"/>
                      <w:spacing w:val="-56"/>
                      <w:sz w:val="18"/>
                      <w:szCs w:val="18"/>
                    </w:rPr>
                    <w:t> </w:t>
                  </w:r>
                  <w:r>
                    <w:rPr>
                      <w:rFonts w:ascii="宋体" w:hAnsi="宋体" w:cs="宋体" w:eastAsia="宋体" w:hint="default"/>
                      <w:sz w:val="18"/>
                      <w:szCs w:val="18"/>
                    </w:rPr>
                    <w:t>25,678.22</w:t>
                  </w:r>
                  <w:r>
                    <w:rPr>
                      <w:rFonts w:ascii="宋体" w:hAnsi="宋体" w:cs="宋体" w:eastAsia="宋体" w:hint="default"/>
                      <w:spacing w:val="-56"/>
                      <w:sz w:val="18"/>
                      <w:szCs w:val="18"/>
                    </w:rPr>
                    <w:t> </w:t>
                  </w:r>
                  <w:r>
                    <w:rPr>
                      <w:rFonts w:ascii="宋体" w:hAnsi="宋体" w:cs="宋体" w:eastAsia="宋体" w:hint="default"/>
                      <w:sz w:val="18"/>
                      <w:szCs w:val="18"/>
                    </w:rPr>
                    <w:t>万元，其中：“电力用户用电信息采集系统产能扩大建设项目”</w:t>
                  </w:r>
                </w:p>
                <w:p>
                  <w:pPr>
                    <w:spacing w:before="76"/>
                    <w:ind w:left="13" w:right="0" w:firstLine="0"/>
                    <w:jc w:val="left"/>
                    <w:rPr>
                      <w:rFonts w:ascii="宋体" w:hAnsi="宋体" w:cs="宋体" w:eastAsia="宋体" w:hint="default"/>
                      <w:sz w:val="18"/>
                      <w:szCs w:val="18"/>
                    </w:rPr>
                  </w:pPr>
                  <w:r>
                    <w:rPr>
                      <w:rFonts w:ascii="宋体" w:hAnsi="宋体" w:cs="宋体" w:eastAsia="宋体" w:hint="default"/>
                      <w:sz w:val="18"/>
                      <w:szCs w:val="18"/>
                    </w:rPr>
                    <w:t>累计投入</w:t>
                  </w:r>
                  <w:r>
                    <w:rPr>
                      <w:rFonts w:ascii="宋体" w:hAnsi="宋体" w:cs="宋体" w:eastAsia="宋体" w:hint="default"/>
                      <w:spacing w:val="-46"/>
                      <w:sz w:val="18"/>
                      <w:szCs w:val="18"/>
                    </w:rPr>
                    <w:t> </w:t>
                  </w:r>
                  <w:r>
                    <w:rPr>
                      <w:rFonts w:ascii="宋体" w:hAnsi="宋体" w:cs="宋体" w:eastAsia="宋体" w:hint="default"/>
                      <w:sz w:val="18"/>
                      <w:szCs w:val="18"/>
                    </w:rPr>
                    <w:t>6,988.09</w:t>
                  </w:r>
                  <w:r>
                    <w:rPr>
                      <w:rFonts w:ascii="宋体" w:hAnsi="宋体" w:cs="宋体" w:eastAsia="宋体" w:hint="default"/>
                      <w:spacing w:val="-46"/>
                      <w:sz w:val="18"/>
                      <w:szCs w:val="18"/>
                    </w:rPr>
                    <w:t> </w:t>
                  </w:r>
                  <w:r>
                    <w:rPr>
                      <w:rFonts w:ascii="宋体" w:hAnsi="宋体" w:cs="宋体" w:eastAsia="宋体" w:hint="default"/>
                      <w:sz w:val="18"/>
                      <w:szCs w:val="18"/>
                    </w:rPr>
                    <w:t>万元，“研发中心建设项目”累计投入</w:t>
                  </w:r>
                  <w:r>
                    <w:rPr>
                      <w:rFonts w:ascii="宋体" w:hAnsi="宋体" w:cs="宋体" w:eastAsia="宋体" w:hint="default"/>
                      <w:spacing w:val="-46"/>
                      <w:sz w:val="18"/>
                      <w:szCs w:val="18"/>
                    </w:rPr>
                    <w:t> </w:t>
                  </w:r>
                  <w:r>
                    <w:rPr>
                      <w:rFonts w:ascii="宋体" w:hAnsi="宋体" w:cs="宋体" w:eastAsia="宋体" w:hint="default"/>
                      <w:sz w:val="18"/>
                      <w:szCs w:val="18"/>
                    </w:rPr>
                    <w:t>3,143.88</w:t>
                  </w:r>
                  <w:r>
                    <w:rPr>
                      <w:rFonts w:ascii="宋体" w:hAnsi="宋体" w:cs="宋体" w:eastAsia="宋体" w:hint="default"/>
                      <w:spacing w:val="-46"/>
                      <w:sz w:val="18"/>
                      <w:szCs w:val="18"/>
                    </w:rPr>
                    <w:t> </w:t>
                  </w:r>
                  <w:r>
                    <w:rPr>
                      <w:rFonts w:ascii="宋体" w:hAnsi="宋体" w:cs="宋体" w:eastAsia="宋体" w:hint="default"/>
                      <w:sz w:val="18"/>
                      <w:szCs w:val="18"/>
                    </w:rPr>
                    <w:t>万元，超募资金使用</w:t>
                  </w:r>
                  <w:r>
                    <w:rPr>
                      <w:rFonts w:ascii="宋体" w:hAnsi="宋体" w:cs="宋体" w:eastAsia="宋体" w:hint="default"/>
                      <w:spacing w:val="-46"/>
                      <w:sz w:val="18"/>
                      <w:szCs w:val="18"/>
                    </w:rPr>
                    <w:t> </w:t>
                  </w:r>
                  <w:r>
                    <w:rPr>
                      <w:rFonts w:ascii="宋体" w:hAnsi="宋体" w:cs="宋体" w:eastAsia="宋体" w:hint="default"/>
                      <w:sz w:val="18"/>
                      <w:szCs w:val="18"/>
                    </w:rPr>
                    <w:t>15,546.25</w:t>
                  </w:r>
                  <w:r>
                    <w:rPr>
                      <w:rFonts w:ascii="宋体" w:hAnsi="宋体" w:cs="宋体" w:eastAsia="宋体" w:hint="default"/>
                      <w:spacing w:val="-46"/>
                      <w:sz w:val="18"/>
                      <w:szCs w:val="18"/>
                    </w:rPr>
                    <w:t> </w:t>
                  </w:r>
                  <w:r>
                    <w:rPr>
                      <w:rFonts w:ascii="宋体" w:hAnsi="宋体" w:cs="宋体" w:eastAsia="宋体" w:hint="default"/>
                      <w:sz w:val="18"/>
                      <w:szCs w:val="18"/>
                    </w:rPr>
                    <w:t>万元（其中：永久补充流动资</w:t>
                  </w:r>
                </w:p>
                <w:p>
                  <w:pPr>
                    <w:spacing w:before="76"/>
                    <w:ind w:left="13" w:right="0" w:firstLine="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宋体" w:hAnsi="宋体" w:cs="宋体" w:eastAsia="宋体" w:hint="default"/>
                      <w:sz w:val="18"/>
                      <w:szCs w:val="18"/>
                    </w:rPr>
                    <w:t>8,250.00</w:t>
                  </w:r>
                  <w:r>
                    <w:rPr>
                      <w:rFonts w:ascii="宋体" w:hAnsi="宋体" w:cs="宋体" w:eastAsia="宋体" w:hint="default"/>
                      <w:spacing w:val="-46"/>
                      <w:sz w:val="18"/>
                      <w:szCs w:val="18"/>
                    </w:rPr>
                    <w:t> </w:t>
                  </w:r>
                  <w:r>
                    <w:rPr>
                      <w:rFonts w:ascii="宋体" w:hAnsi="宋体" w:cs="宋体" w:eastAsia="宋体" w:hint="default"/>
                      <w:sz w:val="18"/>
                      <w:szCs w:val="18"/>
                    </w:rPr>
                    <w:t>万元；收购索瑞电气股权</w:t>
                  </w:r>
                  <w:r>
                    <w:rPr>
                      <w:rFonts w:ascii="宋体" w:hAnsi="宋体" w:cs="宋体" w:eastAsia="宋体" w:hint="default"/>
                      <w:spacing w:val="-46"/>
                      <w:sz w:val="18"/>
                      <w:szCs w:val="18"/>
                    </w:rPr>
                    <w:t> </w:t>
                  </w:r>
                  <w:r>
                    <w:rPr>
                      <w:rFonts w:ascii="宋体" w:hAnsi="宋体" w:cs="宋体" w:eastAsia="宋体" w:hint="default"/>
                      <w:sz w:val="18"/>
                      <w:szCs w:val="18"/>
                    </w:rPr>
                    <w:t>7,296.25</w:t>
                  </w:r>
                  <w:r>
                    <w:rPr>
                      <w:rFonts w:ascii="宋体" w:hAnsi="宋体" w:cs="宋体" w:eastAsia="宋体" w:hint="default"/>
                      <w:spacing w:val="-46"/>
                      <w:sz w:val="18"/>
                      <w:szCs w:val="18"/>
                    </w:rPr>
                    <w:t> </w:t>
                  </w:r>
                  <w:r>
                    <w:rPr>
                      <w:rFonts w:ascii="宋体" w:hAnsi="宋体" w:cs="宋体" w:eastAsia="宋体" w:hint="default"/>
                      <w:sz w:val="18"/>
                      <w:szCs w:val="18"/>
                    </w:rPr>
                    <w:t>万元，其中本金</w:t>
                  </w:r>
                  <w:r>
                    <w:rPr>
                      <w:rFonts w:ascii="宋体" w:hAnsi="宋体" w:cs="宋体" w:eastAsia="宋体" w:hint="default"/>
                      <w:spacing w:val="-46"/>
                      <w:sz w:val="18"/>
                      <w:szCs w:val="18"/>
                    </w:rPr>
                    <w:t> </w:t>
                  </w:r>
                  <w:r>
                    <w:rPr>
                      <w:rFonts w:ascii="宋体" w:hAnsi="宋体" w:cs="宋体" w:eastAsia="宋体" w:hint="default"/>
                      <w:sz w:val="18"/>
                      <w:szCs w:val="18"/>
                    </w:rPr>
                    <w:t>6,779.12</w:t>
                  </w:r>
                  <w:r>
                    <w:rPr>
                      <w:rFonts w:ascii="宋体" w:hAnsi="宋体" w:cs="宋体" w:eastAsia="宋体" w:hint="default"/>
                      <w:spacing w:val="-45"/>
                      <w:sz w:val="18"/>
                      <w:szCs w:val="18"/>
                    </w:rPr>
                    <w:t> </w:t>
                  </w:r>
                  <w:r>
                    <w:rPr>
                      <w:rFonts w:ascii="宋体" w:hAnsi="宋体" w:cs="宋体" w:eastAsia="宋体" w:hint="default"/>
                      <w:sz w:val="18"/>
                      <w:szCs w:val="18"/>
                    </w:rPr>
                    <w:t>万元，利息</w:t>
                  </w:r>
                  <w:r>
                    <w:rPr>
                      <w:rFonts w:ascii="宋体" w:hAnsi="宋体" w:cs="宋体" w:eastAsia="宋体" w:hint="default"/>
                      <w:spacing w:val="-46"/>
                      <w:sz w:val="18"/>
                      <w:szCs w:val="18"/>
                    </w:rPr>
                    <w:t> </w:t>
                  </w:r>
                  <w:r>
                    <w:rPr>
                      <w:rFonts w:ascii="宋体" w:hAnsi="宋体" w:cs="宋体" w:eastAsia="宋体" w:hint="default"/>
                      <w:sz w:val="18"/>
                      <w:szCs w:val="18"/>
                    </w:rPr>
                    <w:t>517.13</w:t>
                  </w:r>
                  <w:r>
                    <w:rPr>
                      <w:rFonts w:ascii="宋体" w:hAnsi="宋体" w:cs="宋体" w:eastAsia="宋体" w:hint="default"/>
                      <w:spacing w:val="-46"/>
                      <w:sz w:val="18"/>
                      <w:szCs w:val="18"/>
                    </w:rPr>
                    <w:t> </w:t>
                  </w:r>
                  <w:r>
                    <w:rPr>
                      <w:rFonts w:ascii="宋体" w:hAnsi="宋体" w:cs="宋体" w:eastAsia="宋体" w:hint="default"/>
                      <w:sz w:val="18"/>
                      <w:szCs w:val="18"/>
                    </w:rPr>
                    <w:t>万元）。此外，公司继续从“电力用</w:t>
                  </w:r>
                </w:p>
                <w:p>
                  <w:pPr>
                    <w:spacing w:before="76"/>
                    <w:ind w:left="13" w:right="0" w:firstLine="0"/>
                    <w:jc w:val="left"/>
                    <w:rPr>
                      <w:rFonts w:ascii="宋体" w:hAnsi="宋体" w:cs="宋体" w:eastAsia="宋体" w:hint="default"/>
                      <w:sz w:val="18"/>
                      <w:szCs w:val="18"/>
                    </w:rPr>
                  </w:pPr>
                  <w:r>
                    <w:rPr>
                      <w:rFonts w:ascii="宋体" w:hAnsi="宋体" w:cs="宋体" w:eastAsia="宋体" w:hint="default"/>
                      <w:sz w:val="18"/>
                      <w:szCs w:val="18"/>
                    </w:rPr>
                    <w:t>户用电信息采集系统产能扩大建设项目”尚未使用的闲置募集资金中，使用</w:t>
                  </w:r>
                  <w:r>
                    <w:rPr>
                      <w:rFonts w:ascii="宋体" w:hAnsi="宋体" w:cs="宋体" w:eastAsia="宋体" w:hint="default"/>
                      <w:spacing w:val="-46"/>
                      <w:sz w:val="18"/>
                      <w:szCs w:val="18"/>
                    </w:rPr>
                    <w:t> </w:t>
                  </w:r>
                  <w:r>
                    <w:rPr>
                      <w:rFonts w:ascii="宋体" w:hAnsi="宋体" w:cs="宋体" w:eastAsia="宋体" w:hint="default"/>
                      <w:sz w:val="18"/>
                      <w:szCs w:val="18"/>
                    </w:rPr>
                    <w:t>3,000</w:t>
                  </w:r>
                  <w:r>
                    <w:rPr>
                      <w:rFonts w:ascii="宋体" w:hAnsi="宋体" w:cs="宋体" w:eastAsia="宋体" w:hint="default"/>
                      <w:spacing w:val="-45"/>
                      <w:sz w:val="18"/>
                      <w:szCs w:val="18"/>
                    </w:rPr>
                    <w:t> </w:t>
                  </w:r>
                  <w:r>
                    <w:rPr>
                      <w:rFonts w:ascii="宋体" w:hAnsi="宋体" w:cs="宋体" w:eastAsia="宋体" w:hint="default"/>
                      <w:sz w:val="18"/>
                      <w:szCs w:val="18"/>
                    </w:rPr>
                    <w:t>万元用于暂时补充流动资金，期限不超过董事会</w:t>
                  </w:r>
                </w:p>
                <w:p>
                  <w:pPr>
                    <w:spacing w:before="78"/>
                    <w:ind w:left="13" w:right="0" w:firstLine="0"/>
                    <w:jc w:val="left"/>
                    <w:rPr>
                      <w:rFonts w:ascii="宋体" w:hAnsi="宋体" w:cs="宋体" w:eastAsia="宋体" w:hint="default"/>
                      <w:sz w:val="18"/>
                      <w:szCs w:val="18"/>
                    </w:rPr>
                  </w:pPr>
                  <w:r>
                    <w:rPr>
                      <w:rFonts w:ascii="宋体" w:hAnsi="宋体" w:cs="宋体" w:eastAsia="宋体" w:hint="default"/>
                      <w:sz w:val="18"/>
                      <w:szCs w:val="18"/>
                    </w:rPr>
                    <w:t>批准之日起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个月，上述资金已于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日归还至募集资金专户。</w:t>
                  </w:r>
                </w:p>
              </w:txbxContent>
            </v:textbox>
          </v:shape>
        </w:pict>
      </w:r>
      <w:r>
        <w:rPr>
          <w:rFonts w:ascii="宋体" w:hAnsi="宋体" w:cs="宋体" w:eastAsia="宋体" w:hint="default"/>
          <w:position w:val="-32"/>
          <w:sz w:val="20"/>
          <w:szCs w:val="20"/>
        </w:rPr>
      </w:r>
    </w:p>
    <w:p>
      <w:pPr>
        <w:spacing w:before="87"/>
        <w:ind w:left="1134" w:right="0" w:firstLine="0"/>
        <w:jc w:val="left"/>
        <w:rPr>
          <w:rFonts w:ascii="宋体" w:hAnsi="宋体" w:cs="宋体" w:eastAsia="宋体" w:hint="default"/>
          <w:sz w:val="20"/>
          <w:szCs w:val="20"/>
        </w:rPr>
      </w:pPr>
      <w:bookmarkStart w:name="（2）募集资金承诺项目情况" w:id="50"/>
      <w:bookmarkEnd w:id="50"/>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）募集资金承诺项目情况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p>
      <w:pPr>
        <w:spacing w:line="312" w:lineRule="exact"/>
        <w:ind w:left="24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32.85pt;height:15.6pt;mso-position-horizontal-relative:char;mso-position-vertical-relative:line" coordorigin="0,0" coordsize="8657,312">
            <v:group style="position:absolute;left:0;top:0;width:8657;height:312" coordorigin="0,0" coordsize="8657,312">
              <v:shape style="position:absolute;left:0;top:0;width:8657;height:312" coordorigin="0,0" coordsize="8657,312" path="m0,312l8656,312,8656,0,0,0,0,312xe" filled="true" fillcolor="#ffffff" stroked="false">
                <v:path arrowok="t"/>
                <v:fill type="solid"/>
              </v:shape>
            </v:group>
          </v:group>
        </w:pict>
      </w:r>
      <w:r>
        <w:rPr>
          <w:rFonts w:ascii="宋体" w:hAnsi="宋体" w:cs="宋体" w:eastAsia="宋体" w:hint="default"/>
          <w:position w:val="-5"/>
          <w:sz w:val="20"/>
          <w:szCs w:val="20"/>
        </w:rPr>
      </w:r>
    </w:p>
    <w:p>
      <w:pPr>
        <w:spacing w:before="11"/>
        <w:ind w:left="0" w:right="754" w:firstLine="0"/>
        <w:jc w:val="right"/>
        <w:rPr>
          <w:rFonts w:ascii="宋体" w:hAnsi="宋体" w:cs="宋体" w:eastAsia="宋体" w:hint="default"/>
          <w:sz w:val="18"/>
          <w:szCs w:val="18"/>
        </w:rPr>
      </w:pPr>
      <w:r>
        <w:rPr/>
        <w:pict>
          <v:shape style="position:absolute;margin-left:40.080002pt;margin-top:-474.978271pt;width:515.85pt;height:538.9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4"/>
                    <w:gridCol w:w="706"/>
                    <w:gridCol w:w="850"/>
                    <w:gridCol w:w="851"/>
                    <w:gridCol w:w="884"/>
                    <w:gridCol w:w="1124"/>
                    <w:gridCol w:w="712"/>
                    <w:gridCol w:w="717"/>
                    <w:gridCol w:w="817"/>
                    <w:gridCol w:w="851"/>
                    <w:gridCol w:w="486"/>
                    <w:gridCol w:w="711"/>
                  </w:tblGrid>
                  <w:tr>
                    <w:trPr>
                      <w:trHeight w:val="1663" w:hRule="exact"/>
                    </w:trPr>
                    <w:tc>
                      <w:tcPr>
                        <w:tcW w:w="156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14" w:right="55"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0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31" w:firstLine="45"/>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含部 分变更</w:t>
                        </w:r>
                        <w:r>
                          <w:rPr>
                            <w:rFonts w:ascii="宋体" w:hAnsi="宋体" w:cs="宋体" w:eastAsia="宋体" w:hint="default"/>
                            <w:sz w:val="18"/>
                            <w:szCs w:val="18"/>
                          </w:rPr>
                          <w:t>)</w:t>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7" w:right="55"/>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7" w:right="56"/>
                          <w:jc w:val="center"/>
                          <w:rPr>
                            <w:rFonts w:ascii="宋体" w:hAnsi="宋体" w:cs="宋体" w:eastAsia="宋体" w:hint="default"/>
                            <w:sz w:val="18"/>
                            <w:szCs w:val="18"/>
                          </w:rPr>
                        </w:pPr>
                        <w:r>
                          <w:rPr>
                            <w:rFonts w:ascii="宋体" w:hAnsi="宋体" w:cs="宋体" w:eastAsia="宋体" w:hint="default"/>
                            <w:sz w:val="18"/>
                            <w:szCs w:val="18"/>
                          </w:rPr>
                          <w:t>调整后投 资总额 </w:t>
                        </w:r>
                        <w:r>
                          <w:rPr>
                            <w:rFonts w:ascii="宋体" w:hAnsi="宋体" w:cs="宋体" w:eastAsia="宋体" w:hint="default"/>
                            <w:sz w:val="18"/>
                            <w:szCs w:val="18"/>
                          </w:rPr>
                          <w:t>(1)</w:t>
                        </w:r>
                      </w:p>
                    </w:tc>
                    <w:tc>
                      <w:tcPr>
                        <w:tcW w:w="8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4" w:right="72"/>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12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9" w:right="109"/>
                          <w:jc w:val="center"/>
                          <w:rPr>
                            <w:rFonts w:ascii="宋体" w:hAnsi="宋体" w:cs="宋体" w:eastAsia="宋体" w:hint="default"/>
                            <w:sz w:val="18"/>
                            <w:szCs w:val="18"/>
                          </w:rPr>
                        </w:pPr>
                        <w:r>
                          <w:rPr>
                            <w:rFonts w:ascii="宋体" w:hAnsi="宋体" w:cs="宋体" w:eastAsia="宋体" w:hint="default"/>
                            <w:sz w:val="18"/>
                            <w:szCs w:val="18"/>
                          </w:rPr>
                          <w:t>截至期末累 计投入金额 </w:t>
                        </w:r>
                        <w:r>
                          <w:rPr>
                            <w:rFonts w:ascii="宋体" w:hAnsi="宋体" w:cs="宋体" w:eastAsia="宋体" w:hint="default"/>
                            <w:sz w:val="18"/>
                            <w:szCs w:val="18"/>
                          </w:rPr>
                          <w:t>(2)</w:t>
                        </w:r>
                      </w:p>
                    </w:tc>
                    <w:tc>
                      <w:tcPr>
                        <w:tcW w:w="71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7" w:right="37" w:firstLine="45"/>
                          <w:jc w:val="both"/>
                          <w:rPr>
                            <w:rFonts w:ascii="宋体" w:hAnsi="宋体" w:cs="宋体" w:eastAsia="宋体" w:hint="default"/>
                            <w:sz w:val="18"/>
                            <w:szCs w:val="18"/>
                          </w:rPr>
                        </w:pPr>
                        <w:r>
                          <w:rPr>
                            <w:rFonts w:ascii="宋体" w:hAnsi="宋体" w:cs="宋体" w:eastAsia="宋体" w:hint="default"/>
                            <w:sz w:val="18"/>
                            <w:szCs w:val="18"/>
                          </w:rPr>
                          <w:t>截至期 末投资 进度</w:t>
                        </w:r>
                        <w:r>
                          <w:rPr>
                            <w:rFonts w:ascii="宋体" w:hAnsi="宋体" w:cs="宋体" w:eastAsia="宋体" w:hint="default"/>
                            <w:sz w:val="18"/>
                            <w:szCs w:val="18"/>
                          </w:rPr>
                          <w:t>(3)</w:t>
                        </w:r>
                      </w:p>
                      <w:p>
                        <w:pPr>
                          <w:pStyle w:val="TableParagraph"/>
                          <w:spacing w:line="319" w:lineRule="auto" w:before="19"/>
                          <w:ind w:left="27" w:right="37" w:firstLine="225"/>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(2)/(1)</w:t>
                        </w:r>
                      </w:p>
                    </w:tc>
                    <w:tc>
                      <w:tcPr>
                        <w:tcW w:w="7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78" w:right="82"/>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8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9" w:right="41"/>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8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7" w:right="56"/>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48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3" w:right="57"/>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1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76" w:right="71"/>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7" w:hRule="exact"/>
                    </w:trPr>
                    <w:tc>
                      <w:tcPr>
                        <w:tcW w:w="10272"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31" w:hRule="exact"/>
                    </w:trPr>
                    <w:tc>
                      <w:tcPr>
                        <w:tcW w:w="1564"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88"/>
                          <w:jc w:val="both"/>
                          <w:rPr>
                            <w:rFonts w:ascii="宋体" w:hAnsi="宋体" w:cs="宋体" w:eastAsia="宋体" w:hint="default"/>
                            <w:sz w:val="18"/>
                            <w:szCs w:val="18"/>
                          </w:rPr>
                        </w:pPr>
                        <w:r>
                          <w:rPr>
                            <w:rFonts w:ascii="宋体" w:hAnsi="宋体" w:cs="宋体" w:eastAsia="宋体" w:hint="default"/>
                            <w:sz w:val="18"/>
                            <w:szCs w:val="18"/>
                          </w:rPr>
                          <w:t>电力用户用电信息 采集系统产能扩大 建设项目</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15,300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15,300</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1,281.10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6,988.09</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
                          <w:jc w:val="right"/>
                          <w:rPr>
                            <w:rFonts w:ascii="宋体" w:hAnsi="宋体" w:cs="宋体" w:eastAsia="宋体" w:hint="default"/>
                            <w:sz w:val="18"/>
                            <w:szCs w:val="18"/>
                          </w:rPr>
                        </w:pPr>
                        <w:r>
                          <w:rPr>
                            <w:rFonts w:ascii="宋体"/>
                            <w:sz w:val="18"/>
                          </w:rPr>
                          <w:t>45.67%</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2"/>
                          <w:jc w:val="righ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31" w:hRule="exact"/>
                    </w:trPr>
                    <w:tc>
                      <w:tcPr>
                        <w:tcW w:w="15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3"/>
                          <w:jc w:val="center"/>
                          <w:rPr>
                            <w:rFonts w:ascii="宋体" w:hAnsi="宋体" w:cs="宋体" w:eastAsia="宋体" w:hint="default"/>
                            <w:sz w:val="18"/>
                            <w:szCs w:val="18"/>
                          </w:rPr>
                        </w:pPr>
                        <w:r>
                          <w:rPr>
                            <w:rFonts w:ascii="宋体" w:hAnsi="宋体" w:cs="宋体" w:eastAsia="宋体" w:hint="default"/>
                            <w:sz w:val="18"/>
                            <w:szCs w:val="18"/>
                          </w:rPr>
                          <w:t>研发中心建设项目</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5,100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5,100</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371.06</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3,143.88</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
                          <w:jc w:val="right"/>
                          <w:rPr>
                            <w:rFonts w:ascii="宋体" w:hAnsi="宋体" w:cs="宋体" w:eastAsia="宋体" w:hint="default"/>
                            <w:sz w:val="18"/>
                            <w:szCs w:val="18"/>
                          </w:rPr>
                        </w:pPr>
                        <w:r>
                          <w:rPr>
                            <w:rFonts w:ascii="宋体"/>
                            <w:sz w:val="18"/>
                          </w:rPr>
                          <w:t>61.64%</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8"/>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2"/>
                          <w:jc w:val="righ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5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73"/>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257"/>
                          <w:jc w:val="right"/>
                          <w:rPr>
                            <w:rFonts w:ascii="宋体" w:hAnsi="宋体" w:cs="宋体" w:eastAsia="宋体" w:hint="default"/>
                            <w:sz w:val="18"/>
                            <w:szCs w:val="18"/>
                          </w:rPr>
                        </w:pPr>
                        <w:r>
                          <w:rPr>
                            <w:rFonts w:ascii="宋体"/>
                            <w:sz w:val="18"/>
                          </w:rPr>
                          <w:t>--</w:t>
                        </w:r>
                      </w:p>
                    </w:tc>
                    <w:tc>
                      <w:tcPr>
                        <w:tcW w:w="8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20,400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20,400</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1,652.16</w:t>
                        </w:r>
                      </w:p>
                    </w:tc>
                    <w:tc>
                      <w:tcPr>
                        <w:tcW w:w="1124"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10,131.97</w:t>
                        </w:r>
                      </w:p>
                    </w:tc>
                    <w:tc>
                      <w:tcPr>
                        <w:tcW w:w="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sz w:val="18"/>
                          </w:rPr>
                          <w:t>--</w:t>
                        </w:r>
                      </w:p>
                    </w:tc>
                    <w:tc>
                      <w:tcPr>
                        <w:tcW w:w="7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266" w:right="0"/>
                          <w:jc w:val="left"/>
                          <w:rPr>
                            <w:rFonts w:ascii="宋体" w:hAnsi="宋体" w:cs="宋体" w:eastAsia="宋体" w:hint="default"/>
                            <w:sz w:val="18"/>
                            <w:szCs w:val="18"/>
                          </w:rPr>
                        </w:pPr>
                        <w:r>
                          <w:rPr>
                            <w:rFonts w:ascii="宋体"/>
                            <w:sz w:val="18"/>
                          </w:rPr>
                          <w:t>--</w:t>
                        </w:r>
                      </w:p>
                    </w:tc>
                    <w:tc>
                      <w:tcPr>
                        <w:tcW w:w="817" w:type="dxa"/>
                        <w:tcBorders>
                          <w:top w:val="single" w:sz="6" w:space="0" w:color="000000"/>
                          <w:left w:val="single" w:sz="14" w:space="0" w:color="D2D2D2"/>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8" w:space="0" w:color="D2D2D2"/>
                        </w:tcBorders>
                      </w:tcPr>
                      <w:p>
                        <w:pPr/>
                      </w:p>
                    </w:tc>
                    <w:tc>
                      <w:tcPr>
                        <w:tcW w:w="4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142"/>
                          <w:jc w:val="right"/>
                          <w:rPr>
                            <w:rFonts w:ascii="宋体" w:hAnsi="宋体" w:cs="宋体" w:eastAsia="宋体" w:hint="default"/>
                            <w:sz w:val="18"/>
                            <w:szCs w:val="18"/>
                          </w:rPr>
                        </w:pPr>
                        <w:r>
                          <w:rPr>
                            <w:rFonts w:ascii="宋体"/>
                            <w:sz w:val="18"/>
                          </w:rPr>
                          <w:t>--</w:t>
                        </w:r>
                      </w:p>
                    </w:tc>
                    <w:tc>
                      <w:tcPr>
                        <w:tcW w:w="711"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right="245"/>
                          <w:jc w:val="right"/>
                          <w:rPr>
                            <w:rFonts w:ascii="宋体" w:hAnsi="宋体" w:cs="宋体" w:eastAsia="宋体" w:hint="default"/>
                            <w:sz w:val="18"/>
                            <w:szCs w:val="18"/>
                          </w:rPr>
                        </w:pPr>
                        <w:r>
                          <w:rPr>
                            <w:rFonts w:ascii="宋体"/>
                            <w:sz w:val="18"/>
                          </w:rPr>
                          <w:t>--</w:t>
                        </w:r>
                      </w:p>
                    </w:tc>
                  </w:tr>
                  <w:tr>
                    <w:trPr>
                      <w:trHeight w:val="406" w:hRule="exact"/>
                    </w:trPr>
                    <w:tc>
                      <w:tcPr>
                        <w:tcW w:w="10272"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8" w:hRule="exact"/>
                    </w:trPr>
                    <w:tc>
                      <w:tcPr>
                        <w:tcW w:w="15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3"/>
                          <w:jc w:val="center"/>
                          <w:rPr>
                            <w:rFonts w:ascii="宋体" w:hAnsi="宋体" w:cs="宋体" w:eastAsia="宋体" w:hint="default"/>
                            <w:sz w:val="18"/>
                            <w:szCs w:val="18"/>
                          </w:rPr>
                        </w:pPr>
                        <w:r>
                          <w:rPr>
                            <w:rFonts w:ascii="宋体" w:hAnsi="宋体" w:cs="宋体" w:eastAsia="宋体" w:hint="default"/>
                            <w:sz w:val="18"/>
                            <w:szCs w:val="18"/>
                          </w:rPr>
                          <w:t>收购南京宇能股权</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-2,250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
                          <w:jc w:val="right"/>
                          <w:rPr>
                            <w:rFonts w:ascii="宋体" w:hAnsi="宋体" w:cs="宋体" w:eastAsia="宋体" w:hint="default"/>
                            <w:sz w:val="18"/>
                            <w:szCs w:val="18"/>
                          </w:rPr>
                        </w:pPr>
                        <w:r>
                          <w:rPr>
                            <w:rFonts w:ascii="宋体"/>
                            <w:sz w:val="18"/>
                          </w:rPr>
                          <w:t>0</w:t>
                        </w:r>
                      </w:p>
                    </w:tc>
                    <w:tc>
                      <w:tcPr>
                        <w:tcW w:w="712"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-728.22</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5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收购索瑞电气股权</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7,296.25</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7,296.25</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717"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6,906.60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6,906.60</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3" w:hRule="exact"/>
                    </w:trPr>
                    <w:tc>
                      <w:tcPr>
                        <w:tcW w:w="1564" w:type="dxa"/>
                        <w:vMerge w:val="restart"/>
                        <w:tcBorders>
                          <w:top w:val="single" w:sz="6" w:space="0" w:color="000000"/>
                          <w:left w:val="single" w:sz="12" w:space="0" w:color="000000"/>
                          <w:right w:val="single" w:sz="6" w:space="0" w:color="000000"/>
                        </w:tcBorders>
                        <w:shd w:val="clear" w:color="auto" w:fill="D2D2D2"/>
                      </w:tcPr>
                      <w:p>
                        <w:pPr>
                          <w:pStyle w:val="TableParagraph"/>
                          <w:spacing w:line="319" w:lineRule="auto" w:before="51"/>
                          <w:ind w:left="13" w:right="88"/>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06" w:type="dxa"/>
                        <w:tcBorders>
                          <w:top w:val="single" w:sz="6" w:space="0" w:color="000000"/>
                          <w:left w:val="single" w:sz="6" w:space="0" w:color="000000"/>
                          <w:bottom w:val="nil" w:sz="6" w:space="0" w:color="auto"/>
                          <w:right w:val="single" w:sz="6" w:space="0" w:color="000000"/>
                        </w:tcBorders>
                        <w:shd w:val="clear" w:color="auto" w:fill="D2D2D2"/>
                      </w:tcPr>
                      <w:p>
                        <w:pPr/>
                      </w:p>
                    </w:tc>
                    <w:tc>
                      <w:tcPr>
                        <w:tcW w:w="850" w:type="dxa"/>
                        <w:vMerge w:val="restart"/>
                        <w:tcBorders>
                          <w:top w:val="single" w:sz="6" w:space="0" w:color="000000"/>
                          <w:left w:val="single" w:sz="9" w:space="0" w:color="D2D2D2"/>
                          <w:right w:val="single" w:sz="6" w:space="0" w:color="000000"/>
                        </w:tcBorders>
                      </w:tcPr>
                      <w:p>
                        <w:pPr/>
                      </w:p>
                    </w:tc>
                    <w:tc>
                      <w:tcPr>
                        <w:tcW w:w="851" w:type="dxa"/>
                        <w:vMerge w:val="restart"/>
                        <w:tcBorders>
                          <w:top w:val="single" w:sz="6" w:space="0" w:color="000000"/>
                          <w:left w:val="single" w:sz="6" w:space="0" w:color="000000"/>
                          <w:right w:val="single" w:sz="6" w:space="0" w:color="000000"/>
                        </w:tcBorders>
                      </w:tcPr>
                      <w:p>
                        <w:pPr/>
                      </w:p>
                    </w:tc>
                    <w:tc>
                      <w:tcPr>
                        <w:tcW w:w="88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sz w:val="18"/>
                          </w:rPr>
                          <w:t>2,250</w:t>
                        </w:r>
                      </w:p>
                    </w:tc>
                    <w:tc>
                      <w:tcPr>
                        <w:tcW w:w="112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sz w:val="18"/>
                          </w:rPr>
                          <w:t>8,250</w:t>
                        </w:r>
                      </w:p>
                    </w:tc>
                    <w:tc>
                      <w:tcPr>
                        <w:tcW w:w="712" w:type="dxa"/>
                        <w:vMerge w:val="restart"/>
                        <w:tcBorders>
                          <w:top w:val="single" w:sz="6" w:space="0" w:color="000000"/>
                          <w:left w:val="single" w:sz="6" w:space="0" w:color="000000"/>
                          <w:right w:val="single" w:sz="9" w:space="0" w:color="D2D2D2"/>
                        </w:tcBorders>
                      </w:tcPr>
                      <w:p>
                        <w:pPr/>
                      </w:p>
                    </w:tc>
                    <w:tc>
                      <w:tcPr>
                        <w:tcW w:w="717" w:type="dxa"/>
                        <w:tcBorders>
                          <w:top w:val="single" w:sz="6" w:space="0" w:color="000000"/>
                          <w:left w:val="single" w:sz="6" w:space="0" w:color="000000"/>
                          <w:bottom w:val="nil" w:sz="6" w:space="0" w:color="auto"/>
                          <w:right w:val="single" w:sz="6" w:space="0" w:color="000000"/>
                        </w:tcBorders>
                        <w:shd w:val="clear" w:color="auto" w:fill="D2D2D2"/>
                      </w:tcPr>
                      <w:p>
                        <w:pPr/>
                      </w:p>
                    </w:tc>
                    <w:tc>
                      <w:tcPr>
                        <w:tcW w:w="817" w:type="dxa"/>
                        <w:tcBorders>
                          <w:top w:val="single" w:sz="6" w:space="0" w:color="000000"/>
                          <w:left w:val="single" w:sz="6" w:space="0" w:color="000000"/>
                          <w:bottom w:val="nil" w:sz="6" w:space="0" w:color="auto"/>
                          <w:right w:val="single" w:sz="6" w:space="0" w:color="000000"/>
                        </w:tcBorders>
                        <w:shd w:val="clear" w:color="auto" w:fill="D2D2D2"/>
                      </w:tcPr>
                      <w:p>
                        <w:pPr/>
                      </w:p>
                    </w:tc>
                    <w:tc>
                      <w:tcPr>
                        <w:tcW w:w="851" w:type="dxa"/>
                        <w:tcBorders>
                          <w:top w:val="single" w:sz="6" w:space="0" w:color="000000"/>
                          <w:left w:val="single" w:sz="6" w:space="0" w:color="000000"/>
                          <w:bottom w:val="nil" w:sz="6" w:space="0" w:color="auto"/>
                          <w:right w:val="single" w:sz="6" w:space="0" w:color="000000"/>
                        </w:tcBorders>
                        <w:shd w:val="clear" w:color="auto" w:fill="D2D2D2"/>
                      </w:tcPr>
                      <w:p>
                        <w:pPr/>
                      </w:p>
                    </w:tc>
                    <w:tc>
                      <w:tcPr>
                        <w:tcW w:w="486" w:type="dxa"/>
                        <w:tcBorders>
                          <w:top w:val="single" w:sz="6" w:space="0" w:color="000000"/>
                          <w:left w:val="single" w:sz="6" w:space="0" w:color="000000"/>
                          <w:bottom w:val="nil" w:sz="6" w:space="0" w:color="auto"/>
                          <w:right w:val="single" w:sz="6" w:space="0" w:color="000000"/>
                        </w:tcBorders>
                        <w:shd w:val="clear" w:color="auto" w:fill="D2D2D2"/>
                      </w:tcPr>
                      <w:p>
                        <w:pPr/>
                      </w:p>
                    </w:tc>
                    <w:tc>
                      <w:tcPr>
                        <w:tcW w:w="711"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392" w:hRule="exact"/>
                    </w:trPr>
                    <w:tc>
                      <w:tcPr>
                        <w:tcW w:w="1564" w:type="dxa"/>
                        <w:vMerge/>
                        <w:tcBorders>
                          <w:left w:val="single" w:sz="12" w:space="0" w:color="000000"/>
                          <w:right w:val="single" w:sz="6" w:space="0" w:color="000000"/>
                        </w:tcBorders>
                        <w:shd w:val="clear" w:color="auto" w:fill="D2D2D2"/>
                      </w:tcPr>
                      <w:p>
                        <w:pPr/>
                      </w:p>
                    </w:tc>
                    <w:tc>
                      <w:tcPr>
                        <w:tcW w:w="70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257"/>
                          <w:jc w:val="right"/>
                          <w:rPr>
                            <w:rFonts w:ascii="宋体" w:hAnsi="宋体" w:cs="宋体" w:eastAsia="宋体" w:hint="default"/>
                            <w:sz w:val="18"/>
                            <w:szCs w:val="18"/>
                          </w:rPr>
                        </w:pPr>
                        <w:r>
                          <w:rPr>
                            <w:rFonts w:ascii="宋体"/>
                            <w:sz w:val="18"/>
                          </w:rPr>
                          <w:t>--</w:t>
                        </w:r>
                      </w:p>
                    </w:tc>
                    <w:tc>
                      <w:tcPr>
                        <w:tcW w:w="850" w:type="dxa"/>
                        <w:vMerge/>
                        <w:tcBorders>
                          <w:left w:val="single" w:sz="9" w:space="0" w:color="D2D2D2"/>
                          <w:right w:val="single" w:sz="6" w:space="0" w:color="000000"/>
                        </w:tcBorders>
                      </w:tcPr>
                      <w:p>
                        <w:pPr/>
                      </w:p>
                    </w:tc>
                    <w:tc>
                      <w:tcPr>
                        <w:tcW w:w="851" w:type="dxa"/>
                        <w:vMerge/>
                        <w:tcBorders>
                          <w:left w:val="single" w:sz="6" w:space="0" w:color="000000"/>
                          <w:right w:val="single" w:sz="6" w:space="0" w:color="000000"/>
                        </w:tcBorders>
                      </w:tcPr>
                      <w:p>
                        <w:pPr/>
                      </w:p>
                    </w:tc>
                    <w:tc>
                      <w:tcPr>
                        <w:tcW w:w="884" w:type="dxa"/>
                        <w:vMerge/>
                        <w:tcBorders>
                          <w:left w:val="single" w:sz="6" w:space="0" w:color="000000"/>
                          <w:right w:val="single" w:sz="6" w:space="0" w:color="000000"/>
                        </w:tcBorders>
                      </w:tcPr>
                      <w:p>
                        <w:pPr/>
                      </w:p>
                    </w:tc>
                    <w:tc>
                      <w:tcPr>
                        <w:tcW w:w="1124" w:type="dxa"/>
                        <w:vMerge/>
                        <w:tcBorders>
                          <w:left w:val="single" w:sz="6" w:space="0" w:color="000000"/>
                          <w:right w:val="single" w:sz="6" w:space="0" w:color="000000"/>
                        </w:tcBorders>
                      </w:tcPr>
                      <w:p>
                        <w:pPr/>
                      </w:p>
                    </w:tc>
                    <w:tc>
                      <w:tcPr>
                        <w:tcW w:w="712" w:type="dxa"/>
                        <w:vMerge/>
                        <w:tcBorders>
                          <w:left w:val="single" w:sz="6" w:space="0" w:color="000000"/>
                          <w:right w:val="single" w:sz="9" w:space="0" w:color="D2D2D2"/>
                        </w:tcBorders>
                      </w:tcPr>
                      <w:p>
                        <w:pPr/>
                      </w:p>
                    </w:tc>
                    <w:tc>
                      <w:tcPr>
                        <w:tcW w:w="71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sz w:val="18"/>
                          </w:rPr>
                          <w:t>--</w:t>
                        </w:r>
                      </w:p>
                    </w:tc>
                    <w:tc>
                      <w:tcPr>
                        <w:tcW w:w="81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sz w:val="18"/>
                          </w:rPr>
                          <w:t>--</w:t>
                        </w:r>
                      </w:p>
                    </w:tc>
                    <w:tc>
                      <w:tcPr>
                        <w:tcW w:w="85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4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147"/>
                          <w:jc w:val="right"/>
                          <w:rPr>
                            <w:rFonts w:ascii="宋体" w:hAnsi="宋体" w:cs="宋体" w:eastAsia="宋体" w:hint="default"/>
                            <w:sz w:val="18"/>
                            <w:szCs w:val="18"/>
                          </w:rPr>
                        </w:pPr>
                        <w:r>
                          <w:rPr>
                            <w:rFonts w:ascii="宋体"/>
                            <w:sz w:val="18"/>
                          </w:rPr>
                          <w:t>--</w:t>
                        </w:r>
                      </w:p>
                    </w:tc>
                    <w:tc>
                      <w:tcPr>
                        <w:tcW w:w="711" w:type="dxa"/>
                        <w:tcBorders>
                          <w:top w:val="nil" w:sz="6" w:space="0" w:color="auto"/>
                          <w:left w:val="single" w:sz="6" w:space="0" w:color="000000"/>
                          <w:bottom w:val="nil" w:sz="6" w:space="0" w:color="auto"/>
                          <w:right w:val="single" w:sz="12" w:space="0" w:color="000000"/>
                        </w:tcBorders>
                        <w:shd w:val="clear" w:color="auto" w:fill="D2D2D2"/>
                      </w:tcPr>
                      <w:p>
                        <w:pPr>
                          <w:pStyle w:val="TableParagraph"/>
                          <w:spacing w:line="240" w:lineRule="auto" w:before="51"/>
                          <w:ind w:right="251"/>
                          <w:jc w:val="right"/>
                          <w:rPr>
                            <w:rFonts w:ascii="宋体" w:hAnsi="宋体" w:cs="宋体" w:eastAsia="宋体" w:hint="default"/>
                            <w:sz w:val="18"/>
                            <w:szCs w:val="18"/>
                          </w:rPr>
                        </w:pPr>
                        <w:r>
                          <w:rPr>
                            <w:rFonts w:ascii="宋体"/>
                            <w:sz w:val="18"/>
                          </w:rPr>
                          <w:t>--</w:t>
                        </w:r>
                      </w:p>
                    </w:tc>
                  </w:tr>
                  <w:tr>
                    <w:trPr>
                      <w:trHeight w:val="163" w:hRule="exact"/>
                    </w:trPr>
                    <w:tc>
                      <w:tcPr>
                        <w:tcW w:w="1564" w:type="dxa"/>
                        <w:vMerge/>
                        <w:tcBorders>
                          <w:left w:val="single" w:sz="12" w:space="0" w:color="000000"/>
                          <w:bottom w:val="single" w:sz="6" w:space="0" w:color="000000"/>
                          <w:right w:val="single" w:sz="6" w:space="0" w:color="000000"/>
                        </w:tcBorders>
                        <w:shd w:val="clear" w:color="auto" w:fill="D2D2D2"/>
                      </w:tcPr>
                      <w:p>
                        <w:pPr/>
                      </w:p>
                    </w:tc>
                    <w:tc>
                      <w:tcPr>
                        <w:tcW w:w="706" w:type="dxa"/>
                        <w:tcBorders>
                          <w:top w:val="nil" w:sz="6" w:space="0" w:color="auto"/>
                          <w:left w:val="single" w:sz="6" w:space="0" w:color="000000"/>
                          <w:bottom w:val="single" w:sz="6" w:space="0" w:color="000000"/>
                          <w:right w:val="single" w:sz="6" w:space="0" w:color="000000"/>
                        </w:tcBorders>
                        <w:shd w:val="clear" w:color="auto" w:fill="D2D2D2"/>
                      </w:tcPr>
                      <w:p>
                        <w:pPr/>
                      </w:p>
                    </w:tc>
                    <w:tc>
                      <w:tcPr>
                        <w:tcW w:w="850" w:type="dxa"/>
                        <w:vMerge/>
                        <w:tcBorders>
                          <w:left w:val="single" w:sz="9" w:space="0" w:color="D2D2D2"/>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884" w:type="dxa"/>
                        <w:vMerge/>
                        <w:tcBorders>
                          <w:left w:val="single" w:sz="6" w:space="0" w:color="000000"/>
                          <w:bottom w:val="single" w:sz="6" w:space="0" w:color="000000"/>
                          <w:right w:val="single" w:sz="6" w:space="0" w:color="000000"/>
                        </w:tcBorders>
                      </w:tcPr>
                      <w:p>
                        <w:pPr/>
                      </w:p>
                    </w:tc>
                    <w:tc>
                      <w:tcPr>
                        <w:tcW w:w="1124" w:type="dxa"/>
                        <w:vMerge/>
                        <w:tcBorders>
                          <w:left w:val="single" w:sz="6" w:space="0" w:color="000000"/>
                          <w:bottom w:val="single" w:sz="6" w:space="0" w:color="000000"/>
                          <w:right w:val="single" w:sz="6" w:space="0" w:color="000000"/>
                        </w:tcBorders>
                      </w:tcPr>
                      <w:p>
                        <w:pPr/>
                      </w:p>
                    </w:tc>
                    <w:tc>
                      <w:tcPr>
                        <w:tcW w:w="712" w:type="dxa"/>
                        <w:vMerge/>
                        <w:tcBorders>
                          <w:left w:val="single" w:sz="6" w:space="0" w:color="000000"/>
                          <w:bottom w:val="single" w:sz="6" w:space="0" w:color="000000"/>
                          <w:right w:val="single" w:sz="9" w:space="0" w:color="D2D2D2"/>
                        </w:tcBorders>
                      </w:tcPr>
                      <w:p>
                        <w:pPr/>
                      </w:p>
                    </w:tc>
                    <w:tc>
                      <w:tcPr>
                        <w:tcW w:w="717" w:type="dxa"/>
                        <w:tcBorders>
                          <w:top w:val="nil" w:sz="6" w:space="0" w:color="auto"/>
                          <w:left w:val="single" w:sz="6" w:space="0" w:color="000000"/>
                          <w:bottom w:val="single" w:sz="6" w:space="0" w:color="000000"/>
                          <w:right w:val="single" w:sz="6" w:space="0" w:color="000000"/>
                        </w:tcBorders>
                        <w:shd w:val="clear" w:color="auto" w:fill="D2D2D2"/>
                      </w:tcPr>
                      <w:p>
                        <w:pPr/>
                      </w:p>
                    </w:tc>
                    <w:tc>
                      <w:tcPr>
                        <w:tcW w:w="817" w:type="dxa"/>
                        <w:tcBorders>
                          <w:top w:val="nil" w:sz="6" w:space="0" w:color="auto"/>
                          <w:left w:val="single" w:sz="6" w:space="0" w:color="000000"/>
                          <w:bottom w:val="single" w:sz="6" w:space="0" w:color="000000"/>
                          <w:right w:val="single" w:sz="6" w:space="0" w:color="000000"/>
                        </w:tcBorders>
                        <w:shd w:val="clear" w:color="auto" w:fill="D2D2D2"/>
                      </w:tcPr>
                      <w:p>
                        <w:pPr/>
                      </w:p>
                    </w:tc>
                    <w:tc>
                      <w:tcPr>
                        <w:tcW w:w="851" w:type="dxa"/>
                        <w:tcBorders>
                          <w:top w:val="nil" w:sz="6" w:space="0" w:color="auto"/>
                          <w:left w:val="single" w:sz="6" w:space="0" w:color="000000"/>
                          <w:bottom w:val="single" w:sz="6" w:space="0" w:color="000000"/>
                          <w:right w:val="single" w:sz="6" w:space="0" w:color="000000"/>
                        </w:tcBorders>
                        <w:shd w:val="clear" w:color="auto" w:fill="D2D2D2"/>
                      </w:tcPr>
                      <w:p>
                        <w:pPr/>
                      </w:p>
                    </w:tc>
                    <w:tc>
                      <w:tcPr>
                        <w:tcW w:w="486" w:type="dxa"/>
                        <w:tcBorders>
                          <w:top w:val="nil" w:sz="6" w:space="0" w:color="auto"/>
                          <w:left w:val="single" w:sz="6" w:space="0" w:color="000000"/>
                          <w:bottom w:val="single" w:sz="6" w:space="0" w:color="000000"/>
                          <w:right w:val="single" w:sz="6" w:space="0" w:color="000000"/>
                        </w:tcBorders>
                        <w:shd w:val="clear" w:color="auto" w:fill="D2D2D2"/>
                      </w:tcPr>
                      <w:p>
                        <w:pPr/>
                      </w:p>
                    </w:tc>
                    <w:tc>
                      <w:tcPr>
                        <w:tcW w:w="711"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07" w:hRule="exact"/>
                    </w:trPr>
                    <w:tc>
                      <w:tcPr>
                        <w:tcW w:w="15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257"/>
                          <w:jc w:val="right"/>
                          <w:rPr>
                            <w:rFonts w:ascii="宋体" w:hAnsi="宋体" w:cs="宋体" w:eastAsia="宋体" w:hint="default"/>
                            <w:sz w:val="18"/>
                            <w:szCs w:val="18"/>
                          </w:rPr>
                        </w:pPr>
                        <w:r>
                          <w:rPr>
                            <w:rFonts w:ascii="宋体"/>
                            <w:sz w:val="18"/>
                          </w:rPr>
                          <w:t>--</w:t>
                        </w:r>
                      </w:p>
                    </w:tc>
                    <w:tc>
                      <w:tcPr>
                        <w:tcW w:w="850" w:type="dxa"/>
                        <w:tcBorders>
                          <w:top w:val="single" w:sz="6" w:space="0" w:color="000000"/>
                          <w:left w:val="single" w:sz="9" w:space="0" w:color="D2D2D2"/>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7,296.25</w:t>
                        </w:r>
                      </w:p>
                    </w:tc>
                    <w:tc>
                      <w:tcPr>
                        <w:tcW w:w="1124"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15,546.25</w:t>
                        </w:r>
                      </w:p>
                    </w:tc>
                    <w:tc>
                      <w:tcPr>
                        <w:tcW w:w="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sz w:val="18"/>
                          </w:rPr>
                          <w:t>--</w:t>
                        </w:r>
                      </w:p>
                    </w:tc>
                    <w:tc>
                      <w:tcPr>
                        <w:tcW w:w="7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sz w:val="18"/>
                          </w:rPr>
                          <w:t>--</w:t>
                        </w:r>
                      </w:p>
                    </w:tc>
                    <w:tc>
                      <w:tcPr>
                        <w:tcW w:w="8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6,906.60</w:t>
                        </w:r>
                      </w:p>
                    </w:tc>
                    <w:tc>
                      <w:tcPr>
                        <w:tcW w:w="851" w:type="dxa"/>
                        <w:tcBorders>
                          <w:top w:val="single" w:sz="6" w:space="0" w:color="000000"/>
                          <w:left w:val="single" w:sz="6" w:space="0" w:color="000000"/>
                          <w:bottom w:val="single" w:sz="6" w:space="0" w:color="000000"/>
                          <w:right w:val="single" w:sz="8" w:space="0" w:color="D2D2D2"/>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6,178.38</w:t>
                        </w:r>
                      </w:p>
                    </w:tc>
                    <w:tc>
                      <w:tcPr>
                        <w:tcW w:w="4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47"/>
                          <w:jc w:val="right"/>
                          <w:rPr>
                            <w:rFonts w:ascii="宋体" w:hAnsi="宋体" w:cs="宋体" w:eastAsia="宋体" w:hint="default"/>
                            <w:sz w:val="18"/>
                            <w:szCs w:val="18"/>
                          </w:rPr>
                        </w:pPr>
                        <w:r>
                          <w:rPr>
                            <w:rFonts w:ascii="宋体"/>
                            <w:sz w:val="18"/>
                          </w:rPr>
                          <w:t>--</w:t>
                        </w:r>
                      </w:p>
                    </w:tc>
                    <w:tc>
                      <w:tcPr>
                        <w:tcW w:w="711"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right="251"/>
                          <w:jc w:val="right"/>
                          <w:rPr>
                            <w:rFonts w:ascii="宋体" w:hAnsi="宋体" w:cs="宋体" w:eastAsia="宋体" w:hint="default"/>
                            <w:sz w:val="18"/>
                            <w:szCs w:val="18"/>
                          </w:rPr>
                        </w:pPr>
                        <w:r>
                          <w:rPr>
                            <w:rFonts w:ascii="宋体"/>
                            <w:sz w:val="18"/>
                          </w:rPr>
                          <w:t>--</w:t>
                        </w:r>
                      </w:p>
                    </w:tc>
                  </w:tr>
                  <w:tr>
                    <w:trPr>
                      <w:trHeight w:val="407" w:hRule="exact"/>
                    </w:trPr>
                    <w:tc>
                      <w:tcPr>
                        <w:tcW w:w="15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257"/>
                          <w:jc w:val="right"/>
                          <w:rPr>
                            <w:rFonts w:ascii="宋体" w:hAnsi="宋体" w:cs="宋体" w:eastAsia="宋体" w:hint="default"/>
                            <w:sz w:val="18"/>
                            <w:szCs w:val="18"/>
                          </w:rPr>
                        </w:pPr>
                        <w:r>
                          <w:rPr>
                            <w:rFonts w:ascii="宋体"/>
                            <w:sz w:val="18"/>
                          </w:rPr>
                          <w:t>--</w:t>
                        </w:r>
                      </w:p>
                    </w:tc>
                    <w:tc>
                      <w:tcPr>
                        <w:tcW w:w="8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20,400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20,400</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8,948.41</w:t>
                        </w:r>
                      </w:p>
                    </w:tc>
                    <w:tc>
                      <w:tcPr>
                        <w:tcW w:w="1124"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t>25,678.22</w:t>
                        </w:r>
                      </w:p>
                    </w:tc>
                    <w:tc>
                      <w:tcPr>
                        <w:tcW w:w="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6" w:right="0"/>
                          <w:jc w:val="center"/>
                          <w:rPr>
                            <w:rFonts w:ascii="宋体" w:hAnsi="宋体" w:cs="宋体" w:eastAsia="宋体" w:hint="default"/>
                            <w:sz w:val="18"/>
                            <w:szCs w:val="18"/>
                          </w:rPr>
                        </w:pPr>
                        <w:r>
                          <w:rPr>
                            <w:rFonts w:ascii="宋体"/>
                            <w:sz w:val="18"/>
                          </w:rPr>
                          <w:t>--</w:t>
                        </w:r>
                      </w:p>
                    </w:tc>
                    <w:tc>
                      <w:tcPr>
                        <w:tcW w:w="7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258" w:right="0"/>
                          <w:jc w:val="left"/>
                          <w:rPr>
                            <w:rFonts w:ascii="宋体" w:hAnsi="宋体" w:cs="宋体" w:eastAsia="宋体" w:hint="default"/>
                            <w:sz w:val="18"/>
                            <w:szCs w:val="18"/>
                          </w:rPr>
                        </w:pPr>
                        <w:r>
                          <w:rPr>
                            <w:rFonts w:ascii="宋体"/>
                            <w:sz w:val="18"/>
                          </w:rPr>
                          <w:t>--</w:t>
                        </w:r>
                      </w:p>
                    </w:tc>
                    <w:tc>
                      <w:tcPr>
                        <w:tcW w:w="8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6,906.60</w:t>
                        </w:r>
                      </w:p>
                    </w:tc>
                    <w:tc>
                      <w:tcPr>
                        <w:tcW w:w="851" w:type="dxa"/>
                        <w:tcBorders>
                          <w:top w:val="single" w:sz="6" w:space="0" w:color="000000"/>
                          <w:left w:val="single" w:sz="6" w:space="0" w:color="000000"/>
                          <w:bottom w:val="single" w:sz="6" w:space="0" w:color="000000"/>
                          <w:right w:val="single" w:sz="8" w:space="0" w:color="D2D2D2"/>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6,178.38</w:t>
                        </w:r>
                      </w:p>
                    </w:tc>
                    <w:tc>
                      <w:tcPr>
                        <w:tcW w:w="4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147"/>
                          <w:jc w:val="right"/>
                          <w:rPr>
                            <w:rFonts w:ascii="宋体" w:hAnsi="宋体" w:cs="宋体" w:eastAsia="宋体" w:hint="default"/>
                            <w:sz w:val="18"/>
                            <w:szCs w:val="18"/>
                          </w:rPr>
                        </w:pPr>
                        <w:r>
                          <w:rPr>
                            <w:rFonts w:ascii="宋体"/>
                            <w:sz w:val="18"/>
                          </w:rPr>
                          <w:t>--</w:t>
                        </w:r>
                      </w:p>
                    </w:tc>
                    <w:tc>
                      <w:tcPr>
                        <w:tcW w:w="711"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right="251"/>
                          <w:jc w:val="right"/>
                          <w:rPr>
                            <w:rFonts w:ascii="宋体" w:hAnsi="宋体" w:cs="宋体" w:eastAsia="宋体" w:hint="default"/>
                            <w:sz w:val="18"/>
                            <w:szCs w:val="18"/>
                          </w:rPr>
                        </w:pPr>
                        <w:r>
                          <w:rPr>
                            <w:rFonts w:ascii="宋体"/>
                            <w:sz w:val="18"/>
                          </w:rPr>
                          <w:t>--</w:t>
                        </w:r>
                      </w:p>
                    </w:tc>
                  </w:tr>
                  <w:tr>
                    <w:trPr>
                      <w:trHeight w:val="1216" w:hRule="exact"/>
                    </w:trPr>
                    <w:tc>
                      <w:tcPr>
                        <w:tcW w:w="1564" w:type="dxa"/>
                        <w:tcBorders>
                          <w:top w:val="single" w:sz="6" w:space="0" w:color="000000"/>
                          <w:left w:val="single" w:sz="12" w:space="0" w:color="000000"/>
                          <w:bottom w:val="nil" w:sz="6" w:space="0" w:color="auto"/>
                          <w:right w:val="single" w:sz="14" w:space="0" w:color="FFFFFF"/>
                        </w:tcBorders>
                        <w:shd w:val="clear" w:color="auto" w:fill="D2D2D2"/>
                      </w:tcPr>
                      <w:p>
                        <w:pPr/>
                      </w:p>
                    </w:tc>
                    <w:tc>
                      <w:tcPr>
                        <w:tcW w:w="8708" w:type="dxa"/>
                        <w:gridSpan w:val="11"/>
                        <w:vMerge w:val="restart"/>
                        <w:tcBorders>
                          <w:top w:val="single" w:sz="6" w:space="0" w:color="000000"/>
                          <w:left w:val="single" w:sz="14" w:space="0" w:color="FFFFFF"/>
                          <w:right w:val="single" w:sz="12" w:space="0" w:color="000000"/>
                        </w:tcBorders>
                      </w:tcPr>
                      <w:p>
                        <w:pPr>
                          <w:pStyle w:val="TableParagraph"/>
                          <w:spacing w:line="316" w:lineRule="auto" w:before="11"/>
                          <w:ind w:left="6" w:right="11" w:firstLine="360"/>
                          <w:jc w:val="both"/>
                          <w:rPr>
                            <w:rFonts w:ascii="宋体" w:hAnsi="宋体" w:cs="宋体" w:eastAsia="宋体" w:hint="default"/>
                            <w:sz w:val="18"/>
                            <w:szCs w:val="18"/>
                          </w:rPr>
                        </w:pPr>
                        <w:r>
                          <w:rPr>
                            <w:rFonts w:ascii="宋体" w:hAnsi="宋体" w:cs="宋体" w:eastAsia="宋体" w:hint="default"/>
                            <w:sz w:val="18"/>
                            <w:szCs w:val="18"/>
                          </w:rPr>
                          <w:t>①电力用户用电信息采集系统产能扩大建设项目：由于公司变更了募集资金投资项目实施地点，详见公司 </w:t>
                        </w:r>
                        <w:r>
                          <w:rPr>
                            <w:rFonts w:ascii="宋体" w:hAnsi="宋体" w:cs="宋体" w:eastAsia="宋体" w:hint="default"/>
                            <w:sz w:val="18"/>
                            <w:szCs w:val="18"/>
                          </w:rPr>
                          <w:t>2013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宋体" w:hAnsi="宋体" w:cs="宋体" w:eastAsia="宋体" w:hint="default"/>
                            <w:sz w:val="18"/>
                            <w:szCs w:val="18"/>
                          </w:rPr>
                          <w:t>1</w:t>
                        </w:r>
                        <w:r>
                          <w:rPr>
                            <w:rFonts w:ascii="宋体" w:hAnsi="宋体" w:cs="宋体" w:eastAsia="宋体"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20"/>
                            <w:sz w:val="18"/>
                            <w:szCs w:val="18"/>
                          </w:rPr>
                          <w:t> </w:t>
                        </w:r>
                        <w:r>
                          <w:rPr>
                            <w:rFonts w:ascii="宋体" w:hAnsi="宋体" w:cs="宋体" w:eastAsia="宋体" w:hint="default"/>
                            <w:sz w:val="18"/>
                            <w:szCs w:val="18"/>
                          </w:rPr>
                          <w:t>15</w:t>
                        </w:r>
                        <w:r>
                          <w:rPr>
                            <w:rFonts w:ascii="宋体" w:hAnsi="宋体" w:cs="宋体" w:eastAsia="宋体" w:hint="default"/>
                            <w:spacing w:val="-20"/>
                            <w:sz w:val="18"/>
                            <w:szCs w:val="18"/>
                          </w:rPr>
                          <w:t> </w:t>
                        </w:r>
                        <w:r>
                          <w:rPr>
                            <w:rFonts w:ascii="宋体" w:hAnsi="宋体" w:cs="宋体" w:eastAsia="宋体" w:hint="default"/>
                            <w:sz w:val="18"/>
                            <w:szCs w:val="18"/>
                          </w:rPr>
                          <w:t>日披露的《关于变更部分募集资金投资项目实施地点的公告》（公告编码（</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0111- 003 </w:t>
                        </w:r>
                        <w:r>
                          <w:rPr>
                            <w:rFonts w:ascii="宋体" w:hAnsi="宋体" w:cs="宋体" w:eastAsia="宋体" w:hint="default"/>
                            <w:sz w:val="18"/>
                            <w:szCs w:val="18"/>
                          </w:rPr>
                          <w:t>号），与之相关的规划许可审批、施工图审批、消防审批及项目施工许可审批等环节都相应调整并重新办理，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需时较长。另外，公司所在城市于</w:t>
                        </w:r>
                        <w:r>
                          <w:rPr>
                            <w:rFonts w:ascii="宋体" w:hAnsi="宋体" w:cs="宋体" w:eastAsia="宋体" w:hint="default"/>
                            <w:spacing w:val="-25"/>
                            <w:sz w:val="18"/>
                            <w:szCs w:val="18"/>
                          </w:rPr>
                          <w:t> </w:t>
                        </w:r>
                        <w:r>
                          <w:rPr>
                            <w:rFonts w:ascii="宋体" w:hAnsi="宋体" w:cs="宋体" w:eastAsia="宋体" w:hint="default"/>
                            <w:sz w:val="18"/>
                            <w:szCs w:val="18"/>
                          </w:rPr>
                          <w:t>2013</w:t>
                        </w:r>
                        <w:r>
                          <w:rPr>
                            <w:rFonts w:ascii="宋体" w:hAnsi="宋体" w:cs="宋体" w:eastAsia="宋体" w:hint="default"/>
                            <w:spacing w:val="-26"/>
                            <w:sz w:val="18"/>
                            <w:szCs w:val="18"/>
                          </w:rPr>
                          <w:t> </w:t>
                        </w:r>
                        <w:r>
                          <w:rPr>
                            <w:rFonts w:ascii="宋体" w:hAnsi="宋体" w:cs="宋体" w:eastAsia="宋体" w:hint="default"/>
                            <w:sz w:val="18"/>
                            <w:szCs w:val="18"/>
                          </w:rPr>
                          <w:t>年承办亚青会，</w:t>
                        </w:r>
                        <w:r>
                          <w:rPr>
                            <w:rFonts w:ascii="宋体" w:hAnsi="宋体" w:cs="宋体" w:eastAsia="宋体" w:hint="default"/>
                            <w:sz w:val="18"/>
                            <w:szCs w:val="18"/>
                          </w:rPr>
                          <w:t>2014</w:t>
                        </w:r>
                        <w:r>
                          <w:rPr>
                            <w:rFonts w:ascii="宋体" w:hAnsi="宋体" w:cs="宋体" w:eastAsia="宋体" w:hint="default"/>
                            <w:spacing w:val="-26"/>
                            <w:sz w:val="18"/>
                            <w:szCs w:val="18"/>
                          </w:rPr>
                          <w:t> </w:t>
                        </w:r>
                        <w:r>
                          <w:rPr>
                            <w:rFonts w:ascii="宋体" w:hAnsi="宋体" w:cs="宋体" w:eastAsia="宋体" w:hint="default"/>
                            <w:sz w:val="18"/>
                            <w:szCs w:val="18"/>
                          </w:rPr>
                          <w:t>年承办青奥会，服从政府部门在此期间对基建项 </w:t>
                        </w:r>
                        <w:r>
                          <w:rPr>
                            <w:rFonts w:ascii="宋体" w:hAnsi="宋体" w:cs="宋体" w:eastAsia="宋体" w:hint="default"/>
                            <w:spacing w:val="-5"/>
                            <w:sz w:val="18"/>
                            <w:szCs w:val="18"/>
                          </w:rPr>
                          <w:t>目的管理要求也对项目的基建工期有一定影响，公司考虑到上述因素，公司在《</w:t>
                        </w:r>
                        <w:r>
                          <w:rPr>
                            <w:rFonts w:ascii="宋体" w:hAnsi="宋体" w:cs="宋体" w:eastAsia="宋体" w:hint="default"/>
                            <w:spacing w:val="-5"/>
                            <w:sz w:val="18"/>
                            <w:szCs w:val="18"/>
                          </w:rPr>
                          <w:t>2013</w:t>
                        </w:r>
                        <w:r>
                          <w:rPr>
                            <w:rFonts w:ascii="宋体" w:hAnsi="宋体" w:cs="宋体" w:eastAsia="宋体" w:hint="default"/>
                            <w:spacing w:val="7"/>
                            <w:sz w:val="18"/>
                            <w:szCs w:val="18"/>
                          </w:rPr>
                          <w:t> </w:t>
                        </w:r>
                        <w:r>
                          <w:rPr>
                            <w:rFonts w:ascii="宋体" w:hAnsi="宋体" w:cs="宋体" w:eastAsia="宋体" w:hint="default"/>
                            <w:spacing w:val="-6"/>
                            <w:sz w:val="18"/>
                            <w:szCs w:val="18"/>
                          </w:rPr>
                          <w:t>年度半年度报告》中将“电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力用户用电信息采集系统产能扩大建设项目”达到预定可使用状态日期由</w:t>
                        </w:r>
                        <w:r>
                          <w:rPr>
                            <w:rFonts w:ascii="宋体" w:hAnsi="宋体" w:cs="宋体" w:eastAsia="宋体" w:hint="default"/>
                            <w:spacing w:val="-32"/>
                            <w:sz w:val="18"/>
                            <w:szCs w:val="18"/>
                          </w:rPr>
                          <w:t> </w:t>
                        </w:r>
                        <w:r>
                          <w:rPr>
                            <w:rFonts w:ascii="宋体" w:hAnsi="宋体" w:cs="宋体" w:eastAsia="宋体" w:hint="default"/>
                            <w:sz w:val="18"/>
                            <w:szCs w:val="18"/>
                          </w:rPr>
                          <w:t>2013</w:t>
                        </w:r>
                        <w:r>
                          <w:rPr>
                            <w:rFonts w:ascii="宋体" w:hAnsi="宋体" w:cs="宋体" w:eastAsia="宋体"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9</w:t>
                        </w:r>
                        <w:r>
                          <w:rPr>
                            <w:rFonts w:ascii="宋体" w:hAnsi="宋体" w:cs="宋体" w:eastAsia="宋体"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z w:val="18"/>
                            <w:szCs w:val="18"/>
                          </w:rPr>
                          <w:t>30</w:t>
                        </w:r>
                        <w:r>
                          <w:rPr>
                            <w:rFonts w:ascii="宋体" w:hAnsi="宋体" w:cs="宋体" w:eastAsia="宋体" w:hint="default"/>
                            <w:spacing w:val="-33"/>
                            <w:sz w:val="18"/>
                            <w:szCs w:val="18"/>
                          </w:rPr>
                          <w:t> </w:t>
                        </w:r>
                        <w:r>
                          <w:rPr>
                            <w:rFonts w:ascii="宋体" w:hAnsi="宋体" w:cs="宋体" w:eastAsia="宋体" w:hint="default"/>
                            <w:sz w:val="18"/>
                            <w:szCs w:val="18"/>
                          </w:rPr>
                          <w:t>日调整至</w:t>
                        </w:r>
                        <w:r>
                          <w:rPr>
                            <w:rFonts w:ascii="宋体" w:hAnsi="宋体" w:cs="宋体" w:eastAsia="宋体" w:hint="default"/>
                            <w:spacing w:val="-33"/>
                            <w:sz w:val="18"/>
                            <w:szCs w:val="18"/>
                          </w:rPr>
                          <w:t> </w:t>
                        </w:r>
                        <w:r>
                          <w:rPr>
                            <w:rFonts w:ascii="宋体" w:hAnsi="宋体" w:cs="宋体" w:eastAsia="宋体" w:hint="default"/>
                            <w:sz w:val="18"/>
                            <w:szCs w:val="18"/>
                          </w:rPr>
                          <w:t>2014</w:t>
                        </w:r>
                        <w:r>
                          <w:rPr>
                            <w:rFonts w:ascii="宋体" w:hAnsi="宋体" w:cs="宋体" w:eastAsia="宋体"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6</w:t>
                        </w:r>
                      </w:p>
                      <w:p>
                        <w:pPr>
                          <w:pStyle w:val="TableParagraph"/>
                          <w:spacing w:line="240" w:lineRule="auto" w:before="19"/>
                          <w:ind w:left="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77"/>
                          <w:ind w:left="6" w:right="12" w:firstLine="360"/>
                          <w:jc w:val="left"/>
                          <w:rPr>
                            <w:rFonts w:ascii="宋体" w:hAnsi="宋体" w:cs="宋体" w:eastAsia="宋体" w:hint="default"/>
                            <w:sz w:val="18"/>
                            <w:szCs w:val="18"/>
                          </w:rPr>
                        </w:pPr>
                        <w:r>
                          <w:rPr>
                            <w:rFonts w:ascii="宋体" w:hAnsi="宋体" w:cs="宋体" w:eastAsia="宋体" w:hint="default"/>
                            <w:sz w:val="18"/>
                            <w:szCs w:val="18"/>
                          </w:rPr>
                          <w:t>由于亚青会的召开及青奥会前期的市政工作，募投项目 </w:t>
                        </w:r>
                        <w:r>
                          <w:rPr>
                            <w:rFonts w:ascii="宋体" w:hAnsi="宋体" w:cs="宋体" w:eastAsia="宋体" w:hint="default"/>
                            <w:sz w:val="18"/>
                            <w:szCs w:val="18"/>
                          </w:rPr>
                          <w:t>2013</w:t>
                        </w:r>
                        <w:r>
                          <w:rPr>
                            <w:rFonts w:ascii="宋体" w:hAnsi="宋体" w:cs="宋体" w:eastAsia="宋体" w:hint="default"/>
                            <w:spacing w:val="-62"/>
                            <w:sz w:val="18"/>
                            <w:szCs w:val="18"/>
                          </w:rPr>
                          <w:t> </w:t>
                        </w:r>
                        <w:r>
                          <w:rPr>
                            <w:rFonts w:ascii="宋体" w:hAnsi="宋体" w:cs="宋体" w:eastAsia="宋体" w:hint="default"/>
                            <w:sz w:val="18"/>
                            <w:szCs w:val="18"/>
                          </w:rPr>
                          <w:t>年下半年的基建进度受到的影响比预期要大 此外为响应党的十八大关于绿色、科技、节能、减排的号召，综合考虑募投项目未来运行及管理的科学性和便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利性，以及灵活利用生产设备，充分发挥生产效率的需要，公司对电力用户用电信息采集系统产能扩大建设项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目在厂房内部结构和布局上重新进行规划设计。为避免完工后二次改造产生额外成本，公司决定在厂房建设阶</w:t>
                        </w:r>
                      </w:p>
                    </w:tc>
                  </w:tr>
                  <w:tr>
                    <w:trPr>
                      <w:trHeight w:val="1016" w:hRule="exact"/>
                    </w:trPr>
                    <w:tc>
                      <w:tcPr>
                        <w:tcW w:w="1564" w:type="dxa"/>
                        <w:tcBorders>
                          <w:top w:val="nil" w:sz="6" w:space="0" w:color="auto"/>
                          <w:left w:val="single" w:sz="12" w:space="0" w:color="000000"/>
                          <w:bottom w:val="nil" w:sz="6" w:space="0" w:color="auto"/>
                          <w:right w:val="single" w:sz="14" w:space="0" w:color="FFFFFF"/>
                        </w:tcBorders>
                        <w:shd w:val="clear" w:color="auto" w:fill="D2D2D2"/>
                      </w:tcPr>
                      <w:p>
                        <w:pPr>
                          <w:pStyle w:val="TableParagraph"/>
                          <w:spacing w:line="319" w:lineRule="auto" w:before="51"/>
                          <w:ind w:left="13" w:right="-42"/>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w:t>
                        </w:r>
                        <w:r>
                          <w:rPr>
                            <w:rFonts w:ascii="宋体" w:hAnsi="宋体" w:cs="宋体" w:eastAsia="宋体" w:hint="default"/>
                            <w:spacing w:val="-7"/>
                            <w:sz w:val="18"/>
                            <w:szCs w:val="18"/>
                          </w:rPr>
                          <w:t>原因（分具体项目）</w:t>
                        </w:r>
                        <w:r>
                          <w:rPr>
                            <w:rFonts w:ascii="宋体" w:hAnsi="宋体" w:cs="宋体" w:eastAsia="宋体" w:hint="default"/>
                            <w:sz w:val="18"/>
                            <w:szCs w:val="18"/>
                          </w:rPr>
                        </w:r>
                      </w:p>
                    </w:tc>
                    <w:tc>
                      <w:tcPr>
                        <w:tcW w:w="8708" w:type="dxa"/>
                        <w:gridSpan w:val="11"/>
                        <w:vMerge/>
                        <w:tcBorders>
                          <w:left w:val="single" w:sz="14" w:space="0" w:color="FFFFFF"/>
                          <w:right w:val="single" w:sz="12" w:space="0" w:color="000000"/>
                        </w:tcBorders>
                      </w:tcPr>
                      <w:p>
                        <w:pPr/>
                      </w:p>
                    </w:tc>
                  </w:tr>
                  <w:tr>
                    <w:trPr>
                      <w:trHeight w:val="1224" w:hRule="exact"/>
                    </w:trPr>
                    <w:tc>
                      <w:tcPr>
                        <w:tcW w:w="1564" w:type="dxa"/>
                        <w:tcBorders>
                          <w:top w:val="nil" w:sz="6" w:space="0" w:color="auto"/>
                          <w:left w:val="single" w:sz="12" w:space="0" w:color="000000"/>
                          <w:bottom w:val="single" w:sz="12" w:space="0" w:color="000000"/>
                          <w:right w:val="single" w:sz="14" w:space="0" w:color="FFFFFF"/>
                        </w:tcBorders>
                        <w:shd w:val="clear" w:color="auto" w:fill="D2D2D2"/>
                      </w:tcPr>
                      <w:p>
                        <w:pPr/>
                      </w:p>
                    </w:tc>
                    <w:tc>
                      <w:tcPr>
                        <w:tcW w:w="8708" w:type="dxa"/>
                        <w:gridSpan w:val="11"/>
                        <w:vMerge/>
                        <w:tcBorders>
                          <w:left w:val="single" w:sz="14" w:space="0" w:color="FFFFFF"/>
                          <w:bottom w:val="single" w:sz="12" w:space="0" w:color="000000"/>
                          <w:right w:val="single" w:sz="12"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r>
        <w:rPr/>
        <w:pict>
          <v:shape style="position:absolute;margin-left:40.080002pt;margin-top:71.999985pt;width:515.85pt;height:684.15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1"/>
                    <w:gridCol w:w="8711"/>
                  </w:tblGrid>
                  <w:tr>
                    <w:trPr>
                      <w:trHeight w:val="7511" w:hRule="exact"/>
                    </w:trPr>
                    <w:tc>
                      <w:tcPr>
                        <w:tcW w:w="1561"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8711" w:type="dxa"/>
                        <w:tcBorders>
                          <w:top w:val="single" w:sz="12" w:space="0" w:color="000000"/>
                          <w:left w:val="single" w:sz="6" w:space="0" w:color="000000"/>
                          <w:bottom w:val="single" w:sz="6" w:space="0" w:color="000000"/>
                          <w:right w:val="single" w:sz="12" w:space="0" w:color="000000"/>
                        </w:tcBorders>
                      </w:tcPr>
                      <w:p>
                        <w:pPr>
                          <w:pStyle w:val="TableParagraph"/>
                          <w:spacing w:line="316" w:lineRule="auto" w:before="10"/>
                          <w:ind w:left="20" w:right="10"/>
                          <w:jc w:val="left"/>
                          <w:rPr>
                            <w:rFonts w:ascii="宋体" w:hAnsi="宋体" w:cs="宋体" w:eastAsia="宋体" w:hint="default"/>
                            <w:sz w:val="18"/>
                            <w:szCs w:val="18"/>
                          </w:rPr>
                        </w:pPr>
                        <w:r>
                          <w:rPr>
                            <w:rFonts w:ascii="宋体" w:hAnsi="宋体" w:cs="宋体" w:eastAsia="宋体" w:hint="default"/>
                            <w:sz w:val="18"/>
                            <w:szCs w:val="18"/>
                          </w:rPr>
                          <w:t>段即进行方案设计和实施，将其建设成节能减排、绿色科技厂房。考虑到上述因素，公司将“电力用户用电信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息采集系统产能扩大建设项目”达到预定可使用状态日期由</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日调整至</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19"/>
                          <w:ind w:left="20" w:right="10" w:firstLine="360"/>
                          <w:jc w:val="both"/>
                          <w:rPr>
                            <w:rFonts w:ascii="宋体" w:hAnsi="宋体" w:cs="宋体" w:eastAsia="宋体" w:hint="default"/>
                            <w:sz w:val="18"/>
                            <w:szCs w:val="18"/>
                          </w:rPr>
                        </w:pPr>
                        <w:r>
                          <w:rPr>
                            <w:rFonts w:ascii="宋体" w:hAnsi="宋体" w:cs="宋体" w:eastAsia="宋体" w:hint="default"/>
                            <w:sz w:val="18"/>
                            <w:szCs w:val="18"/>
                          </w:rPr>
                          <w:t>公司在《</w:t>
                        </w:r>
                        <w:r>
                          <w:rPr>
                            <w:rFonts w:ascii="宋体" w:hAnsi="宋体" w:cs="宋体" w:eastAsia="宋体" w:hint="default"/>
                            <w:sz w:val="18"/>
                            <w:szCs w:val="18"/>
                          </w:rPr>
                          <w:t>2014</w:t>
                        </w:r>
                        <w:r>
                          <w:rPr>
                            <w:rFonts w:ascii="宋体" w:hAnsi="宋体" w:cs="宋体" w:eastAsia="宋体" w:hint="default"/>
                            <w:spacing w:val="-66"/>
                            <w:sz w:val="18"/>
                            <w:szCs w:val="18"/>
                          </w:rPr>
                          <w:t> </w:t>
                        </w:r>
                        <w:r>
                          <w:rPr>
                            <w:rFonts w:ascii="宋体" w:hAnsi="宋体" w:cs="宋体" w:eastAsia="宋体" w:hint="default"/>
                            <w:sz w:val="18"/>
                            <w:szCs w:val="18"/>
                          </w:rPr>
                          <w:t>年度报告》中，电力用户用电信息采集系统产能扩大建设项目的厂房已建设完毕，按照柔性 产能确定的生产设备合同已陆续签署。由于该项目厂房与公司综合楼在同一地块一起投入建设，综合楼建设体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量比厂房大，故在建设进度上慢于厂房，在规划供电、排水、交通、后勤保障等方面综合楼与厂房需要同步考</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虑，从经济效益角度考虑，厂房与综合楼同时启用经济效益最优，运行成本较低，综合楼预计</w:t>
                        </w:r>
                        <w:r>
                          <w:rPr>
                            <w:rFonts w:ascii="宋体" w:hAnsi="宋体" w:cs="宋体" w:eastAsia="宋体" w:hint="default"/>
                            <w:spacing w:val="-75"/>
                            <w:sz w:val="18"/>
                            <w:szCs w:val="18"/>
                          </w:rPr>
                          <w:t> </w:t>
                        </w:r>
                        <w:r>
                          <w:rPr>
                            <w:rFonts w:ascii="宋体" w:hAnsi="宋体" w:cs="宋体" w:eastAsia="宋体" w:hint="default"/>
                            <w:sz w:val="18"/>
                            <w:szCs w:val="18"/>
                          </w:rPr>
                          <w:t>2016</w:t>
                        </w:r>
                        <w:r>
                          <w:rPr>
                            <w:rFonts w:ascii="宋体" w:hAnsi="宋体" w:cs="宋体" w:eastAsia="宋体" w:hint="default"/>
                            <w:spacing w:val="-75"/>
                            <w:sz w:val="18"/>
                            <w:szCs w:val="18"/>
                          </w:rPr>
                          <w:t> </w:t>
                        </w:r>
                        <w:r>
                          <w:rPr>
                            <w:rFonts w:ascii="宋体" w:hAnsi="宋体" w:cs="宋体" w:eastAsia="宋体" w:hint="default"/>
                            <w:sz w:val="18"/>
                            <w:szCs w:val="18"/>
                          </w:rPr>
                          <w:t>年年初交付 使用，考虑到上述因素，公司将“电力用户用电信息采集系统产能扩大建设项目”达到预定可使用状态日期由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日调整至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before="19"/>
                          <w:ind w:left="380" w:right="0"/>
                          <w:jc w:val="left"/>
                          <w:rPr>
                            <w:rFonts w:ascii="宋体" w:hAnsi="宋体" w:cs="宋体" w:eastAsia="宋体" w:hint="default"/>
                            <w:sz w:val="18"/>
                            <w:szCs w:val="18"/>
                          </w:rPr>
                        </w:pPr>
                        <w:r>
                          <w:rPr>
                            <w:rFonts w:ascii="宋体" w:hAnsi="宋体" w:cs="宋体" w:eastAsia="宋体" w:hint="default"/>
                            <w:sz w:val="18"/>
                            <w:szCs w:val="18"/>
                          </w:rPr>
                          <w:t>截止目前，电力用户用电信息采集系统产能扩大建设项目已完成建设并达到预定可使用状态。</w:t>
                        </w:r>
                      </w:p>
                      <w:p>
                        <w:pPr>
                          <w:pStyle w:val="TableParagraph"/>
                          <w:spacing w:line="316" w:lineRule="auto" w:before="76"/>
                          <w:ind w:left="20" w:right="11" w:firstLine="360"/>
                          <w:jc w:val="both"/>
                          <w:rPr>
                            <w:rFonts w:ascii="宋体" w:hAnsi="宋体" w:cs="宋体" w:eastAsia="宋体" w:hint="default"/>
                            <w:sz w:val="18"/>
                            <w:szCs w:val="18"/>
                          </w:rPr>
                        </w:pPr>
                        <w:r>
                          <w:rPr>
                            <w:rFonts w:ascii="宋体" w:hAnsi="宋体" w:cs="宋体" w:eastAsia="宋体" w:hint="default"/>
                            <w:sz w:val="18"/>
                            <w:szCs w:val="18"/>
                          </w:rPr>
                          <w:t>②研发中心建设项目：因同受上述“电力用户用电信息采集系统产能扩大建设项目”延期因素影响，公司 </w:t>
                        </w:r>
                        <w:r>
                          <w:rPr>
                            <w:rFonts w:ascii="宋体" w:hAnsi="宋体" w:cs="宋体" w:eastAsia="宋体" w:hint="default"/>
                            <w:spacing w:val="-15"/>
                            <w:sz w:val="18"/>
                            <w:szCs w:val="18"/>
                          </w:rPr>
                          <w:t>在《</w:t>
                        </w:r>
                        <w:r>
                          <w:rPr>
                            <w:rFonts w:ascii="宋体" w:hAnsi="宋体" w:cs="宋体" w:eastAsia="宋体" w:hint="default"/>
                            <w:spacing w:val="-15"/>
                            <w:sz w:val="18"/>
                            <w:szCs w:val="18"/>
                          </w:rPr>
                          <w:t>2013</w:t>
                        </w:r>
                        <w:r>
                          <w:rPr>
                            <w:rFonts w:ascii="宋体" w:hAnsi="宋体" w:cs="宋体" w:eastAsia="宋体" w:hint="default"/>
                            <w:spacing w:val="-53"/>
                            <w:sz w:val="18"/>
                            <w:szCs w:val="18"/>
                          </w:rPr>
                          <w:t> </w:t>
                        </w:r>
                        <w:r>
                          <w:rPr>
                            <w:rFonts w:ascii="宋体" w:hAnsi="宋体" w:cs="宋体" w:eastAsia="宋体" w:hint="default"/>
                            <w:spacing w:val="-3"/>
                            <w:sz w:val="18"/>
                            <w:szCs w:val="18"/>
                          </w:rPr>
                          <w:t>年度半年度报告》中将“研发中心建设项目”达到预定可使用状态日期由</w:t>
                        </w:r>
                        <w:r>
                          <w:rPr>
                            <w:rFonts w:ascii="宋体" w:hAnsi="宋体" w:cs="宋体" w:eastAsia="宋体" w:hint="default"/>
                            <w:spacing w:val="-53"/>
                            <w:sz w:val="18"/>
                            <w:szCs w:val="18"/>
                          </w:rPr>
                          <w:t> </w:t>
                        </w:r>
                        <w:r>
                          <w:rPr>
                            <w:rFonts w:ascii="宋体" w:hAnsi="宋体" w:cs="宋体" w:eastAsia="宋体" w:hint="default"/>
                            <w:sz w:val="18"/>
                            <w:szCs w:val="18"/>
                          </w:rPr>
                          <w:t>2013</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9</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30</w:t>
                        </w:r>
                        <w:r>
                          <w:rPr>
                            <w:rFonts w:ascii="宋体" w:hAnsi="宋体" w:cs="宋体" w:eastAsia="宋体" w:hint="default"/>
                            <w:spacing w:val="-53"/>
                            <w:sz w:val="18"/>
                            <w:szCs w:val="18"/>
                          </w:rPr>
                          <w:t> </w:t>
                        </w:r>
                        <w:r>
                          <w:rPr>
                            <w:rFonts w:ascii="宋体" w:hAnsi="宋体" w:cs="宋体" w:eastAsia="宋体" w:hint="default"/>
                            <w:spacing w:val="-1"/>
                            <w:sz w:val="18"/>
                            <w:szCs w:val="18"/>
                          </w:rPr>
                          <w:t>日调整至</w:t>
                        </w:r>
                        <w:r>
                          <w:rPr>
                            <w:rFonts w:ascii="宋体" w:hAnsi="宋体" w:cs="宋体" w:eastAsia="宋体" w:hint="default"/>
                            <w:spacing w:val="-53"/>
                            <w:sz w:val="18"/>
                            <w:szCs w:val="18"/>
                          </w:rPr>
                          <w:t> </w:t>
                        </w:r>
                        <w:r>
                          <w:rPr>
                            <w:rFonts w:ascii="宋体" w:hAnsi="宋体" w:cs="宋体" w:eastAsia="宋体" w:hint="default"/>
                            <w:sz w:val="18"/>
                            <w:szCs w:val="18"/>
                          </w:rPr>
                          <w:t>2014</w:t>
                        </w:r>
                      </w:p>
                      <w:p>
                        <w:pPr>
                          <w:pStyle w:val="TableParagraph"/>
                          <w:spacing w:line="240" w:lineRule="auto" w:before="19"/>
                          <w:ind w:left="2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76"/>
                          <w:ind w:left="20" w:right="11" w:firstLine="360"/>
                          <w:jc w:val="both"/>
                          <w:rPr>
                            <w:rFonts w:ascii="宋体" w:hAnsi="宋体" w:cs="宋体" w:eastAsia="宋体" w:hint="default"/>
                            <w:sz w:val="18"/>
                            <w:szCs w:val="18"/>
                          </w:rPr>
                        </w:pPr>
                        <w:r>
                          <w:rPr>
                            <w:rFonts w:ascii="宋体" w:hAnsi="宋体" w:cs="宋体" w:eastAsia="宋体" w:hint="default"/>
                            <w:sz w:val="18"/>
                            <w:szCs w:val="18"/>
                          </w:rPr>
                          <w:t>公司所在城市</w:t>
                        </w:r>
                        <w:r>
                          <w:rPr>
                            <w:rFonts w:ascii="宋体" w:hAnsi="宋体" w:cs="宋体" w:eastAsia="宋体" w:hint="default"/>
                            <w:spacing w:val="-75"/>
                            <w:sz w:val="18"/>
                            <w:szCs w:val="18"/>
                          </w:rPr>
                          <w:t> </w:t>
                        </w:r>
                        <w:r>
                          <w:rPr>
                            <w:rFonts w:ascii="宋体" w:hAnsi="宋体" w:cs="宋体" w:eastAsia="宋体" w:hint="default"/>
                            <w:sz w:val="18"/>
                            <w:szCs w:val="18"/>
                          </w:rPr>
                          <w:t>2014</w:t>
                        </w:r>
                        <w:r>
                          <w:rPr>
                            <w:rFonts w:ascii="宋体" w:hAnsi="宋体" w:cs="宋体" w:eastAsia="宋体" w:hint="default"/>
                            <w:spacing w:val="-75"/>
                            <w:sz w:val="18"/>
                            <w:szCs w:val="18"/>
                          </w:rPr>
                          <w:t> </w:t>
                        </w:r>
                        <w:r>
                          <w:rPr>
                            <w:rFonts w:ascii="宋体" w:hAnsi="宋体" w:cs="宋体" w:eastAsia="宋体" w:hint="default"/>
                            <w:sz w:val="18"/>
                            <w:szCs w:val="18"/>
                          </w:rPr>
                          <w:t>年将承办青奥会，为服从政府部门对城市重要干道基建项目的管理，致使项目的基建完 工时间有所推迟。研发中心项目所在综合楼目前已完成主体封顶，尚有内外墙体砌筑、外立面幕墙装饰施工、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设备采购安装调试、水电气等各专业管线布置、内部装修、工程项目验收、备案等工作须进行，考虑到上述因</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素，公司将“研发中心建设项目”达到预定可使用状态日期由</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日调整至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19"/>
                          <w:ind w:left="20" w:right="11" w:firstLine="360"/>
                          <w:jc w:val="both"/>
                          <w:rPr>
                            <w:rFonts w:ascii="宋体" w:hAnsi="宋体" w:cs="宋体" w:eastAsia="宋体" w:hint="default"/>
                            <w:sz w:val="18"/>
                            <w:szCs w:val="18"/>
                          </w:rPr>
                        </w:pPr>
                        <w:r>
                          <w:rPr>
                            <w:rFonts w:ascii="宋体" w:hAnsi="宋体" w:cs="宋体" w:eastAsia="宋体" w:hint="default"/>
                            <w:sz w:val="18"/>
                            <w:szCs w:val="18"/>
                          </w:rPr>
                          <w:t>在公司</w:t>
                        </w:r>
                        <w:r>
                          <w:rPr>
                            <w:rFonts w:ascii="宋体" w:hAnsi="宋体" w:cs="宋体" w:eastAsia="宋体" w:hint="default"/>
                            <w:spacing w:val="-75"/>
                            <w:sz w:val="18"/>
                            <w:szCs w:val="18"/>
                          </w:rPr>
                          <w:t> </w:t>
                        </w:r>
                        <w:r>
                          <w:rPr>
                            <w:rFonts w:ascii="宋体" w:hAnsi="宋体" w:cs="宋体" w:eastAsia="宋体" w:hint="default"/>
                            <w:sz w:val="18"/>
                            <w:szCs w:val="18"/>
                          </w:rPr>
                          <w:t>2014</w:t>
                        </w:r>
                        <w:r>
                          <w:rPr>
                            <w:rFonts w:ascii="宋体" w:hAnsi="宋体" w:cs="宋体" w:eastAsia="宋体" w:hint="default"/>
                            <w:spacing w:val="-75"/>
                            <w:sz w:val="18"/>
                            <w:szCs w:val="18"/>
                          </w:rPr>
                          <w:t> </w:t>
                        </w:r>
                        <w:r>
                          <w:rPr>
                            <w:rFonts w:ascii="宋体" w:hAnsi="宋体" w:cs="宋体" w:eastAsia="宋体" w:hint="default"/>
                            <w:sz w:val="18"/>
                            <w:szCs w:val="18"/>
                          </w:rPr>
                          <w:t>年度报告中，研发中心建设项目所在综合楼土建工程、水电安装及消防工程基本结束，外墙玻 璃、石材幕墙全部完成，尚待进行室内装修、空调设备安装、室外管网、道路及景观工程施工等方面的工作，</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考虑到上述工程工作量，公司将“研发中心建设项目”达到预定可使用状态日期由</w:t>
                        </w:r>
                        <w:r>
                          <w:rPr>
                            <w:rFonts w:ascii="宋体" w:hAnsi="宋体" w:cs="宋体" w:eastAsia="宋体" w:hint="default"/>
                            <w:spacing w:val="-60"/>
                            <w:sz w:val="18"/>
                            <w:szCs w:val="18"/>
                          </w:rPr>
                          <w:t> </w:t>
                        </w:r>
                        <w:r>
                          <w:rPr>
                            <w:rFonts w:ascii="宋体" w:hAnsi="宋体" w:cs="宋体" w:eastAsia="宋体" w:hint="default"/>
                            <w:sz w:val="18"/>
                            <w:szCs w:val="18"/>
                          </w:rPr>
                          <w:t>2015</w:t>
                        </w:r>
                        <w:r>
                          <w:rPr>
                            <w:rFonts w:ascii="宋体" w:hAnsi="宋体" w:cs="宋体" w:eastAsia="宋体" w:hint="default"/>
                            <w:spacing w:val="-61"/>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宋体" w:hAnsi="宋体" w:cs="宋体" w:eastAsia="宋体" w:hint="default"/>
                            <w:sz w:val="18"/>
                            <w:szCs w:val="18"/>
                          </w:rPr>
                          <w:t>6</w:t>
                        </w:r>
                        <w:r>
                          <w:rPr>
                            <w:rFonts w:ascii="宋体" w:hAnsi="宋体" w:cs="宋体" w:eastAsia="宋体" w:hint="default"/>
                            <w:spacing w:val="-61"/>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宋体" w:hAnsi="宋体" w:cs="宋体" w:eastAsia="宋体" w:hint="default"/>
                            <w:sz w:val="18"/>
                            <w:szCs w:val="18"/>
                          </w:rPr>
                          <w:t>30</w:t>
                        </w:r>
                        <w:r>
                          <w:rPr>
                            <w:rFonts w:ascii="宋体" w:hAnsi="宋体" w:cs="宋体" w:eastAsia="宋体" w:hint="default"/>
                            <w:spacing w:val="-61"/>
                            <w:sz w:val="18"/>
                            <w:szCs w:val="18"/>
                          </w:rPr>
                          <w:t> </w:t>
                        </w:r>
                        <w:r>
                          <w:rPr>
                            <w:rFonts w:ascii="宋体" w:hAnsi="宋体" w:cs="宋体" w:eastAsia="宋体" w:hint="default"/>
                            <w:sz w:val="18"/>
                            <w:szCs w:val="18"/>
                          </w:rPr>
                          <w:t>日调整至</w:t>
                        </w:r>
                        <w:r>
                          <w:rPr>
                            <w:rFonts w:ascii="宋体" w:hAnsi="宋体" w:cs="宋体" w:eastAsia="宋体" w:hint="default"/>
                            <w:spacing w:val="-61"/>
                            <w:sz w:val="18"/>
                            <w:szCs w:val="18"/>
                          </w:rPr>
                          <w:t> </w:t>
                        </w:r>
                        <w:r>
                          <w:rPr>
                            <w:rFonts w:ascii="宋体" w:hAnsi="宋体" w:cs="宋体" w:eastAsia="宋体" w:hint="default"/>
                            <w:sz w:val="18"/>
                            <w:szCs w:val="18"/>
                          </w:rPr>
                          <w:t>2016</w:t>
                        </w:r>
                      </w:p>
                      <w:p>
                        <w:pPr>
                          <w:pStyle w:val="TableParagraph"/>
                          <w:spacing w:line="240" w:lineRule="auto" w:before="19"/>
                          <w:ind w:left="2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9" w:lineRule="auto" w:before="76"/>
                          <w:ind w:left="20" w:right="11" w:firstLine="360"/>
                          <w:jc w:val="left"/>
                          <w:rPr>
                            <w:rFonts w:ascii="宋体" w:hAnsi="宋体" w:cs="宋体" w:eastAsia="宋体" w:hint="default"/>
                            <w:sz w:val="18"/>
                            <w:szCs w:val="18"/>
                          </w:rPr>
                        </w:pPr>
                        <w:r>
                          <w:rPr>
                            <w:rFonts w:ascii="宋体" w:hAnsi="宋体" w:cs="宋体" w:eastAsia="宋体" w:hint="default"/>
                            <w:sz w:val="18"/>
                            <w:szCs w:val="18"/>
                          </w:rPr>
                          <w:t>目前，研发中心建设项目所在综合楼正待进行办公装修、楼层规划、采购设备等工作，考虑到上述工作量 公司将“研发中心建设项目”达到预定可使用状态日期由</w:t>
                        </w:r>
                        <w:r>
                          <w:rPr>
                            <w:rFonts w:ascii="宋体" w:hAnsi="宋体" w:cs="宋体" w:eastAsia="宋体" w:hint="default"/>
                            <w:spacing w:val="-44"/>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日调整至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3"/>
                            <w:sz w:val="18"/>
                            <w:szCs w:val="18"/>
                          </w:rPr>
                          <w:t> </w:t>
                        </w:r>
                        <w:r>
                          <w:rPr>
                            <w:rFonts w:ascii="宋体" w:hAnsi="宋体" w:cs="宋体" w:eastAsia="宋体" w:hint="default"/>
                            <w:sz w:val="18"/>
                            <w:szCs w:val="18"/>
                          </w:rPr>
                          <w:t>日。在此 期间公司研发部门在现有办公场地正常开展技术研发工作，研发中心建设项目进度延期不会影响公司正常研发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工作的开展。</w:t>
                        </w:r>
                      </w:p>
                    </w:tc>
                  </w:tr>
                  <w:tr>
                    <w:trPr>
                      <w:trHeight w:val="1343" w:hRule="exact"/>
                    </w:trPr>
                    <w:tc>
                      <w:tcPr>
                        <w:tcW w:w="15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3" w:right="83"/>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8711"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51"/>
                          <w:ind w:left="20" w:right="10" w:firstLine="360"/>
                          <w:jc w:val="left"/>
                          <w:rPr>
                            <w:rFonts w:ascii="宋体" w:hAnsi="宋体" w:cs="宋体" w:eastAsia="宋体" w:hint="default"/>
                            <w:sz w:val="18"/>
                            <w:szCs w:val="18"/>
                          </w:rPr>
                        </w:pPr>
                        <w:r>
                          <w:rPr>
                            <w:rFonts w:ascii="宋体" w:hAnsi="宋体" w:cs="宋体" w:eastAsia="宋体" w:hint="default"/>
                            <w:sz w:val="18"/>
                            <w:szCs w:val="18"/>
                          </w:rPr>
                          <w:t>为降低公司对外投资风险、保护公司及股东的合法权益免受损失，维护上市公司和非关联股东特别是中小 股东的利益，经公司第二届董事会第十一次会议及</w:t>
                        </w:r>
                        <w:r>
                          <w:rPr>
                            <w:rFonts w:ascii="宋体" w:hAnsi="宋体" w:cs="宋体" w:eastAsia="宋体" w:hint="default"/>
                            <w:spacing w:val="-75"/>
                            <w:sz w:val="18"/>
                            <w:szCs w:val="18"/>
                          </w:rPr>
                          <w:t> </w:t>
                        </w:r>
                        <w:r>
                          <w:rPr>
                            <w:rFonts w:ascii="宋体" w:hAnsi="宋体" w:cs="宋体" w:eastAsia="宋体" w:hint="default"/>
                            <w:sz w:val="18"/>
                            <w:szCs w:val="18"/>
                          </w:rPr>
                          <w:t>2014</w:t>
                        </w:r>
                        <w:r>
                          <w:rPr>
                            <w:rFonts w:ascii="宋体" w:hAnsi="宋体" w:cs="宋体" w:eastAsia="宋体" w:hint="default"/>
                            <w:spacing w:val="-75"/>
                            <w:sz w:val="18"/>
                            <w:szCs w:val="18"/>
                          </w:rPr>
                          <w:t> </w:t>
                        </w:r>
                        <w:r>
                          <w:rPr>
                            <w:rFonts w:ascii="宋体" w:hAnsi="宋体" w:cs="宋体" w:eastAsia="宋体" w:hint="default"/>
                            <w:sz w:val="18"/>
                            <w:szCs w:val="18"/>
                          </w:rPr>
                          <w:t>年第二次临时股东大会审议通过，公司将所持有的南京 宇能</w:t>
                        </w:r>
                        <w:r>
                          <w:rPr>
                            <w:rFonts w:ascii="宋体" w:hAnsi="宋体" w:cs="宋体" w:eastAsia="宋体" w:hint="default"/>
                            <w:spacing w:val="-46"/>
                            <w:sz w:val="18"/>
                            <w:szCs w:val="18"/>
                          </w:rPr>
                          <w:t> </w:t>
                        </w:r>
                        <w:r>
                          <w:rPr>
                            <w:rFonts w:ascii="宋体" w:hAnsi="宋体" w:cs="宋体" w:eastAsia="宋体" w:hint="default"/>
                            <w:sz w:val="18"/>
                            <w:szCs w:val="18"/>
                          </w:rPr>
                          <w:t>55%</w:t>
                        </w:r>
                        <w:r>
                          <w:rPr>
                            <w:rFonts w:ascii="宋体" w:hAnsi="宋体" w:cs="宋体" w:eastAsia="宋体" w:hint="default"/>
                            <w:sz w:val="18"/>
                            <w:szCs w:val="18"/>
                          </w:rPr>
                          <w:t>的股权、全部债权及相应权利整体转让给公司控股股东光一投资，上述股权投资款项</w:t>
                        </w:r>
                        <w:r>
                          <w:rPr>
                            <w:rFonts w:ascii="宋体" w:hAnsi="宋体" w:cs="宋体" w:eastAsia="宋体" w:hint="default"/>
                            <w:spacing w:val="-45"/>
                            <w:sz w:val="18"/>
                            <w:szCs w:val="18"/>
                          </w:rPr>
                          <w:t> </w:t>
                        </w:r>
                        <w:r>
                          <w:rPr>
                            <w:rFonts w:ascii="宋体" w:hAnsi="宋体" w:cs="宋体" w:eastAsia="宋体" w:hint="default"/>
                            <w:sz w:val="18"/>
                            <w:szCs w:val="18"/>
                          </w:rPr>
                          <w:t>2,250</w:t>
                        </w:r>
                        <w:r>
                          <w:rPr>
                            <w:rFonts w:ascii="宋体" w:hAnsi="宋体" w:cs="宋体" w:eastAsia="宋体" w:hint="default"/>
                            <w:spacing w:val="-46"/>
                            <w:sz w:val="18"/>
                            <w:szCs w:val="18"/>
                          </w:rPr>
                          <w:t> </w:t>
                        </w:r>
                        <w:r>
                          <w:rPr>
                            <w:rFonts w:ascii="宋体" w:hAnsi="宋体" w:cs="宋体" w:eastAsia="宋体" w:hint="default"/>
                            <w:sz w:val="18"/>
                            <w:szCs w:val="18"/>
                          </w:rPr>
                          <w:t>万元公司 已收回并存放于超募资金专用账户，南京宇能不再是公司控股子公司。</w:t>
                        </w:r>
                      </w:p>
                    </w:tc>
                  </w:tr>
                  <w:tr>
                    <w:trPr>
                      <w:trHeight w:val="407" w:hRule="exact"/>
                    </w:trPr>
                    <w:tc>
                      <w:tcPr>
                        <w:tcW w:w="1561"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3" w:right="83"/>
                          <w:jc w:val="both"/>
                          <w:rPr>
                            <w:rFonts w:ascii="宋体" w:hAnsi="宋体" w:cs="宋体" w:eastAsia="宋体" w:hint="default"/>
                            <w:sz w:val="18"/>
                            <w:szCs w:val="18"/>
                          </w:rPr>
                        </w:pPr>
                        <w:r>
                          <w:rPr>
                            <w:rFonts w:ascii="宋体" w:hAnsi="宋体" w:cs="宋体" w:eastAsia="宋体" w:hint="default"/>
                            <w:sz w:val="18"/>
                            <w:szCs w:val="18"/>
                          </w:rPr>
                          <w:t>超募资金的金额、 用途及使用进展情 况</w:t>
                        </w:r>
                      </w:p>
                    </w:tc>
                    <w:tc>
                      <w:tcPr>
                        <w:tcW w:w="87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392" w:hRule="exact"/>
                    </w:trPr>
                    <w:tc>
                      <w:tcPr>
                        <w:tcW w:w="1561" w:type="dxa"/>
                        <w:vMerge/>
                        <w:tcBorders>
                          <w:left w:val="single" w:sz="12" w:space="0" w:color="000000"/>
                          <w:bottom w:val="single" w:sz="12" w:space="0" w:color="000000"/>
                          <w:right w:val="single" w:sz="6" w:space="0" w:color="000000"/>
                        </w:tcBorders>
                        <w:shd w:val="clear" w:color="auto" w:fill="D2D2D2"/>
                      </w:tcPr>
                      <w:p>
                        <w:pPr/>
                      </w:p>
                    </w:tc>
                    <w:tc>
                      <w:tcPr>
                        <w:tcW w:w="87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left="20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pacing w:val="-4"/>
                            <w:sz w:val="18"/>
                            <w:szCs w:val="18"/>
                          </w:rPr>
                          <w:t>日，公司首次公开发行股票募集资金净额为</w:t>
                        </w:r>
                        <w:r>
                          <w:rPr>
                            <w:rFonts w:ascii="宋体" w:hAnsi="宋体" w:cs="宋体" w:eastAsia="宋体" w:hint="default"/>
                            <w:spacing w:val="-46"/>
                            <w:sz w:val="18"/>
                            <w:szCs w:val="18"/>
                          </w:rPr>
                          <w:t> </w:t>
                        </w:r>
                        <w:r>
                          <w:rPr>
                            <w:rFonts w:ascii="宋体" w:hAnsi="宋体" w:cs="宋体" w:eastAsia="宋体" w:hint="default"/>
                            <w:sz w:val="18"/>
                            <w:szCs w:val="18"/>
                          </w:rPr>
                          <w:t>35,429.12</w:t>
                        </w:r>
                        <w:r>
                          <w:rPr>
                            <w:rFonts w:ascii="宋体" w:hAnsi="宋体" w:cs="宋体" w:eastAsia="宋体" w:hint="default"/>
                            <w:spacing w:val="-46"/>
                            <w:sz w:val="18"/>
                            <w:szCs w:val="18"/>
                          </w:rPr>
                          <w:t> </w:t>
                        </w:r>
                        <w:r>
                          <w:rPr>
                            <w:rFonts w:ascii="宋体" w:hAnsi="宋体" w:cs="宋体" w:eastAsia="宋体" w:hint="default"/>
                            <w:spacing w:val="-8"/>
                            <w:sz w:val="18"/>
                            <w:szCs w:val="18"/>
                          </w:rPr>
                          <w:t>万元，其中超募资金</w:t>
                        </w:r>
                        <w:r>
                          <w:rPr>
                            <w:rFonts w:ascii="宋体" w:hAnsi="宋体" w:cs="宋体" w:eastAsia="宋体" w:hint="default"/>
                            <w:spacing w:val="-46"/>
                            <w:sz w:val="18"/>
                            <w:szCs w:val="18"/>
                          </w:rPr>
                          <w:t> </w:t>
                        </w:r>
                        <w:r>
                          <w:rPr>
                            <w:rFonts w:ascii="宋体" w:hAnsi="宋体" w:cs="宋体" w:eastAsia="宋体" w:hint="default"/>
                            <w:sz w:val="18"/>
                            <w:szCs w:val="18"/>
                          </w:rPr>
                          <w:t>15,029.12</w:t>
                        </w:r>
                        <w:r>
                          <w:rPr>
                            <w:rFonts w:ascii="宋体" w:hAnsi="宋体" w:cs="宋体" w:eastAsia="宋体" w:hint="default"/>
                            <w:spacing w:val="-45"/>
                            <w:sz w:val="18"/>
                            <w:szCs w:val="18"/>
                          </w:rPr>
                          <w:t> </w:t>
                        </w:r>
                        <w:r>
                          <w:rPr>
                            <w:rFonts w:ascii="宋体" w:hAnsi="宋体" w:cs="宋体" w:eastAsia="宋体" w:hint="default"/>
                            <w:sz w:val="18"/>
                            <w:szCs w:val="18"/>
                          </w:rPr>
                          <w:t>万元</w:t>
                        </w:r>
                      </w:p>
                      <w:p>
                        <w:pPr>
                          <w:pStyle w:val="TableParagraph"/>
                          <w:spacing w:line="240" w:lineRule="auto" w:before="76"/>
                          <w:ind w:left="204" w:right="0"/>
                          <w:jc w:val="center"/>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39"/>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司</w:t>
                        </w:r>
                        <w:r>
                          <w:rPr>
                            <w:rFonts w:ascii="宋体" w:hAnsi="宋体" w:cs="宋体" w:eastAsia="宋体" w:hint="default"/>
                            <w:sz w:val="18"/>
                            <w:szCs w:val="18"/>
                          </w:rPr>
                          <w:t>披露</w:t>
                        </w:r>
                        <w:r>
                          <w:rPr>
                            <w:rFonts w:ascii="宋体" w:hAnsi="宋体" w:cs="宋体" w:eastAsia="宋体" w:hint="default"/>
                            <w:spacing w:val="-39"/>
                            <w:sz w:val="18"/>
                            <w:szCs w:val="18"/>
                          </w:rPr>
                          <w:t>了</w:t>
                        </w:r>
                        <w:r>
                          <w:rPr>
                            <w:rFonts w:ascii="宋体" w:hAnsi="宋体" w:cs="宋体" w:eastAsia="宋体" w:hint="default"/>
                            <w:sz w:val="18"/>
                            <w:szCs w:val="18"/>
                          </w:rPr>
                          <w:t>《关于使用部分超募资金永久补充流动资金的公告</w:t>
                        </w:r>
                        <w:r>
                          <w:rPr>
                            <w:rFonts w:ascii="宋体" w:hAnsi="宋体" w:cs="宋体" w:eastAsia="宋体" w:hint="default"/>
                            <w:spacing w:val="-77"/>
                            <w:sz w:val="18"/>
                            <w:szCs w:val="18"/>
                          </w:rPr>
                          <w:t>》</w:t>
                        </w:r>
                        <w:r>
                          <w:rPr>
                            <w:rFonts w:ascii="宋体" w:hAnsi="宋体" w:cs="宋体" w:eastAsia="宋体" w:hint="default"/>
                            <w:sz w:val="18"/>
                            <w:szCs w:val="18"/>
                          </w:rPr>
                          <w:t>（公告编号</w:t>
                        </w:r>
                        <w:r>
                          <w:rPr>
                            <w:rFonts w:ascii="宋体" w:hAnsi="宋体" w:cs="宋体" w:eastAsia="宋体" w:hint="default"/>
                            <w:spacing w:val="-76"/>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2012</w:t>
                        </w:r>
                      </w:p>
                      <w:p>
                        <w:pPr>
                          <w:pStyle w:val="TableParagraph"/>
                          <w:spacing w:line="316" w:lineRule="auto" w:before="76"/>
                          <w:ind w:left="25" w:right="11"/>
                          <w:jc w:val="both"/>
                          <w:rPr>
                            <w:rFonts w:ascii="宋体" w:hAnsi="宋体" w:cs="宋体" w:eastAsia="宋体" w:hint="default"/>
                            <w:sz w:val="18"/>
                            <w:szCs w:val="18"/>
                          </w:rPr>
                        </w:pPr>
                        <w:r>
                          <w:rPr>
                            <w:rFonts w:ascii="宋体" w:hAnsi="宋体" w:cs="宋体" w:eastAsia="宋体" w:hint="default"/>
                            <w:sz w:val="18"/>
                            <w:szCs w:val="18"/>
                          </w:rPr>
                          <w:t>1030-010</w:t>
                        </w:r>
                        <w:r>
                          <w:rPr>
                            <w:rFonts w:ascii="宋体" w:hAnsi="宋体" w:cs="宋体" w:eastAsia="宋体" w:hint="default"/>
                            <w:sz w:val="18"/>
                            <w:szCs w:val="18"/>
                          </w:rPr>
                          <w:t>），公司使用超募资金</w:t>
                        </w:r>
                        <w:r>
                          <w:rPr>
                            <w:rFonts w:ascii="宋体" w:hAnsi="宋体" w:cs="宋体" w:eastAsia="宋体" w:hint="default"/>
                            <w:spacing w:val="-41"/>
                            <w:sz w:val="18"/>
                            <w:szCs w:val="18"/>
                          </w:rPr>
                          <w:t> </w:t>
                        </w:r>
                        <w:r>
                          <w:rPr>
                            <w:rFonts w:ascii="宋体" w:hAnsi="宋体" w:cs="宋体" w:eastAsia="宋体" w:hint="default"/>
                            <w:sz w:val="18"/>
                            <w:szCs w:val="18"/>
                          </w:rPr>
                          <w:t>3,000</w:t>
                        </w:r>
                        <w:r>
                          <w:rPr>
                            <w:rFonts w:ascii="宋体" w:hAnsi="宋体" w:cs="宋体" w:eastAsia="宋体" w:hint="default"/>
                            <w:spacing w:val="-41"/>
                            <w:sz w:val="18"/>
                            <w:szCs w:val="18"/>
                          </w:rPr>
                          <w:t> </w:t>
                        </w:r>
                        <w:r>
                          <w:rPr>
                            <w:rFonts w:ascii="宋体" w:hAnsi="宋体" w:cs="宋体" w:eastAsia="宋体" w:hint="default"/>
                            <w:sz w:val="18"/>
                            <w:szCs w:val="18"/>
                          </w:rPr>
                          <w:t>万元用于永久补充流动资金，公司承诺在永久补充流动资金后十二个月 内不进行证券投资、委托理财、衍生品投资、创业投资等高风险投资。上述款项公司已划转完成。</w:t>
                        </w:r>
                      </w:p>
                      <w:p>
                        <w:pPr>
                          <w:pStyle w:val="TableParagraph"/>
                          <w:spacing w:line="240" w:lineRule="auto" w:before="19"/>
                          <w:ind w:left="308" w:right="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z w:val="18"/>
                            <w:szCs w:val="18"/>
                          </w:rPr>
                          <w:t>2013</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11</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宋体" w:hAnsi="宋体" w:cs="宋体" w:eastAsia="宋体" w:hint="default"/>
                            <w:sz w:val="18"/>
                            <w:szCs w:val="18"/>
                          </w:rPr>
                          <w:t>15</w:t>
                        </w:r>
                        <w:r>
                          <w:rPr>
                            <w:rFonts w:ascii="宋体" w:hAnsi="宋体" w:cs="宋体" w:eastAsia="宋体" w:hint="default"/>
                            <w:spacing w:val="-37"/>
                            <w:sz w:val="18"/>
                            <w:szCs w:val="18"/>
                          </w:rPr>
                          <w:t> </w:t>
                        </w:r>
                        <w:r>
                          <w:rPr>
                            <w:rFonts w:ascii="宋体" w:hAnsi="宋体" w:cs="宋体" w:eastAsia="宋体" w:hint="default"/>
                            <w:sz w:val="18"/>
                            <w:szCs w:val="18"/>
                          </w:rPr>
                          <w:t>日，公司披露了《关于使用部分超募资金和自有资金向南京宇能仪表有限公司增资并受</w:t>
                        </w:r>
                      </w:p>
                      <w:p>
                        <w:pPr>
                          <w:pStyle w:val="TableParagraph"/>
                          <w:spacing w:line="240" w:lineRule="auto" w:before="76"/>
                          <w:ind w:left="25" w:right="0"/>
                          <w:jc w:val="both"/>
                          <w:rPr>
                            <w:rFonts w:ascii="宋体" w:hAnsi="宋体" w:cs="宋体" w:eastAsia="宋体" w:hint="default"/>
                            <w:sz w:val="18"/>
                            <w:szCs w:val="18"/>
                          </w:rPr>
                        </w:pPr>
                        <w:r>
                          <w:rPr>
                            <w:rFonts w:ascii="宋体" w:hAnsi="宋体" w:cs="宋体" w:eastAsia="宋体" w:hint="default"/>
                            <w:sz w:val="18"/>
                            <w:szCs w:val="18"/>
                          </w:rPr>
                          <w:t>让部分股权的公告》（公告编号：（</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1115 -051</w:t>
                        </w:r>
                        <w:r>
                          <w:rPr>
                            <w:rFonts w:ascii="宋体" w:hAnsi="宋体" w:cs="宋体" w:eastAsia="宋体" w:hint="default"/>
                            <w:sz w:val="18"/>
                            <w:szCs w:val="18"/>
                          </w:rPr>
                          <w:t>），同意公司使用首次公开发行股票的超募资金</w:t>
                        </w:r>
                        <w:r>
                          <w:rPr>
                            <w:rFonts w:ascii="宋体" w:hAnsi="宋体" w:cs="宋体" w:eastAsia="宋体" w:hint="default"/>
                            <w:spacing w:val="82"/>
                            <w:sz w:val="18"/>
                            <w:szCs w:val="18"/>
                          </w:rPr>
                          <w:t> </w:t>
                        </w:r>
                        <w:r>
                          <w:rPr>
                            <w:rFonts w:ascii="宋体" w:hAnsi="宋体" w:cs="宋体" w:eastAsia="宋体" w:hint="default"/>
                            <w:sz w:val="18"/>
                            <w:szCs w:val="18"/>
                          </w:rPr>
                          <w:t>2,250</w:t>
                        </w:r>
                      </w:p>
                      <w:p>
                        <w:pPr>
                          <w:pStyle w:val="TableParagraph"/>
                          <w:spacing w:line="319" w:lineRule="auto" w:before="76"/>
                          <w:ind w:left="25" w:right="11"/>
                          <w:jc w:val="both"/>
                          <w:rPr>
                            <w:rFonts w:ascii="宋体" w:hAnsi="宋体" w:cs="宋体" w:eastAsia="宋体" w:hint="default"/>
                            <w:sz w:val="18"/>
                            <w:szCs w:val="18"/>
                          </w:rPr>
                        </w:pPr>
                        <w:r>
                          <w:rPr>
                            <w:rFonts w:ascii="宋体" w:hAnsi="宋体" w:cs="宋体" w:eastAsia="宋体" w:hint="default"/>
                            <w:sz w:val="18"/>
                            <w:szCs w:val="18"/>
                          </w:rPr>
                          <w:t>万元和自有资金</w:t>
                        </w:r>
                        <w:r>
                          <w:rPr>
                            <w:rFonts w:ascii="宋体" w:hAnsi="宋体" w:cs="宋体" w:eastAsia="宋体" w:hint="default"/>
                            <w:spacing w:val="-35"/>
                            <w:sz w:val="18"/>
                            <w:szCs w:val="18"/>
                          </w:rPr>
                          <w:t> </w:t>
                        </w:r>
                        <w:r>
                          <w:rPr>
                            <w:rFonts w:ascii="宋体" w:hAnsi="宋体" w:cs="宋体" w:eastAsia="宋体" w:hint="default"/>
                            <w:sz w:val="18"/>
                            <w:szCs w:val="18"/>
                          </w:rPr>
                          <w:t>1,967</w:t>
                        </w:r>
                        <w:r>
                          <w:rPr>
                            <w:rFonts w:ascii="宋体" w:hAnsi="宋体" w:cs="宋体" w:eastAsia="宋体" w:hint="default"/>
                            <w:spacing w:val="-35"/>
                            <w:sz w:val="18"/>
                            <w:szCs w:val="18"/>
                          </w:rPr>
                          <w:t> </w:t>
                        </w:r>
                        <w:r>
                          <w:rPr>
                            <w:rFonts w:ascii="宋体" w:hAnsi="宋体" w:cs="宋体" w:eastAsia="宋体" w:hint="default"/>
                            <w:sz w:val="18"/>
                            <w:szCs w:val="18"/>
                          </w:rPr>
                          <w:t>万元合计</w:t>
                        </w:r>
                        <w:r>
                          <w:rPr>
                            <w:rFonts w:ascii="宋体" w:hAnsi="宋体" w:cs="宋体" w:eastAsia="宋体" w:hint="default"/>
                            <w:spacing w:val="-35"/>
                            <w:sz w:val="18"/>
                            <w:szCs w:val="18"/>
                          </w:rPr>
                          <w:t> </w:t>
                        </w:r>
                        <w:r>
                          <w:rPr>
                            <w:rFonts w:ascii="宋体" w:hAnsi="宋体" w:cs="宋体" w:eastAsia="宋体" w:hint="default"/>
                            <w:sz w:val="18"/>
                            <w:szCs w:val="18"/>
                          </w:rPr>
                          <w:t>4,217</w:t>
                        </w:r>
                        <w:r>
                          <w:rPr>
                            <w:rFonts w:ascii="宋体" w:hAnsi="宋体" w:cs="宋体" w:eastAsia="宋体" w:hint="default"/>
                            <w:spacing w:val="-35"/>
                            <w:sz w:val="18"/>
                            <w:szCs w:val="18"/>
                          </w:rPr>
                          <w:t> </w:t>
                        </w:r>
                        <w:r>
                          <w:rPr>
                            <w:rFonts w:ascii="宋体" w:hAnsi="宋体" w:cs="宋体" w:eastAsia="宋体" w:hint="default"/>
                            <w:sz w:val="18"/>
                            <w:szCs w:val="18"/>
                          </w:rPr>
                          <w:t>万元以增资及受让股权的方式获得南京宇能仪表有限公司</w:t>
                        </w:r>
                        <w:r>
                          <w:rPr>
                            <w:rFonts w:ascii="宋体" w:hAnsi="宋体" w:cs="宋体" w:eastAsia="宋体" w:hint="default"/>
                            <w:spacing w:val="-35"/>
                            <w:sz w:val="18"/>
                            <w:szCs w:val="18"/>
                          </w:rPr>
                          <w:t> </w:t>
                        </w:r>
                        <w:r>
                          <w:rPr>
                            <w:rFonts w:ascii="宋体" w:hAnsi="宋体" w:cs="宋体" w:eastAsia="宋体" w:hint="default"/>
                            <w:sz w:val="18"/>
                            <w:szCs w:val="18"/>
                          </w:rPr>
                          <w:t>55%</w:t>
                        </w:r>
                        <w:r>
                          <w:rPr>
                            <w:rFonts w:ascii="宋体" w:hAnsi="宋体" w:cs="宋体" w:eastAsia="宋体" w:hint="default"/>
                            <w:sz w:val="18"/>
                            <w:szCs w:val="18"/>
                          </w:rPr>
                          <w:t>的股权， 其中超募资金部分已划转完成。为降低公司对外投资风险、保护公司及股东的合法权益免受损失，维护上市公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司和非关联股东特别是中小股东的利益，经公司第二届董事会第十一次会议及 </w:t>
                        </w:r>
                        <w:r>
                          <w:rPr>
                            <w:rFonts w:ascii="宋体" w:hAnsi="宋体" w:cs="宋体" w:eastAsia="宋体" w:hint="default"/>
                            <w:sz w:val="18"/>
                            <w:szCs w:val="18"/>
                          </w:rPr>
                          <w:t>2014</w:t>
                        </w:r>
                        <w:r>
                          <w:rPr>
                            <w:rFonts w:ascii="宋体" w:hAnsi="宋体" w:cs="宋体" w:eastAsia="宋体" w:hint="default"/>
                            <w:spacing w:val="7"/>
                            <w:sz w:val="18"/>
                            <w:szCs w:val="18"/>
                          </w:rPr>
                          <w:t> </w:t>
                        </w:r>
                        <w:r>
                          <w:rPr>
                            <w:rFonts w:ascii="宋体" w:hAnsi="宋体" w:cs="宋体" w:eastAsia="宋体" w:hint="default"/>
                            <w:sz w:val="18"/>
                            <w:szCs w:val="18"/>
                          </w:rPr>
                          <w:t>年第二次临时股东大会审 议批准，将持有的控股子公司南京宇能仪表有限公司</w:t>
                        </w:r>
                        <w:r>
                          <w:rPr>
                            <w:rFonts w:ascii="宋体" w:hAnsi="宋体" w:cs="宋体" w:eastAsia="宋体" w:hint="default"/>
                            <w:spacing w:val="5"/>
                            <w:sz w:val="18"/>
                            <w:szCs w:val="18"/>
                          </w:rPr>
                          <w:t> </w:t>
                        </w:r>
                        <w:r>
                          <w:rPr>
                            <w:rFonts w:ascii="宋体" w:hAnsi="宋体" w:cs="宋体" w:eastAsia="宋体" w:hint="default"/>
                            <w:sz w:val="18"/>
                            <w:szCs w:val="18"/>
                          </w:rPr>
                          <w:t>55%</w:t>
                        </w:r>
                        <w:r>
                          <w:rPr>
                            <w:rFonts w:ascii="宋体" w:hAnsi="宋体" w:cs="宋体" w:eastAsia="宋体" w:hint="default"/>
                            <w:sz w:val="18"/>
                            <w:szCs w:val="18"/>
                          </w:rPr>
                          <w:t>的股权、全部债权及相应权利转让给公司控股股东光 一投资。其中使用的超募资金 </w:t>
                        </w:r>
                        <w:r>
                          <w:rPr>
                            <w:rFonts w:ascii="宋体" w:hAnsi="宋体" w:cs="宋体" w:eastAsia="宋体" w:hint="default"/>
                            <w:sz w:val="18"/>
                            <w:szCs w:val="18"/>
                          </w:rPr>
                          <w:t>2,250</w:t>
                        </w:r>
                        <w:r>
                          <w:rPr>
                            <w:rFonts w:ascii="宋体" w:hAnsi="宋体" w:cs="宋体" w:eastAsia="宋体" w:hint="default"/>
                            <w:spacing w:val="-46"/>
                            <w:sz w:val="18"/>
                            <w:szCs w:val="18"/>
                          </w:rPr>
                          <w:t> </w:t>
                        </w:r>
                        <w:r>
                          <w:rPr>
                            <w:rFonts w:ascii="宋体" w:hAnsi="宋体" w:cs="宋体" w:eastAsia="宋体" w:hint="default"/>
                            <w:sz w:val="18"/>
                            <w:szCs w:val="18"/>
                          </w:rPr>
                          <w:t>万元公司已收回并存放于超募资金专用账户。</w:t>
                        </w:r>
                      </w:p>
                      <w:p>
                        <w:pPr>
                          <w:pStyle w:val="TableParagraph"/>
                          <w:spacing w:line="240" w:lineRule="auto" w:before="17"/>
                          <w:ind w:left="308" w:right="-35"/>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日，公司披露了《关于使用部分超募资金永久补充流动资金的公告》（公告编号（</w:t>
                        </w:r>
                        <w:r>
                          <w:rPr>
                            <w:rFonts w:ascii="宋体" w:hAnsi="宋体" w:cs="宋体" w:eastAsia="宋体" w:hint="default"/>
                            <w:sz w:val="18"/>
                            <w:szCs w:val="18"/>
                          </w:rPr>
                          <w:t>2013</w:t>
                        </w:r>
                        <w:r>
                          <w:rPr>
                            <w:rFonts w:ascii="宋体" w:hAnsi="宋体" w:cs="宋体" w:eastAsia="宋体" w:hint="default"/>
                            <w:sz w:val="18"/>
                            <w:szCs w:val="18"/>
                          </w:rPr>
                          <w:t>）</w:t>
                        </w:r>
                      </w:p>
                      <w:p>
                        <w:pPr>
                          <w:pStyle w:val="TableParagraph"/>
                          <w:spacing w:line="316" w:lineRule="auto" w:before="76"/>
                          <w:ind w:left="25" w:right="10"/>
                          <w:jc w:val="both"/>
                          <w:rPr>
                            <w:rFonts w:ascii="宋体" w:hAnsi="宋体" w:cs="宋体" w:eastAsia="宋体" w:hint="default"/>
                            <w:sz w:val="18"/>
                            <w:szCs w:val="18"/>
                          </w:rPr>
                        </w:pPr>
                        <w:r>
                          <w:rPr>
                            <w:rFonts w:ascii="宋体" w:hAnsi="宋体" w:cs="宋体" w:eastAsia="宋体" w:hint="default"/>
                            <w:sz w:val="18"/>
                            <w:szCs w:val="18"/>
                          </w:rPr>
                          <w:t>1203-054</w:t>
                        </w:r>
                        <w:r>
                          <w:rPr>
                            <w:rFonts w:ascii="宋体" w:hAnsi="宋体" w:cs="宋体" w:eastAsia="宋体" w:hint="default"/>
                            <w:sz w:val="18"/>
                            <w:szCs w:val="18"/>
                          </w:rPr>
                          <w:t>），同意公司使用超募资金</w:t>
                        </w:r>
                        <w:r>
                          <w:rPr>
                            <w:rFonts w:ascii="宋体" w:hAnsi="宋体" w:cs="宋体" w:eastAsia="宋体" w:hint="default"/>
                            <w:spacing w:val="-40"/>
                            <w:sz w:val="18"/>
                            <w:szCs w:val="18"/>
                          </w:rPr>
                          <w:t> </w:t>
                        </w:r>
                        <w:r>
                          <w:rPr>
                            <w:rFonts w:ascii="宋体" w:hAnsi="宋体" w:cs="宋体" w:eastAsia="宋体" w:hint="default"/>
                            <w:sz w:val="18"/>
                            <w:szCs w:val="18"/>
                          </w:rPr>
                          <w:t>3,000</w:t>
                        </w:r>
                        <w:r>
                          <w:rPr>
                            <w:rFonts w:ascii="宋体" w:hAnsi="宋体" w:cs="宋体" w:eastAsia="宋体" w:hint="default"/>
                            <w:spacing w:val="-40"/>
                            <w:sz w:val="18"/>
                            <w:szCs w:val="18"/>
                          </w:rPr>
                          <w:t> </w:t>
                        </w:r>
                        <w:r>
                          <w:rPr>
                            <w:rFonts w:ascii="宋体" w:hAnsi="宋体" w:cs="宋体" w:eastAsia="宋体" w:hint="default"/>
                            <w:sz w:val="18"/>
                            <w:szCs w:val="18"/>
                          </w:rPr>
                          <w:t>万元用于永久补充流动资金，公司承诺在永久补充流动资金后十二 个月内不进行证券投资、委托理财、衍生品投资、创业投资等高风险投资。上述款项公司已划转完成。</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44"/>
        <w:ind w:left="0" w:right="75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before="44"/>
        <w:ind w:left="0" w:right="754"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75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r>
        <w:rPr/>
        <w:pict>
          <v:shape style="position:absolute;margin-left:40.080002pt;margin-top:71.999985pt;width:515.85pt;height:692.3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1"/>
                    <w:gridCol w:w="8711"/>
                  </w:tblGrid>
                  <w:tr>
                    <w:trPr>
                      <w:trHeight w:val="3143" w:hRule="exact"/>
                    </w:trPr>
                    <w:tc>
                      <w:tcPr>
                        <w:tcW w:w="1561"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871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8</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20</w:t>
                        </w:r>
                        <w:r>
                          <w:rPr>
                            <w:rFonts w:ascii="宋体" w:hAnsi="宋体" w:cs="宋体" w:eastAsia="宋体" w:hint="default"/>
                            <w:spacing w:val="-56"/>
                            <w:sz w:val="18"/>
                            <w:szCs w:val="18"/>
                          </w:rPr>
                          <w:t> </w:t>
                        </w:r>
                        <w:r>
                          <w:rPr>
                            <w:rFonts w:ascii="宋体" w:hAnsi="宋体" w:cs="宋体" w:eastAsia="宋体" w:hint="default"/>
                            <w:sz w:val="18"/>
                            <w:szCs w:val="18"/>
                          </w:rPr>
                          <w:t>日，公司披露了《关于使用超募资金支付收购湖北索瑞电气有限公司股权部分现金对价的</w:t>
                        </w:r>
                      </w:p>
                      <w:p>
                        <w:pPr>
                          <w:pStyle w:val="TableParagraph"/>
                          <w:spacing w:line="240" w:lineRule="auto" w:before="76"/>
                          <w:ind w:left="25" w:right="0"/>
                          <w:jc w:val="left"/>
                          <w:rPr>
                            <w:rFonts w:ascii="宋体" w:hAnsi="宋体" w:cs="宋体" w:eastAsia="宋体" w:hint="default"/>
                            <w:sz w:val="18"/>
                            <w:szCs w:val="18"/>
                          </w:rPr>
                        </w:pPr>
                        <w:r>
                          <w:rPr>
                            <w:rFonts w:ascii="宋体" w:hAnsi="宋体" w:cs="宋体" w:eastAsia="宋体" w:hint="default"/>
                            <w:spacing w:val="-2"/>
                            <w:sz w:val="18"/>
                            <w:szCs w:val="18"/>
                          </w:rPr>
                          <w:t>公告》（公告编号：（</w:t>
                        </w:r>
                        <w:r>
                          <w:rPr>
                            <w:rFonts w:ascii="宋体" w:hAnsi="宋体" w:cs="宋体" w:eastAsia="宋体" w:hint="default"/>
                            <w:spacing w:val="-2"/>
                            <w:sz w:val="18"/>
                            <w:szCs w:val="18"/>
                          </w:rPr>
                          <w:t>2014</w:t>
                        </w:r>
                        <w:r>
                          <w:rPr>
                            <w:rFonts w:ascii="宋体" w:hAnsi="宋体" w:cs="宋体" w:eastAsia="宋体" w:hint="default"/>
                            <w:spacing w:val="-2"/>
                            <w:sz w:val="18"/>
                            <w:szCs w:val="18"/>
                          </w:rPr>
                          <w:t>）</w:t>
                        </w:r>
                        <w:r>
                          <w:rPr>
                            <w:rFonts w:ascii="宋体" w:hAnsi="宋体" w:cs="宋体" w:eastAsia="宋体" w:hint="default"/>
                            <w:spacing w:val="-2"/>
                            <w:sz w:val="18"/>
                            <w:szCs w:val="18"/>
                          </w:rPr>
                          <w:t>0820-061</w:t>
                        </w:r>
                        <w:r>
                          <w:rPr>
                            <w:rFonts w:ascii="宋体" w:hAnsi="宋体" w:cs="宋体" w:eastAsia="宋体" w:hint="default"/>
                            <w:spacing w:val="-2"/>
                            <w:sz w:val="18"/>
                            <w:szCs w:val="18"/>
                          </w:rPr>
                          <w:t>），公司以发行股份及支付现金的方式购买任昌兆等</w:t>
                        </w:r>
                        <w:r>
                          <w:rPr>
                            <w:rFonts w:ascii="宋体" w:hAnsi="宋体" w:cs="宋体" w:eastAsia="宋体" w:hint="default"/>
                            <w:spacing w:val="-41"/>
                            <w:sz w:val="18"/>
                            <w:szCs w:val="18"/>
                          </w:rPr>
                          <w:t> </w:t>
                        </w:r>
                        <w:r>
                          <w:rPr>
                            <w:rFonts w:ascii="宋体" w:hAnsi="宋体" w:cs="宋体" w:eastAsia="宋体" w:hint="default"/>
                            <w:sz w:val="18"/>
                            <w:szCs w:val="18"/>
                          </w:rPr>
                          <w:t>33</w:t>
                        </w:r>
                        <w:r>
                          <w:rPr>
                            <w:rFonts w:ascii="宋体" w:hAnsi="宋体" w:cs="宋体" w:eastAsia="宋体" w:hint="default"/>
                            <w:spacing w:val="-41"/>
                            <w:sz w:val="18"/>
                            <w:szCs w:val="18"/>
                          </w:rPr>
                          <w:t> </w:t>
                        </w:r>
                        <w:r>
                          <w:rPr>
                            <w:rFonts w:ascii="宋体" w:hAnsi="宋体" w:cs="宋体" w:eastAsia="宋体" w:hint="default"/>
                            <w:sz w:val="18"/>
                            <w:szCs w:val="18"/>
                          </w:rPr>
                          <w:t>名交易对方持有</w:t>
                        </w:r>
                      </w:p>
                      <w:p>
                        <w:pPr>
                          <w:pStyle w:val="TableParagraph"/>
                          <w:spacing w:line="240" w:lineRule="auto" w:before="76"/>
                          <w:ind w:left="25" w:right="0"/>
                          <w:jc w:val="left"/>
                          <w:rPr>
                            <w:rFonts w:ascii="宋体" w:hAnsi="宋体" w:cs="宋体" w:eastAsia="宋体" w:hint="default"/>
                            <w:sz w:val="18"/>
                            <w:szCs w:val="18"/>
                          </w:rPr>
                        </w:pPr>
                        <w:r>
                          <w:rPr>
                            <w:rFonts w:ascii="宋体" w:hAnsi="宋体" w:cs="宋体" w:eastAsia="宋体" w:hint="default"/>
                            <w:sz w:val="18"/>
                            <w:szCs w:val="18"/>
                          </w:rPr>
                          <w:t>的湖北索瑞电气有限公司</w:t>
                        </w:r>
                        <w:r>
                          <w:rPr>
                            <w:rFonts w:ascii="宋体" w:hAnsi="宋体" w:cs="宋体" w:eastAsia="宋体" w:hint="default"/>
                            <w:spacing w:val="-46"/>
                            <w:sz w:val="18"/>
                            <w:szCs w:val="18"/>
                          </w:rPr>
                          <w:t> </w:t>
                        </w:r>
                        <w:r>
                          <w:rPr>
                            <w:rFonts w:ascii="宋体" w:hAnsi="宋体" w:cs="宋体" w:eastAsia="宋体" w:hint="default"/>
                            <w:sz w:val="18"/>
                            <w:szCs w:val="18"/>
                          </w:rPr>
                          <w:t>84.82%</w:t>
                        </w:r>
                        <w:r>
                          <w:rPr>
                            <w:rFonts w:ascii="宋体" w:hAnsi="宋体" w:cs="宋体" w:eastAsia="宋体" w:hint="default"/>
                            <w:sz w:val="18"/>
                            <w:szCs w:val="18"/>
                          </w:rPr>
                          <w:t>股权</w:t>
                        </w:r>
                        <w:r>
                          <w:rPr>
                            <w:rFonts w:ascii="宋体" w:hAnsi="宋体" w:cs="宋体" w:eastAsia="宋体" w:hint="default"/>
                            <w:spacing w:val="-81"/>
                            <w:sz w:val="18"/>
                            <w:szCs w:val="18"/>
                          </w:rPr>
                          <w:t>，</w:t>
                        </w:r>
                        <w:r>
                          <w:rPr>
                            <w:rFonts w:ascii="宋体" w:hAnsi="宋体" w:cs="宋体" w:eastAsia="宋体" w:hint="default"/>
                            <w:sz w:val="18"/>
                            <w:szCs w:val="18"/>
                          </w:rPr>
                          <w:t>其中使用超募资金</w:t>
                        </w:r>
                        <w:r>
                          <w:rPr>
                            <w:rFonts w:ascii="宋体" w:hAnsi="宋体" w:cs="宋体" w:eastAsia="宋体" w:hint="default"/>
                            <w:spacing w:val="-46"/>
                            <w:sz w:val="18"/>
                            <w:szCs w:val="18"/>
                          </w:rPr>
                          <w:t> </w:t>
                        </w:r>
                        <w:r>
                          <w:rPr>
                            <w:rFonts w:ascii="宋体" w:hAnsi="宋体" w:cs="宋体" w:eastAsia="宋体" w:hint="default"/>
                            <w:sz w:val="18"/>
                            <w:szCs w:val="18"/>
                          </w:rPr>
                          <w:t>6,779.12</w:t>
                        </w:r>
                        <w:r>
                          <w:rPr>
                            <w:rFonts w:ascii="宋体" w:hAnsi="宋体" w:cs="宋体" w:eastAsia="宋体" w:hint="default"/>
                            <w:spacing w:val="-46"/>
                            <w:sz w:val="18"/>
                            <w:szCs w:val="18"/>
                          </w:rPr>
                          <w:t> </w:t>
                        </w:r>
                        <w:r>
                          <w:rPr>
                            <w:rFonts w:ascii="宋体" w:hAnsi="宋体" w:cs="宋体" w:eastAsia="宋体" w:hint="default"/>
                            <w:sz w:val="18"/>
                            <w:szCs w:val="18"/>
                          </w:rPr>
                          <w:t>万元及超募资金账户利息</w:t>
                        </w:r>
                        <w:r>
                          <w:rPr>
                            <w:rFonts w:ascii="宋体" w:hAnsi="宋体" w:cs="宋体" w:eastAsia="宋体" w:hint="default"/>
                            <w:spacing w:val="-46"/>
                            <w:sz w:val="18"/>
                            <w:szCs w:val="18"/>
                          </w:rPr>
                          <w:t> </w:t>
                        </w:r>
                        <w:r>
                          <w:rPr>
                            <w:rFonts w:ascii="宋体" w:hAnsi="宋体" w:cs="宋体" w:eastAsia="宋体" w:hint="default"/>
                            <w:sz w:val="18"/>
                            <w:szCs w:val="18"/>
                          </w:rPr>
                          <w:t>517.13 </w:t>
                        </w:r>
                        <w:r>
                          <w:rPr>
                            <w:rFonts w:ascii="宋体" w:hAnsi="宋体" w:cs="宋体" w:eastAsia="宋体" w:hint="default"/>
                            <w:sz w:val="18"/>
                            <w:szCs w:val="18"/>
                          </w:rPr>
                          <w:t>万</w:t>
                        </w:r>
                        <w:r>
                          <w:rPr>
                            <w:rFonts w:ascii="宋体" w:hAnsi="宋体" w:cs="宋体" w:eastAsia="宋体" w:hint="default"/>
                            <w:spacing w:val="1"/>
                            <w:sz w:val="18"/>
                            <w:szCs w:val="18"/>
                          </w:rPr>
                          <w:t>元合</w:t>
                        </w:r>
                        <w:r>
                          <w:rPr>
                            <w:rFonts w:ascii="宋体" w:hAnsi="宋体" w:cs="宋体" w:eastAsia="宋体" w:hint="default"/>
                            <w:sz w:val="18"/>
                            <w:szCs w:val="18"/>
                          </w:rPr>
                          <w:t>计</w:t>
                        </w:r>
                      </w:p>
                      <w:p>
                        <w:pPr>
                          <w:pStyle w:val="TableParagraph"/>
                          <w:spacing w:line="319" w:lineRule="auto" w:before="76"/>
                          <w:ind w:left="25" w:right="10"/>
                          <w:jc w:val="left"/>
                          <w:rPr>
                            <w:rFonts w:ascii="宋体" w:hAnsi="宋体" w:cs="宋体" w:eastAsia="宋体" w:hint="default"/>
                            <w:sz w:val="18"/>
                            <w:szCs w:val="18"/>
                          </w:rPr>
                        </w:pPr>
                        <w:r>
                          <w:rPr>
                            <w:rFonts w:ascii="宋体" w:hAnsi="宋体" w:cs="宋体" w:eastAsia="宋体" w:hint="default"/>
                            <w:sz w:val="18"/>
                            <w:szCs w:val="18"/>
                          </w:rPr>
                          <w:t>7,296.25 </w:t>
                        </w:r>
                        <w:r>
                          <w:rPr>
                            <w:rFonts w:ascii="宋体" w:hAnsi="宋体" w:cs="宋体" w:eastAsia="宋体" w:hint="default"/>
                            <w:sz w:val="18"/>
                            <w:szCs w:val="18"/>
                          </w:rPr>
                          <w:t>万元用于支付现金对价部分，本次重大资产重组已经中国证券监督管理委员会证监许可</w:t>
                        </w:r>
                        <w:r>
                          <w:rPr>
                            <w:rFonts w:ascii="宋体" w:hAnsi="宋体" w:cs="宋体" w:eastAsia="宋体" w:hint="default"/>
                            <w:sz w:val="18"/>
                            <w:szCs w:val="18"/>
                          </w:rPr>
                          <w:t>[2014]1399</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号核准。上述款项公司已划转完成。</w:t>
                        </w:r>
                      </w:p>
                      <w:p>
                        <w:pPr>
                          <w:pStyle w:val="TableParagraph"/>
                          <w:spacing w:line="240" w:lineRule="auto" w:before="17"/>
                          <w:ind w:left="205" w:right="0"/>
                          <w:jc w:val="center"/>
                          <w:rPr>
                            <w:rFonts w:ascii="宋体" w:hAnsi="宋体" w:cs="宋体" w:eastAsia="宋体" w:hint="default"/>
                            <w:sz w:val="18"/>
                            <w:szCs w:val="18"/>
                          </w:rPr>
                        </w:pPr>
                        <w:r>
                          <w:rPr>
                            <w:rFonts w:ascii="宋体" w:hAnsi="宋体" w:cs="宋体" w:eastAsia="宋体" w:hint="default"/>
                            <w:sz w:val="18"/>
                            <w:szCs w:val="18"/>
                          </w:rPr>
                          <w:t>⑤</w:t>
                        </w: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6</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3</w:t>
                        </w:r>
                        <w:r>
                          <w:rPr>
                            <w:rFonts w:ascii="宋体" w:hAnsi="宋体" w:cs="宋体" w:eastAsia="宋体" w:hint="default"/>
                            <w:spacing w:val="-56"/>
                            <w:sz w:val="18"/>
                            <w:szCs w:val="18"/>
                          </w:rPr>
                          <w:t> </w:t>
                        </w:r>
                        <w:r>
                          <w:rPr>
                            <w:rFonts w:ascii="宋体" w:hAnsi="宋体" w:cs="宋体" w:eastAsia="宋体" w:hint="default"/>
                            <w:sz w:val="18"/>
                            <w:szCs w:val="18"/>
                          </w:rPr>
                          <w:t>日，公司披露了《关于使用超募资金永久补充流动资金的公告》（公告编号：</w:t>
                        </w:r>
                        <w:r>
                          <w:rPr>
                            <w:rFonts w:ascii="宋体" w:hAnsi="宋体" w:cs="宋体" w:eastAsia="宋体" w:hint="default"/>
                            <w:sz w:val="18"/>
                            <w:szCs w:val="18"/>
                          </w:rPr>
                          <w:t>2015-031</w:t>
                        </w:r>
                        <w:r>
                          <w:rPr>
                            <w:rFonts w:ascii="宋体" w:hAnsi="宋体" w:cs="宋体" w:eastAsia="宋体" w:hint="default"/>
                            <w:sz w:val="18"/>
                            <w:szCs w:val="18"/>
                          </w:rPr>
                          <w:t>）</w:t>
                        </w:r>
                      </w:p>
                      <w:p>
                        <w:pPr>
                          <w:pStyle w:val="TableParagraph"/>
                          <w:spacing w:line="316" w:lineRule="auto" w:before="76"/>
                          <w:ind w:left="25" w:right="12"/>
                          <w:jc w:val="left"/>
                          <w:rPr>
                            <w:rFonts w:ascii="宋体" w:hAnsi="宋体" w:cs="宋体" w:eastAsia="宋体" w:hint="default"/>
                            <w:sz w:val="18"/>
                            <w:szCs w:val="18"/>
                          </w:rPr>
                        </w:pPr>
                        <w:r>
                          <w:rPr>
                            <w:rFonts w:ascii="宋体" w:hAnsi="宋体" w:cs="宋体" w:eastAsia="宋体" w:hint="default"/>
                            <w:sz w:val="18"/>
                            <w:szCs w:val="18"/>
                          </w:rPr>
                          <w:t>公司使用超募资金</w:t>
                        </w:r>
                        <w:r>
                          <w:rPr>
                            <w:rFonts w:ascii="宋体" w:hAnsi="宋体" w:cs="宋体" w:eastAsia="宋体" w:hint="default"/>
                            <w:spacing w:val="-41"/>
                            <w:sz w:val="18"/>
                            <w:szCs w:val="18"/>
                          </w:rPr>
                          <w:t> </w:t>
                        </w:r>
                        <w:r>
                          <w:rPr>
                            <w:rFonts w:ascii="宋体" w:hAnsi="宋体" w:cs="宋体" w:eastAsia="宋体" w:hint="default"/>
                            <w:sz w:val="18"/>
                            <w:szCs w:val="18"/>
                          </w:rPr>
                          <w:t>2,250</w:t>
                        </w:r>
                        <w:r>
                          <w:rPr>
                            <w:rFonts w:ascii="宋体" w:hAnsi="宋体" w:cs="宋体" w:eastAsia="宋体" w:hint="default"/>
                            <w:spacing w:val="-41"/>
                            <w:sz w:val="18"/>
                            <w:szCs w:val="18"/>
                          </w:rPr>
                          <w:t> </w:t>
                        </w:r>
                        <w:r>
                          <w:rPr>
                            <w:rFonts w:ascii="宋体" w:hAnsi="宋体" w:cs="宋体" w:eastAsia="宋体" w:hint="default"/>
                            <w:sz w:val="18"/>
                            <w:szCs w:val="18"/>
                          </w:rPr>
                          <w:t>万元用于永久补充流动资金，公司承诺在本次永久补充流动资金后十二个月内不进行 高风险投资（包括财务性投资）以及为他人提供财务资助。上述款项公司已划转完成。</w:t>
                        </w:r>
                      </w:p>
                      <w:p>
                        <w:pPr>
                          <w:pStyle w:val="TableParagraph"/>
                          <w:spacing w:line="240" w:lineRule="auto" w:before="19"/>
                          <w:ind w:left="308"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日，公司超募资金累计使用</w:t>
                        </w:r>
                        <w:r>
                          <w:rPr>
                            <w:rFonts w:ascii="宋体" w:hAnsi="宋体" w:cs="宋体" w:eastAsia="宋体" w:hint="default"/>
                            <w:spacing w:val="-46"/>
                            <w:sz w:val="18"/>
                            <w:szCs w:val="18"/>
                          </w:rPr>
                          <w:t> </w:t>
                        </w:r>
                        <w:r>
                          <w:rPr>
                            <w:rFonts w:ascii="宋体" w:hAnsi="宋体" w:cs="宋体" w:eastAsia="宋体" w:hint="default"/>
                            <w:sz w:val="18"/>
                            <w:szCs w:val="18"/>
                          </w:rPr>
                          <w:t>15,546.25</w:t>
                        </w:r>
                        <w:r>
                          <w:rPr>
                            <w:rFonts w:ascii="宋体" w:hAnsi="宋体" w:cs="宋体" w:eastAsia="宋体" w:hint="default"/>
                            <w:spacing w:val="-46"/>
                            <w:sz w:val="18"/>
                            <w:szCs w:val="18"/>
                          </w:rPr>
                          <w:t> </w:t>
                        </w:r>
                        <w:r>
                          <w:rPr>
                            <w:rFonts w:ascii="宋体" w:hAnsi="宋体" w:cs="宋体" w:eastAsia="宋体" w:hint="default"/>
                            <w:sz w:val="18"/>
                            <w:szCs w:val="18"/>
                          </w:rPr>
                          <w:t>万元，其中超募资金</w:t>
                        </w:r>
                        <w:r>
                          <w:rPr>
                            <w:rFonts w:ascii="宋体" w:hAnsi="宋体" w:cs="宋体" w:eastAsia="宋体" w:hint="default"/>
                            <w:spacing w:val="-46"/>
                            <w:sz w:val="18"/>
                            <w:szCs w:val="18"/>
                          </w:rPr>
                          <w:t> </w:t>
                        </w:r>
                        <w:r>
                          <w:rPr>
                            <w:rFonts w:ascii="宋体" w:hAnsi="宋体" w:cs="宋体" w:eastAsia="宋体" w:hint="default"/>
                            <w:sz w:val="18"/>
                            <w:szCs w:val="18"/>
                          </w:rPr>
                          <w:t>15,029.12</w:t>
                        </w:r>
                        <w:r>
                          <w:rPr>
                            <w:rFonts w:ascii="宋体" w:hAnsi="宋体" w:cs="宋体" w:eastAsia="宋体" w:hint="default"/>
                            <w:spacing w:val="-46"/>
                            <w:sz w:val="18"/>
                            <w:szCs w:val="18"/>
                          </w:rPr>
                          <w:t> </w:t>
                        </w:r>
                        <w:r>
                          <w:rPr>
                            <w:rFonts w:ascii="宋体" w:hAnsi="宋体" w:cs="宋体" w:eastAsia="宋体" w:hint="default"/>
                            <w:sz w:val="18"/>
                            <w:szCs w:val="18"/>
                          </w:rPr>
                          <w:t>万元已全部使</w:t>
                        </w:r>
                      </w:p>
                      <w:p>
                        <w:pPr>
                          <w:pStyle w:val="TableParagraph"/>
                          <w:spacing w:line="240" w:lineRule="auto" w:before="76"/>
                          <w:ind w:left="25" w:right="0"/>
                          <w:jc w:val="left"/>
                          <w:rPr>
                            <w:rFonts w:ascii="宋体" w:hAnsi="宋体" w:cs="宋体" w:eastAsia="宋体" w:hint="default"/>
                            <w:sz w:val="18"/>
                            <w:szCs w:val="18"/>
                          </w:rPr>
                        </w:pPr>
                        <w:r>
                          <w:rPr>
                            <w:rFonts w:ascii="宋体" w:hAnsi="宋体" w:cs="宋体" w:eastAsia="宋体" w:hint="default"/>
                            <w:sz w:val="18"/>
                            <w:szCs w:val="18"/>
                          </w:rPr>
                          <w:t>用完毕，使用超募资金利息</w:t>
                        </w:r>
                        <w:r>
                          <w:rPr>
                            <w:rFonts w:ascii="宋体" w:hAnsi="宋体" w:cs="宋体" w:eastAsia="宋体" w:hint="default"/>
                            <w:spacing w:val="-46"/>
                            <w:sz w:val="18"/>
                            <w:szCs w:val="18"/>
                          </w:rPr>
                          <w:t> </w:t>
                        </w:r>
                        <w:r>
                          <w:rPr>
                            <w:rFonts w:ascii="宋体" w:hAnsi="宋体" w:cs="宋体" w:eastAsia="宋体" w:hint="default"/>
                            <w:sz w:val="18"/>
                            <w:szCs w:val="18"/>
                          </w:rPr>
                          <w:t>517.13 </w:t>
                        </w:r>
                        <w:r>
                          <w:rPr>
                            <w:rFonts w:ascii="宋体" w:hAnsi="宋体" w:cs="宋体" w:eastAsia="宋体" w:hint="default"/>
                            <w:sz w:val="18"/>
                            <w:szCs w:val="18"/>
                          </w:rPr>
                          <w:t>万元；超募资金专用账户尚余利息</w:t>
                        </w:r>
                        <w:r>
                          <w:rPr>
                            <w:rFonts w:ascii="宋体" w:hAnsi="宋体" w:cs="宋体" w:eastAsia="宋体" w:hint="default"/>
                            <w:spacing w:val="-46"/>
                            <w:sz w:val="18"/>
                            <w:szCs w:val="18"/>
                          </w:rPr>
                          <w:t> </w:t>
                        </w:r>
                        <w:r>
                          <w:rPr>
                            <w:rFonts w:ascii="宋体" w:hAnsi="宋体" w:cs="宋体" w:eastAsia="宋体" w:hint="default"/>
                            <w:sz w:val="18"/>
                            <w:szCs w:val="18"/>
                          </w:rPr>
                          <w:t>5,440.84</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407" w:hRule="exact"/>
                    </w:trPr>
                    <w:tc>
                      <w:tcPr>
                        <w:tcW w:w="1561"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6" w:lineRule="auto"/>
                          <w:ind w:left="13" w:right="83"/>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87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7" w:hRule="exact"/>
                    </w:trPr>
                    <w:tc>
                      <w:tcPr>
                        <w:tcW w:w="1561" w:type="dxa"/>
                        <w:vMerge/>
                        <w:tcBorders>
                          <w:left w:val="single" w:sz="12" w:space="0" w:color="000000"/>
                          <w:right w:val="single" w:sz="6" w:space="0" w:color="000000"/>
                        </w:tcBorders>
                        <w:shd w:val="clear" w:color="auto" w:fill="D2D2D2"/>
                      </w:tcPr>
                      <w:p>
                        <w:pPr/>
                      </w:p>
                    </w:tc>
                    <w:tc>
                      <w:tcPr>
                        <w:tcW w:w="87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343" w:hRule="exact"/>
                    </w:trPr>
                    <w:tc>
                      <w:tcPr>
                        <w:tcW w:w="1561" w:type="dxa"/>
                        <w:vMerge/>
                        <w:tcBorders>
                          <w:left w:val="single" w:sz="12" w:space="0" w:color="000000"/>
                          <w:bottom w:val="single" w:sz="6" w:space="0" w:color="000000"/>
                          <w:right w:val="single" w:sz="6" w:space="0" w:color="000000"/>
                        </w:tcBorders>
                        <w:shd w:val="clear" w:color="auto" w:fill="D2D2D2"/>
                      </w:tcPr>
                      <w:p>
                        <w:pPr/>
                      </w:p>
                    </w:tc>
                    <w:tc>
                      <w:tcPr>
                        <w:tcW w:w="87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15</w:t>
                        </w:r>
                        <w:r>
                          <w:rPr>
                            <w:rFonts w:ascii="宋体" w:hAnsi="宋体" w:cs="宋体" w:eastAsia="宋体" w:hint="default"/>
                            <w:spacing w:val="-41"/>
                            <w:sz w:val="18"/>
                            <w:szCs w:val="18"/>
                          </w:rPr>
                          <w:t> </w:t>
                        </w:r>
                        <w:r>
                          <w:rPr>
                            <w:rFonts w:ascii="宋体" w:hAnsi="宋体" w:cs="宋体" w:eastAsia="宋体" w:hint="default"/>
                            <w:spacing w:val="-7"/>
                            <w:sz w:val="18"/>
                            <w:szCs w:val="18"/>
                          </w:rPr>
                          <w:t>日，公司披露了《关于变更部分募集资金投资项目实施地点的公告》</w:t>
                        </w:r>
                        <w:r>
                          <w:rPr>
                            <w:rFonts w:ascii="宋体" w:hAnsi="宋体" w:cs="宋体" w:eastAsia="宋体" w:hint="default"/>
                            <w:spacing w:val="-7"/>
                            <w:sz w:val="18"/>
                            <w:szCs w:val="18"/>
                          </w:rPr>
                          <w:t>(</w:t>
                        </w:r>
                        <w:r>
                          <w:rPr>
                            <w:rFonts w:ascii="宋体" w:hAnsi="宋体" w:cs="宋体" w:eastAsia="宋体" w:hint="default"/>
                            <w:spacing w:val="-7"/>
                            <w:sz w:val="18"/>
                            <w:szCs w:val="18"/>
                          </w:rPr>
                          <w:t>公告编号（</w:t>
                        </w:r>
                        <w:r>
                          <w:rPr>
                            <w:rFonts w:ascii="宋体" w:hAnsi="宋体" w:cs="宋体" w:eastAsia="宋体" w:hint="default"/>
                            <w:spacing w:val="-7"/>
                            <w:sz w:val="18"/>
                            <w:szCs w:val="18"/>
                          </w:rPr>
                          <w:t>2013</w:t>
                        </w:r>
                        <w:r>
                          <w:rPr>
                            <w:rFonts w:ascii="宋体" w:hAnsi="宋体" w:cs="宋体" w:eastAsia="宋体" w:hint="default"/>
                            <w:spacing w:val="-7"/>
                            <w:sz w:val="18"/>
                            <w:szCs w:val="18"/>
                          </w:rPr>
                          <w:t>）</w:t>
                        </w:r>
                        <w:r>
                          <w:rPr>
                            <w:rFonts w:ascii="宋体" w:hAnsi="宋体" w:cs="宋体" w:eastAsia="宋体" w:hint="default"/>
                            <w:spacing w:val="-7"/>
                            <w:sz w:val="18"/>
                            <w:szCs w:val="18"/>
                          </w:rPr>
                          <w:t>0111-</w:t>
                        </w:r>
                      </w:p>
                      <w:p>
                        <w:pPr>
                          <w:pStyle w:val="TableParagraph"/>
                          <w:spacing w:line="319" w:lineRule="auto" w:before="75"/>
                          <w:ind w:left="20" w:right="11"/>
                          <w:jc w:val="both"/>
                          <w:rPr>
                            <w:rFonts w:ascii="宋体" w:hAnsi="宋体" w:cs="宋体" w:eastAsia="宋体" w:hint="default"/>
                            <w:sz w:val="18"/>
                            <w:szCs w:val="18"/>
                          </w:rPr>
                        </w:pPr>
                        <w:r>
                          <w:rPr>
                            <w:rFonts w:ascii="宋体" w:hAnsi="宋体" w:cs="宋体" w:eastAsia="宋体" w:hint="default"/>
                            <w:spacing w:val="-2"/>
                            <w:sz w:val="18"/>
                            <w:szCs w:val="18"/>
                          </w:rPr>
                          <w:t>003</w:t>
                        </w:r>
                        <w:r>
                          <w:rPr>
                            <w:rFonts w:ascii="宋体" w:hAnsi="宋体" w:cs="宋体" w:eastAsia="宋体" w:hint="default"/>
                            <w:spacing w:val="-2"/>
                            <w:sz w:val="18"/>
                            <w:szCs w:val="18"/>
                          </w:rPr>
                          <w:t>），公司募投项目“电力用户用电信息采集系统产能扩大建设项目”的实施地点由南京市江宁开发区将军大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道以西，福特研发中心以南地块变更为相邻地块，该两宗土地公司均已取得国有土地使用证。实施地点变更后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该项目使用募集资金总投资及建设内容不变。</w:t>
                        </w:r>
                      </w:p>
                    </w:tc>
                  </w:tr>
                  <w:tr>
                    <w:trPr>
                      <w:trHeight w:val="720" w:hRule="exact"/>
                    </w:trPr>
                    <w:tc>
                      <w:tcPr>
                        <w:tcW w:w="15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13" w:right="83"/>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87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7" w:hRule="exact"/>
                    </w:trPr>
                    <w:tc>
                      <w:tcPr>
                        <w:tcW w:w="1561"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9" w:lineRule="auto"/>
                          <w:ind w:left="13" w:right="83"/>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87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43" w:hRule="exact"/>
                    </w:trPr>
                    <w:tc>
                      <w:tcPr>
                        <w:tcW w:w="1561" w:type="dxa"/>
                        <w:vMerge/>
                        <w:tcBorders>
                          <w:left w:val="single" w:sz="12" w:space="0" w:color="000000"/>
                          <w:bottom w:val="single" w:sz="6" w:space="0" w:color="000000"/>
                          <w:right w:val="single" w:sz="6" w:space="0" w:color="000000"/>
                        </w:tcBorders>
                        <w:shd w:val="clear" w:color="auto" w:fill="D2D2D2"/>
                      </w:tcPr>
                      <w:p>
                        <w:pPr/>
                      </w:p>
                    </w:tc>
                    <w:tc>
                      <w:tcPr>
                        <w:tcW w:w="87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 </w:t>
                        </w:r>
                        <w:r>
                          <w:rPr>
                            <w:rFonts w:ascii="宋体" w:hAnsi="宋体" w:cs="宋体" w:eastAsia="宋体" w:hint="default"/>
                            <w:spacing w:val="1"/>
                            <w:sz w:val="18"/>
                            <w:szCs w:val="18"/>
                          </w:rPr>
                          <w:t>3</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64"/>
                            <w:sz w:val="18"/>
                            <w:szCs w:val="18"/>
                          </w:rPr>
                          <w:t>，</w:t>
                        </w:r>
                        <w:r>
                          <w:rPr>
                            <w:rFonts w:ascii="宋体" w:hAnsi="宋体" w:cs="宋体" w:eastAsia="宋体" w:hint="default"/>
                            <w:sz w:val="18"/>
                            <w:szCs w:val="18"/>
                          </w:rPr>
                          <w:t>公司披露</w:t>
                        </w:r>
                        <w:r>
                          <w:rPr>
                            <w:rFonts w:ascii="宋体" w:hAnsi="宋体" w:cs="宋体" w:eastAsia="宋体" w:hint="default"/>
                            <w:spacing w:val="-64"/>
                            <w:sz w:val="18"/>
                            <w:szCs w:val="18"/>
                          </w:rPr>
                          <w:t>了</w:t>
                        </w:r>
                        <w:r>
                          <w:rPr>
                            <w:rFonts w:ascii="宋体" w:hAnsi="宋体" w:cs="宋体" w:eastAsia="宋体" w:hint="default"/>
                            <w:sz w:val="18"/>
                            <w:szCs w:val="18"/>
                          </w:rPr>
                          <w:t>《关于以募集资金置换预先投入募集资金投资项目的自筹资金的公告</w:t>
                        </w:r>
                        <w:r>
                          <w:rPr>
                            <w:rFonts w:ascii="宋体" w:hAnsi="宋体" w:cs="宋体" w:eastAsia="宋体" w:hint="default"/>
                            <w:spacing w:val="-128"/>
                            <w:sz w:val="18"/>
                            <w:szCs w:val="18"/>
                          </w:rPr>
                          <w:t>》</w:t>
                        </w:r>
                        <w:r>
                          <w:rPr>
                            <w:rFonts w:ascii="宋体" w:hAnsi="宋体" w:cs="宋体" w:eastAsia="宋体" w:hint="default"/>
                            <w:sz w:val="18"/>
                            <w:szCs w:val="18"/>
                          </w:rPr>
                          <w:t>（公</w:t>
                        </w:r>
                      </w:p>
                      <w:p>
                        <w:pPr>
                          <w:pStyle w:val="TableParagraph"/>
                          <w:spacing w:line="319" w:lineRule="auto" w:before="77"/>
                          <w:ind w:left="20" w:right="-17"/>
                          <w:jc w:val="left"/>
                          <w:rPr>
                            <w:rFonts w:ascii="宋体" w:hAnsi="宋体" w:cs="宋体" w:eastAsia="宋体" w:hint="default"/>
                            <w:sz w:val="18"/>
                            <w:szCs w:val="18"/>
                          </w:rPr>
                        </w:pPr>
                        <w:r>
                          <w:rPr>
                            <w:rFonts w:ascii="宋体" w:hAnsi="宋体" w:cs="宋体" w:eastAsia="宋体" w:hint="default"/>
                            <w:sz w:val="18"/>
                            <w:szCs w:val="18"/>
                          </w:rPr>
                          <w:t>告编号：（</w:t>
                        </w:r>
                        <w:r>
                          <w:rPr>
                            <w:rFonts w:ascii="宋体" w:hAnsi="宋体" w:cs="宋体" w:eastAsia="宋体" w:hint="default"/>
                            <w:sz w:val="18"/>
                            <w:szCs w:val="18"/>
                          </w:rPr>
                          <w:t>2012</w:t>
                        </w:r>
                        <w:r>
                          <w:rPr>
                            <w:rFonts w:ascii="宋体" w:hAnsi="宋体" w:cs="宋体" w:eastAsia="宋体" w:hint="default"/>
                            <w:sz w:val="18"/>
                            <w:szCs w:val="18"/>
                          </w:rPr>
                          <w:t>）</w:t>
                        </w:r>
                        <w:r>
                          <w:rPr>
                            <w:rFonts w:ascii="宋体" w:hAnsi="宋体" w:cs="宋体" w:eastAsia="宋体" w:hint="default"/>
                            <w:sz w:val="18"/>
                            <w:szCs w:val="18"/>
                          </w:rPr>
                          <w:t>1030-009</w:t>
                        </w:r>
                        <w:r>
                          <w:rPr>
                            <w:rFonts w:ascii="宋体" w:hAnsi="宋体" w:cs="宋体" w:eastAsia="宋体" w:hint="default"/>
                            <w:sz w:val="18"/>
                            <w:szCs w:val="18"/>
                          </w:rPr>
                          <w:t>），公司使用募集资金 </w:t>
                        </w:r>
                        <w:r>
                          <w:rPr>
                            <w:rFonts w:ascii="宋体" w:hAnsi="宋体" w:cs="宋体" w:eastAsia="宋体" w:hint="default"/>
                            <w:sz w:val="18"/>
                            <w:szCs w:val="18"/>
                          </w:rPr>
                          <w:t>1,189.82</w:t>
                        </w:r>
                        <w:r>
                          <w:rPr>
                            <w:rFonts w:ascii="宋体" w:hAnsi="宋体" w:cs="宋体" w:eastAsia="宋体" w:hint="default"/>
                            <w:spacing w:val="-46"/>
                            <w:sz w:val="18"/>
                            <w:szCs w:val="18"/>
                          </w:rPr>
                          <w:t> </w:t>
                        </w:r>
                        <w:r>
                          <w:rPr>
                            <w:rFonts w:ascii="宋体" w:hAnsi="宋体" w:cs="宋体" w:eastAsia="宋体" w:hint="default"/>
                            <w:sz w:val="18"/>
                            <w:szCs w:val="18"/>
                          </w:rPr>
                          <w:t>万元置换预先已投入募集资金投资项目的自筹资 金，上海众华沪银会计师事务所有限公司出具了沪众会字（</w:t>
                        </w:r>
                        <w:r>
                          <w:rPr>
                            <w:rFonts w:ascii="宋体" w:hAnsi="宋体" w:cs="宋体" w:eastAsia="宋体" w:hint="default"/>
                            <w:sz w:val="18"/>
                            <w:szCs w:val="18"/>
                          </w:rPr>
                          <w:t>2012</w:t>
                        </w:r>
                        <w:r>
                          <w:rPr>
                            <w:rFonts w:ascii="宋体" w:hAnsi="宋体" w:cs="宋体" w:eastAsia="宋体" w:hint="default"/>
                            <w:sz w:val="18"/>
                            <w:szCs w:val="18"/>
                          </w:rPr>
                          <w:t>）</w:t>
                        </w:r>
                        <w:r>
                          <w:rPr>
                            <w:rFonts w:ascii="宋体" w:hAnsi="宋体" w:cs="宋体" w:eastAsia="宋体" w:hint="default"/>
                            <w:sz w:val="18"/>
                            <w:szCs w:val="18"/>
                          </w:rPr>
                          <w:t>3221</w:t>
                        </w:r>
                        <w:r>
                          <w:rPr>
                            <w:rFonts w:ascii="宋体" w:hAnsi="宋体" w:cs="宋体" w:eastAsia="宋体" w:hint="default"/>
                            <w:spacing w:val="-46"/>
                            <w:sz w:val="18"/>
                            <w:szCs w:val="18"/>
                          </w:rPr>
                          <w:t> </w:t>
                        </w:r>
                        <w:r>
                          <w:rPr>
                            <w:rFonts w:ascii="宋体" w:hAnsi="宋体" w:cs="宋体" w:eastAsia="宋体" w:hint="default"/>
                            <w:sz w:val="18"/>
                            <w:szCs w:val="18"/>
                          </w:rPr>
                          <w:t>号鉴证报告，对该项情况进行了审验。 该项置换工作已划转完成。</w:t>
                        </w:r>
                      </w:p>
                    </w:tc>
                  </w:tr>
                  <w:tr>
                    <w:trPr>
                      <w:trHeight w:val="407" w:hRule="exact"/>
                    </w:trPr>
                    <w:tc>
                      <w:tcPr>
                        <w:tcW w:w="1561"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3" w:right="83"/>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87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640" w:hRule="exact"/>
                    </w:trPr>
                    <w:tc>
                      <w:tcPr>
                        <w:tcW w:w="1561" w:type="dxa"/>
                        <w:vMerge/>
                        <w:tcBorders>
                          <w:left w:val="single" w:sz="12" w:space="0" w:color="000000"/>
                          <w:bottom w:val="single" w:sz="12" w:space="0" w:color="000000"/>
                          <w:right w:val="single" w:sz="6" w:space="0" w:color="000000"/>
                        </w:tcBorders>
                        <w:shd w:val="clear" w:color="auto" w:fill="D2D2D2"/>
                      </w:tcPr>
                      <w:p>
                        <w:pPr/>
                      </w:p>
                    </w:tc>
                    <w:tc>
                      <w:tcPr>
                        <w:tcW w:w="87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left="380"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日，公司披露了《关于使用部分闲置募集资金暂时补充流动资金的公告》（公告编号</w:t>
                        </w:r>
                      </w:p>
                      <w:p>
                        <w:pPr>
                          <w:pStyle w:val="TableParagraph"/>
                          <w:spacing w:line="316" w:lineRule="auto" w:before="76"/>
                          <w:ind w:left="20" w:right="-1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201 2</w:t>
                        </w:r>
                        <w:r>
                          <w:rPr>
                            <w:rFonts w:ascii="宋体" w:hAnsi="宋体" w:cs="宋体" w:eastAsia="宋体" w:hint="default"/>
                            <w:sz w:val="18"/>
                            <w:szCs w:val="18"/>
                          </w:rPr>
                          <w:t>）</w:t>
                        </w:r>
                        <w:r>
                          <w:rPr>
                            <w:rFonts w:ascii="宋体" w:hAnsi="宋体" w:cs="宋体" w:eastAsia="宋体" w:hint="default"/>
                            <w:sz w:val="18"/>
                            <w:szCs w:val="18"/>
                          </w:rPr>
                          <w:t>1030-011</w:t>
                        </w:r>
                        <w:r>
                          <w:rPr>
                            <w:rFonts w:ascii="宋体" w:hAnsi="宋体" w:cs="宋体" w:eastAsia="宋体" w:hint="default"/>
                            <w:sz w:val="18"/>
                            <w:szCs w:val="18"/>
                          </w:rPr>
                          <w:t>），公司从“电力用户用电信息采集系统产能扩大建设项目”尚未使用的闲置募集资金中 使用</w:t>
                        </w:r>
                        <w:r>
                          <w:rPr>
                            <w:rFonts w:ascii="宋体" w:hAnsi="宋体" w:cs="宋体" w:eastAsia="宋体" w:hint="default"/>
                            <w:spacing w:val="-46"/>
                            <w:sz w:val="18"/>
                            <w:szCs w:val="18"/>
                          </w:rPr>
                          <w:t> </w:t>
                        </w:r>
                        <w:r>
                          <w:rPr>
                            <w:rFonts w:ascii="宋体" w:hAnsi="宋体" w:cs="宋体" w:eastAsia="宋体" w:hint="default"/>
                            <w:sz w:val="18"/>
                            <w:szCs w:val="18"/>
                          </w:rPr>
                          <w:t>3,000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个月，到期将归还至募集资金专户。</w:t>
                        </w:r>
                      </w:p>
                      <w:p>
                        <w:pPr>
                          <w:pStyle w:val="TableParagraph"/>
                          <w:spacing w:line="316" w:lineRule="auto" w:before="19"/>
                          <w:ind w:left="20" w:right="11"/>
                          <w:jc w:val="left"/>
                          <w:rPr>
                            <w:rFonts w:ascii="宋体" w:hAnsi="宋体" w:cs="宋体" w:eastAsia="宋体" w:hint="default"/>
                            <w:sz w:val="18"/>
                            <w:szCs w:val="18"/>
                          </w:rPr>
                        </w:pPr>
                        <w:r>
                          <w:rPr>
                            <w:rFonts w:ascii="宋体" w:hAnsi="宋体" w:cs="宋体" w:eastAsia="宋体" w:hint="default"/>
                            <w:sz w:val="18"/>
                            <w:szCs w:val="18"/>
                          </w:rPr>
                          <w:t>上述募集资金已于</w:t>
                        </w:r>
                        <w:r>
                          <w:rPr>
                            <w:rFonts w:ascii="宋体" w:hAnsi="宋体" w:cs="宋体" w:eastAsia="宋体" w:hint="default"/>
                            <w:spacing w:val="-43"/>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18</w:t>
                        </w:r>
                        <w:r>
                          <w:rPr>
                            <w:rFonts w:ascii="宋体" w:hAnsi="宋体" w:cs="宋体" w:eastAsia="宋体" w:hint="default"/>
                            <w:spacing w:val="-43"/>
                            <w:sz w:val="18"/>
                            <w:szCs w:val="18"/>
                          </w:rPr>
                          <w:t> </w:t>
                        </w:r>
                        <w:r>
                          <w:rPr>
                            <w:rFonts w:ascii="宋体" w:hAnsi="宋体" w:cs="宋体" w:eastAsia="宋体" w:hint="default"/>
                            <w:sz w:val="18"/>
                            <w:szCs w:val="18"/>
                          </w:rPr>
                          <w:t>日全部归还并存入公司募集资金专用账户，并披露了《关于归还募集资金的 公告》（公告编号：（</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0418-018</w:t>
                        </w:r>
                        <w:r>
                          <w:rPr>
                            <w:rFonts w:ascii="宋体" w:hAnsi="宋体" w:cs="宋体" w:eastAsia="宋体" w:hint="default"/>
                            <w:sz w:val="18"/>
                            <w:szCs w:val="18"/>
                          </w:rPr>
                          <w:t>）。</w:t>
                        </w:r>
                      </w:p>
                      <w:p>
                        <w:pPr>
                          <w:pStyle w:val="TableParagraph"/>
                          <w:spacing w:line="316" w:lineRule="auto" w:before="19"/>
                          <w:ind w:left="20" w:right="10" w:firstLine="360"/>
                          <w:jc w:val="both"/>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z w:val="18"/>
                            <w:szCs w:val="18"/>
                          </w:rPr>
                          <w:t>2013</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4</w:t>
                        </w:r>
                        <w:r>
                          <w:rPr>
                            <w:rFonts w:ascii="宋体" w:hAnsi="宋体" w:cs="宋体" w:eastAsia="宋体" w:hint="default"/>
                            <w:spacing w:val="-33"/>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z w:val="18"/>
                            <w:szCs w:val="18"/>
                          </w:rPr>
                          <w:t>22</w:t>
                        </w:r>
                        <w:r>
                          <w:rPr>
                            <w:rFonts w:ascii="宋体" w:hAnsi="宋体" w:cs="宋体" w:eastAsia="宋体" w:hint="default"/>
                            <w:spacing w:val="-34"/>
                            <w:sz w:val="18"/>
                            <w:szCs w:val="18"/>
                          </w:rPr>
                          <w:t> </w:t>
                        </w:r>
                        <w:r>
                          <w:rPr>
                            <w:rFonts w:ascii="宋体" w:hAnsi="宋体" w:cs="宋体" w:eastAsia="宋体" w:hint="default"/>
                            <w:sz w:val="18"/>
                            <w:szCs w:val="18"/>
                          </w:rPr>
                          <w:t>日，公司披露了《关于继续使用部分闲置募集资金暂时补充流动资金的公告》（公告编 号：（</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0422-021</w:t>
                        </w:r>
                        <w:r>
                          <w:rPr>
                            <w:rFonts w:ascii="宋体" w:hAnsi="宋体" w:cs="宋体" w:eastAsia="宋体" w:hint="default"/>
                            <w:sz w:val="18"/>
                            <w:szCs w:val="18"/>
                          </w:rPr>
                          <w:t>），公司从“电力用户用电信息采集系统产能扩大建设项目”尚未使用的闲置募集资金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中，使用</w:t>
                        </w:r>
                        <w:r>
                          <w:rPr>
                            <w:rFonts w:ascii="宋体" w:hAnsi="宋体" w:cs="宋体" w:eastAsia="宋体" w:hint="default"/>
                            <w:spacing w:val="-50"/>
                            <w:sz w:val="18"/>
                            <w:szCs w:val="18"/>
                          </w:rPr>
                          <w:t> </w:t>
                        </w:r>
                        <w:r>
                          <w:rPr>
                            <w:rFonts w:ascii="宋体" w:hAnsi="宋体" w:cs="宋体" w:eastAsia="宋体" w:hint="default"/>
                            <w:sz w:val="18"/>
                            <w:szCs w:val="18"/>
                          </w:rPr>
                          <w:t>3,000</w:t>
                        </w:r>
                        <w:r>
                          <w:rPr>
                            <w:rFonts w:ascii="宋体" w:hAnsi="宋体" w:cs="宋体" w:eastAsia="宋体" w:hint="default"/>
                            <w:spacing w:val="-7"/>
                            <w:sz w:val="18"/>
                            <w:szCs w:val="18"/>
                          </w:rPr>
                          <w:t>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49"/>
                            <w:sz w:val="18"/>
                            <w:szCs w:val="18"/>
                          </w:rPr>
                          <w:t> </w:t>
                        </w:r>
                        <w:r>
                          <w:rPr>
                            <w:rFonts w:ascii="宋体" w:hAnsi="宋体" w:cs="宋体" w:eastAsia="宋体" w:hint="default"/>
                            <w:sz w:val="18"/>
                            <w:szCs w:val="18"/>
                          </w:rPr>
                          <w:t>6</w:t>
                        </w:r>
                        <w:r>
                          <w:rPr>
                            <w:rFonts w:ascii="宋体" w:hAnsi="宋体" w:cs="宋体" w:eastAsia="宋体" w:hint="default"/>
                            <w:spacing w:val="-50"/>
                            <w:sz w:val="18"/>
                            <w:szCs w:val="18"/>
                          </w:rPr>
                          <w:t> </w:t>
                        </w:r>
                        <w:r>
                          <w:rPr>
                            <w:rFonts w:ascii="宋体" w:hAnsi="宋体" w:cs="宋体" w:eastAsia="宋体" w:hint="default"/>
                            <w:sz w:val="18"/>
                            <w:szCs w:val="18"/>
                          </w:rPr>
                          <w:t>个月，到期将归还至募集资金专</w:t>
                        </w:r>
                      </w:p>
                      <w:p>
                        <w:pPr>
                          <w:pStyle w:val="TableParagraph"/>
                          <w:spacing w:line="316" w:lineRule="auto" w:before="19"/>
                          <w:ind w:left="20" w:right="11"/>
                          <w:jc w:val="left"/>
                          <w:rPr>
                            <w:rFonts w:ascii="宋体" w:hAnsi="宋体" w:cs="宋体" w:eastAsia="宋体" w:hint="default"/>
                            <w:sz w:val="18"/>
                            <w:szCs w:val="18"/>
                          </w:rPr>
                        </w:pPr>
                        <w:r>
                          <w:rPr>
                            <w:rFonts w:ascii="宋体" w:hAnsi="宋体" w:cs="宋体" w:eastAsia="宋体" w:hint="default"/>
                            <w:sz w:val="18"/>
                            <w:szCs w:val="18"/>
                          </w:rPr>
                          <w:t>户。上述募集资金已于</w:t>
                        </w:r>
                        <w:r>
                          <w:rPr>
                            <w:rFonts w:ascii="宋体" w:hAnsi="宋体" w:cs="宋体" w:eastAsia="宋体" w:hint="default"/>
                            <w:spacing w:val="-43"/>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日全部归还并存入公司募集资金专用账户，并披露了《关于归还募集资 金的公告》（公告编号：（</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1009-043</w:t>
                        </w:r>
                        <w:r>
                          <w:rPr>
                            <w:rFonts w:ascii="宋体" w:hAnsi="宋体" w:cs="宋体" w:eastAsia="宋体" w:hint="default"/>
                            <w:sz w:val="18"/>
                            <w:szCs w:val="18"/>
                          </w:rPr>
                          <w:t>）。</w:t>
                        </w:r>
                      </w:p>
                      <w:p>
                        <w:pPr>
                          <w:pStyle w:val="TableParagraph"/>
                          <w:spacing w:line="316" w:lineRule="auto" w:before="19"/>
                          <w:ind w:left="20" w:right="10" w:firstLine="360"/>
                          <w:jc w:val="both"/>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15</w:t>
                        </w:r>
                        <w:r>
                          <w:rPr>
                            <w:rFonts w:ascii="宋体" w:hAnsi="宋体" w:cs="宋体" w:eastAsia="宋体" w:hint="default"/>
                            <w:spacing w:val="-52"/>
                            <w:sz w:val="18"/>
                            <w:szCs w:val="18"/>
                          </w:rPr>
                          <w:t> </w:t>
                        </w:r>
                        <w:r>
                          <w:rPr>
                            <w:rFonts w:ascii="宋体" w:hAnsi="宋体" w:cs="宋体" w:eastAsia="宋体" w:hint="default"/>
                            <w:sz w:val="18"/>
                            <w:szCs w:val="18"/>
                          </w:rPr>
                          <w:t>日，公司披露了《关于继续使用部分闲置募集资金暂时补充流动资金的公告》（公告编 号：（</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1015-046</w:t>
                        </w:r>
                        <w:r>
                          <w:rPr>
                            <w:rFonts w:ascii="宋体" w:hAnsi="宋体" w:cs="宋体" w:eastAsia="宋体" w:hint="default"/>
                            <w:sz w:val="18"/>
                            <w:szCs w:val="18"/>
                          </w:rPr>
                          <w:t>），公司继续从“电力用户用电信息采集系统产能扩大建设项目”尚未使用的闲置募集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资金中，使用</w:t>
                        </w:r>
                        <w:r>
                          <w:rPr>
                            <w:rFonts w:ascii="宋体" w:hAnsi="宋体" w:cs="宋体" w:eastAsia="宋体" w:hint="default"/>
                            <w:spacing w:val="-52"/>
                            <w:sz w:val="18"/>
                            <w:szCs w:val="18"/>
                          </w:rPr>
                          <w:t> </w:t>
                        </w:r>
                        <w:r>
                          <w:rPr>
                            <w:rFonts w:ascii="宋体" w:hAnsi="宋体" w:cs="宋体" w:eastAsia="宋体" w:hint="default"/>
                            <w:sz w:val="18"/>
                            <w:szCs w:val="18"/>
                          </w:rPr>
                          <w:t>3,000</w:t>
                        </w:r>
                        <w:r>
                          <w:rPr>
                            <w:rFonts w:ascii="宋体" w:hAnsi="宋体" w:cs="宋体" w:eastAsia="宋体" w:hint="default"/>
                            <w:spacing w:val="-12"/>
                            <w:sz w:val="18"/>
                            <w:szCs w:val="18"/>
                          </w:rPr>
                          <w:t>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51"/>
                            <w:sz w:val="18"/>
                            <w:szCs w:val="18"/>
                          </w:rPr>
                          <w:t> </w:t>
                        </w:r>
                        <w:r>
                          <w:rPr>
                            <w:rFonts w:ascii="宋体" w:hAnsi="宋体" w:cs="宋体" w:eastAsia="宋体" w:hint="default"/>
                            <w:sz w:val="18"/>
                            <w:szCs w:val="18"/>
                          </w:rPr>
                          <w:t>6</w:t>
                        </w:r>
                        <w:r>
                          <w:rPr>
                            <w:rFonts w:ascii="宋体" w:hAnsi="宋体" w:cs="宋体" w:eastAsia="宋体" w:hint="default"/>
                            <w:spacing w:val="-52"/>
                            <w:sz w:val="18"/>
                            <w:szCs w:val="18"/>
                          </w:rPr>
                          <w:t> </w:t>
                        </w:r>
                        <w:r>
                          <w:rPr>
                            <w:rFonts w:ascii="宋体" w:hAnsi="宋体" w:cs="宋体" w:eastAsia="宋体" w:hint="default"/>
                            <w:sz w:val="18"/>
                            <w:szCs w:val="18"/>
                          </w:rPr>
                          <w:t>个月，到期将归还至募集资</w:t>
                        </w:r>
                      </w:p>
                      <w:p>
                        <w:pPr>
                          <w:pStyle w:val="TableParagraph"/>
                          <w:spacing w:line="319" w:lineRule="auto" w:before="19"/>
                          <w:ind w:left="20" w:right="11"/>
                          <w:jc w:val="left"/>
                          <w:rPr>
                            <w:rFonts w:ascii="宋体" w:hAnsi="宋体" w:cs="宋体" w:eastAsia="宋体" w:hint="default"/>
                            <w:sz w:val="18"/>
                            <w:szCs w:val="18"/>
                          </w:rPr>
                        </w:pPr>
                        <w:r>
                          <w:rPr>
                            <w:rFonts w:ascii="宋体" w:hAnsi="宋体" w:cs="宋体" w:eastAsia="宋体" w:hint="default"/>
                            <w:spacing w:val="-3"/>
                            <w:sz w:val="18"/>
                            <w:szCs w:val="18"/>
                          </w:rPr>
                          <w:t>金专户。上述募集资金已于</w:t>
                        </w:r>
                        <w:r>
                          <w:rPr>
                            <w:rFonts w:ascii="宋体" w:hAnsi="宋体" w:cs="宋体" w:eastAsia="宋体" w:hint="default"/>
                            <w:spacing w:val="-52"/>
                            <w:sz w:val="18"/>
                            <w:szCs w:val="18"/>
                          </w:rPr>
                          <w:t> </w:t>
                        </w: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4</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4</w:t>
                        </w:r>
                        <w:r>
                          <w:rPr>
                            <w:rFonts w:ascii="宋体" w:hAnsi="宋体" w:cs="宋体" w:eastAsia="宋体" w:hint="default"/>
                            <w:spacing w:val="-52"/>
                            <w:sz w:val="18"/>
                            <w:szCs w:val="18"/>
                          </w:rPr>
                          <w:t> </w:t>
                        </w:r>
                        <w:r>
                          <w:rPr>
                            <w:rFonts w:ascii="宋体" w:hAnsi="宋体" w:cs="宋体" w:eastAsia="宋体" w:hint="default"/>
                            <w:sz w:val="18"/>
                            <w:szCs w:val="18"/>
                          </w:rPr>
                          <w:t>日全部归还并存入公司募集资金专用账户，并披露了《关于归还募集 资金的公告》（公告编号：（</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0404-013</w:t>
                        </w:r>
                        <w:r>
                          <w:rPr>
                            <w:rFonts w:ascii="宋体" w:hAnsi="宋体" w:cs="宋体" w:eastAsia="宋体" w:hint="default"/>
                            <w:sz w:val="18"/>
                            <w:szCs w:val="18"/>
                          </w:rPr>
                          <w:t>）。</w:t>
                        </w:r>
                      </w:p>
                      <w:p>
                        <w:pPr>
                          <w:pStyle w:val="TableParagraph"/>
                          <w:spacing w:line="316" w:lineRule="auto" w:before="17"/>
                          <w:ind w:left="20" w:right="10" w:firstLine="360"/>
                          <w:jc w:val="both"/>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z w:val="18"/>
                            <w:szCs w:val="18"/>
                          </w:rPr>
                          <w:t>2014</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4</w:t>
                        </w:r>
                        <w:r>
                          <w:rPr>
                            <w:rFonts w:ascii="宋体" w:hAnsi="宋体" w:cs="宋体" w:eastAsia="宋体" w:hint="default"/>
                            <w:spacing w:val="-33"/>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日，公司披露了《关于继续使用部分闲置募集资金暂时补充流动资金的公告》（公告编 号：（</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0410-019</w:t>
                        </w:r>
                        <w:r>
                          <w:rPr>
                            <w:rFonts w:ascii="宋体" w:hAnsi="宋体" w:cs="宋体" w:eastAsia="宋体" w:hint="default"/>
                            <w:sz w:val="18"/>
                            <w:szCs w:val="18"/>
                          </w:rPr>
                          <w:t>），公司继续从“电力用户用电信息采集系统产能扩大建设项目”尚未使用的闲置募集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资金中，使用</w:t>
                        </w:r>
                        <w:r>
                          <w:rPr>
                            <w:rFonts w:ascii="宋体" w:hAnsi="宋体" w:cs="宋体" w:eastAsia="宋体" w:hint="default"/>
                            <w:spacing w:val="-52"/>
                            <w:sz w:val="18"/>
                            <w:szCs w:val="18"/>
                          </w:rPr>
                          <w:t> </w:t>
                        </w:r>
                        <w:r>
                          <w:rPr>
                            <w:rFonts w:ascii="宋体" w:hAnsi="宋体" w:cs="宋体" w:eastAsia="宋体" w:hint="default"/>
                            <w:sz w:val="18"/>
                            <w:szCs w:val="18"/>
                          </w:rPr>
                          <w:t>3,000</w:t>
                        </w:r>
                        <w:r>
                          <w:rPr>
                            <w:rFonts w:ascii="宋体" w:hAnsi="宋体" w:cs="宋体" w:eastAsia="宋体" w:hint="default"/>
                            <w:spacing w:val="-12"/>
                            <w:sz w:val="18"/>
                            <w:szCs w:val="18"/>
                          </w:rPr>
                          <w:t>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51"/>
                            <w:sz w:val="18"/>
                            <w:szCs w:val="18"/>
                          </w:rPr>
                          <w:t> </w:t>
                        </w:r>
                        <w:r>
                          <w:rPr>
                            <w:rFonts w:ascii="宋体" w:hAnsi="宋体" w:cs="宋体" w:eastAsia="宋体" w:hint="default"/>
                            <w:sz w:val="18"/>
                            <w:szCs w:val="18"/>
                          </w:rPr>
                          <w:t>6</w:t>
                        </w:r>
                        <w:r>
                          <w:rPr>
                            <w:rFonts w:ascii="宋体" w:hAnsi="宋体" w:cs="宋体" w:eastAsia="宋体" w:hint="default"/>
                            <w:spacing w:val="-52"/>
                            <w:sz w:val="18"/>
                            <w:szCs w:val="18"/>
                          </w:rPr>
                          <w:t> </w:t>
                        </w:r>
                        <w:r>
                          <w:rPr>
                            <w:rFonts w:ascii="宋体" w:hAnsi="宋体" w:cs="宋体" w:eastAsia="宋体" w:hint="default"/>
                            <w:sz w:val="18"/>
                            <w:szCs w:val="18"/>
                          </w:rPr>
                          <w:t>个月，到期将归还至募集资</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44"/>
        <w:ind w:left="0" w:right="762" w:firstLine="0"/>
        <w:jc w:val="righ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44"/>
        <w:ind w:left="0" w:right="769"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76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44"/>
        <w:ind w:left="0" w:right="754" w:firstLine="0"/>
        <w:jc w:val="right"/>
        <w:rPr>
          <w:rFonts w:ascii="宋体" w:hAnsi="宋体" w:cs="宋体" w:eastAsia="宋体" w:hint="default"/>
          <w:sz w:val="18"/>
          <w:szCs w:val="18"/>
        </w:rPr>
      </w:pPr>
      <w:r>
        <w:rPr/>
        <w:pict>
          <v:shape style="position:absolute;margin-left:40.080002pt;margin-top:-109.048309pt;width:515.85pt;height:344.8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1"/>
                    <w:gridCol w:w="8711"/>
                  </w:tblGrid>
                  <w:tr>
                    <w:trPr>
                      <w:trHeight w:val="3767" w:hRule="exact"/>
                    </w:trPr>
                    <w:tc>
                      <w:tcPr>
                        <w:tcW w:w="1561"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8711" w:type="dxa"/>
                        <w:tcBorders>
                          <w:top w:val="single" w:sz="12" w:space="0" w:color="000000"/>
                          <w:left w:val="single" w:sz="6" w:space="0" w:color="000000"/>
                          <w:bottom w:val="single" w:sz="6" w:space="0" w:color="000000"/>
                          <w:right w:val="single" w:sz="12" w:space="0" w:color="000000"/>
                        </w:tcBorders>
                      </w:tcPr>
                      <w:p>
                        <w:pPr>
                          <w:pStyle w:val="TableParagraph"/>
                          <w:spacing w:line="316" w:lineRule="auto" w:before="10"/>
                          <w:ind w:left="20" w:right="10"/>
                          <w:jc w:val="left"/>
                          <w:rPr>
                            <w:rFonts w:ascii="宋体" w:hAnsi="宋体" w:cs="宋体" w:eastAsia="宋体" w:hint="default"/>
                            <w:sz w:val="18"/>
                            <w:szCs w:val="18"/>
                          </w:rPr>
                        </w:pPr>
                        <w:r>
                          <w:rPr>
                            <w:rFonts w:ascii="宋体" w:hAnsi="宋体" w:cs="宋体" w:eastAsia="宋体" w:hint="default"/>
                            <w:sz w:val="18"/>
                            <w:szCs w:val="18"/>
                          </w:rPr>
                          <w:t>金专户。上述募集资金已于</w:t>
                        </w:r>
                        <w:r>
                          <w:rPr>
                            <w:rFonts w:ascii="宋体" w:hAnsi="宋体" w:cs="宋体" w:eastAsia="宋体" w:hint="default"/>
                            <w:spacing w:val="-42"/>
                            <w:sz w:val="18"/>
                            <w:szCs w:val="18"/>
                          </w:rPr>
                          <w:t> </w:t>
                        </w:r>
                        <w:r>
                          <w:rPr>
                            <w:rFonts w:ascii="宋体" w:hAnsi="宋体" w:cs="宋体" w:eastAsia="宋体" w:hint="default"/>
                            <w:sz w:val="18"/>
                            <w:szCs w:val="18"/>
                          </w:rPr>
                          <w:t>2014</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日全部归还并存入公司募集资金专用账户，并披露了《关于归还募 集资金的公告》（公告编号：（</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1008-075</w:t>
                        </w:r>
                        <w:r>
                          <w:rPr>
                            <w:rFonts w:ascii="宋体" w:hAnsi="宋体" w:cs="宋体" w:eastAsia="宋体" w:hint="default"/>
                            <w:sz w:val="18"/>
                            <w:szCs w:val="18"/>
                          </w:rPr>
                          <w:t>）。</w:t>
                        </w:r>
                      </w:p>
                      <w:p>
                        <w:pPr>
                          <w:pStyle w:val="TableParagraph"/>
                          <w:spacing w:line="319" w:lineRule="auto" w:before="19"/>
                          <w:ind w:left="20" w:right="10" w:firstLine="360"/>
                          <w:jc w:val="both"/>
                          <w:rPr>
                            <w:rFonts w:ascii="宋体" w:hAnsi="宋体" w:cs="宋体" w:eastAsia="宋体" w:hint="default"/>
                            <w:sz w:val="18"/>
                            <w:szCs w:val="18"/>
                          </w:rPr>
                        </w:pPr>
                        <w:r>
                          <w:rPr>
                            <w:rFonts w:ascii="宋体" w:hAnsi="宋体" w:cs="宋体" w:eastAsia="宋体" w:hint="default"/>
                            <w:sz w:val="18"/>
                            <w:szCs w:val="18"/>
                          </w:rPr>
                          <w:t>⑤</w:t>
                        </w: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日，公司披露了《关于继续使用部分闲置募集资金暂时补充流动资金的公告》（公告编 号：（</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1010-077</w:t>
                        </w:r>
                        <w:r>
                          <w:rPr>
                            <w:rFonts w:ascii="宋体" w:hAnsi="宋体" w:cs="宋体" w:eastAsia="宋体" w:hint="default"/>
                            <w:sz w:val="18"/>
                            <w:szCs w:val="18"/>
                          </w:rPr>
                          <w:t>），公司继续从“电力用户用电信息采集系统产能扩大建设项目”尚未使用的闲置募集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资金中，使用</w:t>
                        </w:r>
                        <w:r>
                          <w:rPr>
                            <w:rFonts w:ascii="宋体" w:hAnsi="宋体" w:cs="宋体" w:eastAsia="宋体" w:hint="default"/>
                            <w:spacing w:val="-52"/>
                            <w:sz w:val="18"/>
                            <w:szCs w:val="18"/>
                          </w:rPr>
                          <w:t> </w:t>
                        </w:r>
                        <w:r>
                          <w:rPr>
                            <w:rFonts w:ascii="宋体" w:hAnsi="宋体" w:cs="宋体" w:eastAsia="宋体" w:hint="default"/>
                            <w:sz w:val="18"/>
                            <w:szCs w:val="18"/>
                          </w:rPr>
                          <w:t>3,000</w:t>
                        </w:r>
                        <w:r>
                          <w:rPr>
                            <w:rFonts w:ascii="宋体" w:hAnsi="宋体" w:cs="宋体" w:eastAsia="宋体" w:hint="default"/>
                            <w:spacing w:val="-12"/>
                            <w:sz w:val="18"/>
                            <w:szCs w:val="18"/>
                          </w:rPr>
                          <w:t>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51"/>
                            <w:sz w:val="18"/>
                            <w:szCs w:val="18"/>
                          </w:rPr>
                          <w:t> </w:t>
                        </w:r>
                        <w:r>
                          <w:rPr>
                            <w:rFonts w:ascii="宋体" w:hAnsi="宋体" w:cs="宋体" w:eastAsia="宋体" w:hint="default"/>
                            <w:sz w:val="18"/>
                            <w:szCs w:val="18"/>
                          </w:rPr>
                          <w:t>6</w:t>
                        </w:r>
                        <w:r>
                          <w:rPr>
                            <w:rFonts w:ascii="宋体" w:hAnsi="宋体" w:cs="宋体" w:eastAsia="宋体" w:hint="default"/>
                            <w:spacing w:val="-52"/>
                            <w:sz w:val="18"/>
                            <w:szCs w:val="18"/>
                          </w:rPr>
                          <w:t> </w:t>
                        </w:r>
                        <w:r>
                          <w:rPr>
                            <w:rFonts w:ascii="宋体" w:hAnsi="宋体" w:cs="宋体" w:eastAsia="宋体" w:hint="default"/>
                            <w:sz w:val="18"/>
                            <w:szCs w:val="18"/>
                          </w:rPr>
                          <w:t>个月，到期将归还至募集资</w:t>
                        </w:r>
                      </w:p>
                      <w:p>
                        <w:pPr>
                          <w:pStyle w:val="TableParagraph"/>
                          <w:spacing w:line="316" w:lineRule="auto" w:before="17"/>
                          <w:ind w:left="20" w:right="11"/>
                          <w:jc w:val="left"/>
                          <w:rPr>
                            <w:rFonts w:ascii="宋体" w:hAnsi="宋体" w:cs="宋体" w:eastAsia="宋体" w:hint="default"/>
                            <w:sz w:val="18"/>
                            <w:szCs w:val="18"/>
                          </w:rPr>
                        </w:pPr>
                        <w:r>
                          <w:rPr>
                            <w:rFonts w:ascii="宋体" w:hAnsi="宋体" w:cs="宋体" w:eastAsia="宋体" w:hint="default"/>
                            <w:spacing w:val="-3"/>
                            <w:sz w:val="18"/>
                            <w:szCs w:val="18"/>
                          </w:rPr>
                          <w:t>金专户。上述募集资金已于</w:t>
                        </w:r>
                        <w:r>
                          <w:rPr>
                            <w:rFonts w:ascii="宋体" w:hAnsi="宋体" w:cs="宋体" w:eastAsia="宋体" w:hint="default"/>
                            <w:spacing w:val="-52"/>
                            <w:sz w:val="18"/>
                            <w:szCs w:val="18"/>
                          </w:rPr>
                          <w:t> </w:t>
                        </w: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4</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z w:val="18"/>
                            <w:szCs w:val="18"/>
                          </w:rPr>
                          <w:t>日全部归还并存入公司募集资金专用账户，并披露了《关于归还募集 资金的公告》（公告编号</w:t>
                        </w:r>
                        <w:r>
                          <w:rPr>
                            <w:rFonts w:ascii="宋体" w:hAnsi="宋体" w:cs="宋体" w:eastAsia="宋体" w:hint="default"/>
                            <w:spacing w:val="-46"/>
                            <w:sz w:val="18"/>
                            <w:szCs w:val="18"/>
                          </w:rPr>
                          <w:t> </w:t>
                        </w:r>
                        <w:r>
                          <w:rPr>
                            <w:rFonts w:ascii="宋体" w:hAnsi="宋体" w:cs="宋体" w:eastAsia="宋体" w:hint="default"/>
                            <w:sz w:val="18"/>
                            <w:szCs w:val="18"/>
                          </w:rPr>
                          <w:t>2015-013</w:t>
                        </w:r>
                        <w:r>
                          <w:rPr>
                            <w:rFonts w:ascii="宋体" w:hAnsi="宋体" w:cs="宋体" w:eastAsia="宋体" w:hint="default"/>
                            <w:sz w:val="18"/>
                            <w:szCs w:val="18"/>
                          </w:rPr>
                          <w:t>）。</w:t>
                        </w:r>
                      </w:p>
                      <w:p>
                        <w:pPr>
                          <w:pStyle w:val="TableParagraph"/>
                          <w:spacing w:line="316" w:lineRule="auto" w:before="19"/>
                          <w:ind w:left="20" w:right="10" w:firstLine="360"/>
                          <w:jc w:val="both"/>
                          <w:rPr>
                            <w:rFonts w:ascii="宋体" w:hAnsi="宋体" w:cs="宋体" w:eastAsia="宋体" w:hint="default"/>
                            <w:sz w:val="18"/>
                            <w:szCs w:val="18"/>
                          </w:rPr>
                        </w:pPr>
                        <w:r>
                          <w:rPr>
                            <w:rFonts w:ascii="宋体" w:hAnsi="宋体" w:cs="宋体" w:eastAsia="宋体" w:hint="default"/>
                            <w:sz w:val="18"/>
                            <w:szCs w:val="18"/>
                          </w:rPr>
                          <w:t>⑥</w:t>
                        </w:r>
                        <w:r>
                          <w:rPr>
                            <w:rFonts w:ascii="宋体" w:hAnsi="宋体" w:cs="宋体" w:eastAsia="宋体" w:hint="default"/>
                            <w:sz w:val="18"/>
                            <w:szCs w:val="18"/>
                          </w:rPr>
                          <w:t>2015</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4</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4</w:t>
                        </w:r>
                        <w:r>
                          <w:rPr>
                            <w:rFonts w:ascii="宋体" w:hAnsi="宋体" w:cs="宋体" w:eastAsia="宋体" w:hint="default"/>
                            <w:spacing w:val="-42"/>
                            <w:sz w:val="18"/>
                            <w:szCs w:val="18"/>
                          </w:rPr>
                          <w:t> </w:t>
                        </w:r>
                        <w:r>
                          <w:rPr>
                            <w:rFonts w:ascii="宋体" w:hAnsi="宋体" w:cs="宋体" w:eastAsia="宋体" w:hint="default"/>
                            <w:spacing w:val="-4"/>
                            <w:sz w:val="18"/>
                            <w:szCs w:val="18"/>
                          </w:rPr>
                          <w:t>日，公司披露了《关于继续使用部分闲置募集资金暂时补充流动资金的公告》（公告编号</w:t>
                        </w:r>
                        <w:r>
                          <w:rPr>
                            <w:rFonts w:ascii="宋体" w:hAnsi="宋体" w:cs="宋体" w:eastAsia="宋体" w:hint="default"/>
                            <w:sz w:val="18"/>
                            <w:szCs w:val="18"/>
                          </w:rPr>
                          <w:t> </w:t>
                        </w:r>
                        <w:r>
                          <w:rPr>
                            <w:rFonts w:ascii="宋体" w:hAnsi="宋体" w:cs="宋体" w:eastAsia="宋体" w:hint="default"/>
                            <w:sz w:val="18"/>
                            <w:szCs w:val="18"/>
                          </w:rPr>
                          <w:t>2015-015</w:t>
                        </w:r>
                        <w:r>
                          <w:rPr>
                            <w:rFonts w:ascii="宋体" w:hAnsi="宋体" w:cs="宋体" w:eastAsia="宋体" w:hint="default"/>
                            <w:sz w:val="18"/>
                            <w:szCs w:val="18"/>
                          </w:rPr>
                          <w:t>），公司继续从“电力用户用电信息采集系统产能扩大建设项目”尚未使用的闲置募集资金中，使用</w:t>
                        </w:r>
                      </w:p>
                      <w:p>
                        <w:pPr>
                          <w:pStyle w:val="TableParagraph"/>
                          <w:spacing w:line="240" w:lineRule="auto" w:before="19"/>
                          <w:ind w:left="20" w:right="-17"/>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万元用于暂时补充流动资金，使用期限不超过董事会批准之日起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个月，到期将归还至募集资金专户。</w:t>
                        </w:r>
                      </w:p>
                      <w:p>
                        <w:pPr>
                          <w:pStyle w:val="TableParagraph"/>
                          <w:spacing w:line="316" w:lineRule="auto" w:before="76"/>
                          <w:ind w:left="20" w:right="10"/>
                          <w:jc w:val="left"/>
                          <w:rPr>
                            <w:rFonts w:ascii="宋体" w:hAnsi="宋体" w:cs="宋体" w:eastAsia="宋体" w:hint="default"/>
                            <w:sz w:val="18"/>
                            <w:szCs w:val="18"/>
                          </w:rPr>
                        </w:pPr>
                        <w:r>
                          <w:rPr>
                            <w:rFonts w:ascii="宋体" w:hAnsi="宋体" w:cs="宋体" w:eastAsia="宋体" w:hint="default"/>
                            <w:sz w:val="18"/>
                            <w:szCs w:val="18"/>
                          </w:rPr>
                          <w:t>上述募集资金已于</w:t>
                        </w:r>
                        <w:r>
                          <w:rPr>
                            <w:rFonts w:ascii="宋体" w:hAnsi="宋体" w:cs="宋体" w:eastAsia="宋体" w:hint="default"/>
                            <w:spacing w:val="-42"/>
                            <w:sz w:val="18"/>
                            <w:szCs w:val="18"/>
                          </w:rPr>
                          <w:t> </w:t>
                        </w: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4</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1</w:t>
                        </w:r>
                        <w:r>
                          <w:rPr>
                            <w:rFonts w:ascii="宋体" w:hAnsi="宋体" w:cs="宋体" w:eastAsia="宋体" w:hint="default"/>
                            <w:spacing w:val="-42"/>
                            <w:sz w:val="18"/>
                            <w:szCs w:val="18"/>
                          </w:rPr>
                          <w:t> </w:t>
                        </w:r>
                        <w:r>
                          <w:rPr>
                            <w:rFonts w:ascii="宋体" w:hAnsi="宋体" w:cs="宋体" w:eastAsia="宋体" w:hint="default"/>
                            <w:spacing w:val="-3"/>
                            <w:sz w:val="18"/>
                            <w:szCs w:val="18"/>
                          </w:rPr>
                          <w:t>日全部归还并存入公司募集资金专用账户，并披露了《关于归还募集资金的公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告》（公告编号</w:t>
                        </w:r>
                        <w:r>
                          <w:rPr>
                            <w:rFonts w:ascii="宋体" w:hAnsi="宋体" w:cs="宋体" w:eastAsia="宋体" w:hint="default"/>
                            <w:spacing w:val="-46"/>
                            <w:sz w:val="18"/>
                            <w:szCs w:val="18"/>
                          </w:rPr>
                          <w:t> </w:t>
                        </w:r>
                        <w:r>
                          <w:rPr>
                            <w:rFonts w:ascii="宋体" w:hAnsi="宋体" w:cs="宋体" w:eastAsia="宋体" w:hint="default"/>
                            <w:sz w:val="18"/>
                            <w:szCs w:val="18"/>
                          </w:rPr>
                          <w:t>2016-012</w:t>
                        </w:r>
                        <w:r>
                          <w:rPr>
                            <w:rFonts w:ascii="宋体" w:hAnsi="宋体" w:cs="宋体" w:eastAsia="宋体" w:hint="default"/>
                            <w:sz w:val="18"/>
                            <w:szCs w:val="18"/>
                          </w:rPr>
                          <w:t>）。</w:t>
                        </w:r>
                      </w:p>
                    </w:tc>
                  </w:tr>
                  <w:tr>
                    <w:trPr>
                      <w:trHeight w:val="1031" w:hRule="exact"/>
                    </w:trPr>
                    <w:tc>
                      <w:tcPr>
                        <w:tcW w:w="15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13" w:right="83"/>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87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31" w:hRule="exact"/>
                    </w:trPr>
                    <w:tc>
                      <w:tcPr>
                        <w:tcW w:w="15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3" w:right="83"/>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871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2"/>
                          <w:ind w:left="20" w:right="26"/>
                          <w:jc w:val="both"/>
                          <w:rPr>
                            <w:rFonts w:ascii="宋体" w:hAnsi="宋体" w:cs="宋体" w:eastAsia="宋体" w:hint="default"/>
                            <w:sz w:val="18"/>
                            <w:szCs w:val="18"/>
                          </w:rPr>
                        </w:pPr>
                        <w:r>
                          <w:rPr>
                            <w:rFonts w:ascii="宋体" w:hAnsi="宋体" w:cs="宋体" w:eastAsia="宋体" w:hint="default"/>
                            <w:sz w:val="18"/>
                            <w:szCs w:val="18"/>
                          </w:rPr>
                          <w:t>公司尚未使用的募集资金将用于募投项目后续资金支付，募集资金存放于公司在招商银行股份有限公司南京月 牙湖支行、南京银行股份有限公司城南支行以及中信银行股份有限公司苏州分行营业部设立的募集资金专用账 户。</w:t>
                        </w:r>
                      </w:p>
                    </w:tc>
                  </w:tr>
                  <w:tr>
                    <w:trPr>
                      <w:trHeight w:val="1039" w:hRule="exact"/>
                    </w:trPr>
                    <w:tc>
                      <w:tcPr>
                        <w:tcW w:w="156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52"/>
                          <w:ind w:left="13" w:right="83"/>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87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 w:right="0"/>
                          <w:jc w:val="left"/>
                          <w:rPr>
                            <w:rFonts w:ascii="宋体" w:hAnsi="宋体" w:cs="宋体" w:eastAsia="宋体" w:hint="default"/>
                            <w:sz w:val="18"/>
                            <w:szCs w:val="18"/>
                          </w:rPr>
                        </w:pPr>
                        <w:r>
                          <w:rPr>
                            <w:rFonts w:ascii="宋体" w:hAnsi="宋体" w:cs="宋体" w:eastAsia="宋体" w:hint="default"/>
                            <w:sz w:val="18"/>
                            <w:szCs w:val="18"/>
                          </w:rPr>
                          <w:t>报告期内，公司募集资金不存在未按规定使用以及相关信息未及时、真实、准确、完整披露的情况。</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38"/>
        <w:ind w:left="1134" w:right="0" w:firstLine="0"/>
        <w:jc w:val="left"/>
        <w:rPr>
          <w:rFonts w:ascii="宋体" w:hAnsi="宋体" w:cs="宋体" w:eastAsia="宋体" w:hint="default"/>
          <w:sz w:val="20"/>
          <w:szCs w:val="20"/>
        </w:rPr>
      </w:pPr>
      <w:bookmarkStart w:name="（3）募集资金变更项目情况" w:id="51"/>
      <w:bookmarkEnd w:id="51"/>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）募集资金变更项目情况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spacing w:line="393" w:lineRule="auto" w:before="0"/>
        <w:ind w:left="1134" w:right="6762" w:firstLine="0"/>
        <w:jc w:val="left"/>
        <w:rPr>
          <w:rFonts w:ascii="宋体" w:hAnsi="宋体" w:cs="宋体" w:eastAsia="宋体" w:hint="default"/>
          <w:sz w:val="20"/>
          <w:szCs w:val="20"/>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公司报告期不存在募集资金变更项目情况。 </w:t>
      </w:r>
      <w:bookmarkStart w:name="六、重大资产和股权出售" w:id="52"/>
      <w:bookmarkEnd w:id="52"/>
      <w:r>
        <w:rPr>
          <w:rFonts w:ascii="宋体" w:hAnsi="宋体" w:cs="宋体" w:eastAsia="宋体" w:hint="default"/>
          <w:sz w:val="21"/>
          <w:szCs w:val="21"/>
        </w:rPr>
      </w:r>
      <w:r>
        <w:rPr>
          <w:rFonts w:ascii="宋体" w:hAnsi="宋体" w:cs="宋体" w:eastAsia="宋体" w:hint="default"/>
          <w:b/>
          <w:bCs/>
          <w:sz w:val="24"/>
          <w:szCs w:val="24"/>
        </w:rPr>
        <w:t>六、重大资产和股权出售</w:t>
      </w:r>
      <w:r>
        <w:rPr>
          <w:rFonts w:ascii="宋体" w:hAnsi="宋体" w:cs="宋体" w:eastAsia="宋体" w:hint="default"/>
          <w:b/>
          <w:bCs/>
          <w:w w:val="99"/>
          <w:sz w:val="24"/>
          <w:szCs w:val="24"/>
        </w:rPr>
        <w:t> </w:t>
      </w:r>
      <w:bookmarkStart w:name="1、出售重大资产情况" w:id="53"/>
      <w:bookmarkEnd w:id="53"/>
      <w:r>
        <w:rPr>
          <w:rFonts w:ascii="宋体" w:hAnsi="宋体" w:cs="宋体" w:eastAsia="宋体" w:hint="default"/>
          <w:b/>
          <w:bCs/>
          <w:w w:val="99"/>
          <w:sz w:val="24"/>
          <w:szCs w:val="24"/>
        </w:rPr>
      </w:r>
      <w:r>
        <w:rPr>
          <w:rFonts w:ascii="宋体" w:hAnsi="宋体" w:cs="宋体" w:eastAsia="宋体" w:hint="default"/>
          <w:b/>
          <w:bCs/>
          <w:sz w:val="20"/>
          <w:szCs w:val="20"/>
        </w:rPr>
        <w:t>1</w:t>
      </w:r>
      <w:r>
        <w:rPr>
          <w:rFonts w:ascii="宋体" w:hAnsi="宋体" w:cs="宋体" w:eastAsia="宋体" w:hint="default"/>
          <w:b/>
          <w:bCs/>
          <w:sz w:val="20"/>
          <w:szCs w:val="20"/>
        </w:rPr>
        <w:t>、出售重大资产情况</w:t>
      </w:r>
      <w:r>
        <w:rPr>
          <w:rFonts w:ascii="宋体" w:hAnsi="宋体" w:cs="宋体" w:eastAsia="宋体" w:hint="default"/>
          <w:sz w:val="20"/>
          <w:szCs w:val="20"/>
        </w:rPr>
      </w:r>
    </w:p>
    <w:p>
      <w:pPr>
        <w:spacing w:line="412" w:lineRule="auto" w:before="69"/>
        <w:ind w:left="1134" w:right="8022" w:firstLine="0"/>
        <w:jc w:val="left"/>
        <w:rPr>
          <w:rFonts w:ascii="宋体" w:hAnsi="宋体" w:cs="宋体" w:eastAsia="宋体" w:hint="default"/>
          <w:sz w:val="20"/>
          <w:szCs w:val="20"/>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公司报告期未出售重大资产。 </w:t>
      </w:r>
      <w:bookmarkStart w:name="2、出售重大股权情况" w:id="54"/>
      <w:bookmarkEnd w:id="54"/>
      <w:r>
        <w:rPr>
          <w:rFonts w:ascii="宋体" w:hAnsi="宋体" w:cs="宋体" w:eastAsia="宋体" w:hint="default"/>
          <w:sz w:val="21"/>
          <w:szCs w:val="21"/>
        </w:rPr>
      </w:r>
      <w:r>
        <w:rPr>
          <w:rFonts w:ascii="宋体" w:hAnsi="宋体" w:cs="宋体" w:eastAsia="宋体" w:hint="default"/>
          <w:b/>
          <w:bCs/>
          <w:sz w:val="20"/>
          <w:szCs w:val="20"/>
        </w:rPr>
        <w:t>2</w:t>
      </w:r>
      <w:r>
        <w:rPr>
          <w:rFonts w:ascii="宋体" w:hAnsi="宋体" w:cs="宋体" w:eastAsia="宋体" w:hint="default"/>
          <w:b/>
          <w:bCs/>
          <w:sz w:val="20"/>
          <w:szCs w:val="20"/>
        </w:rPr>
        <w:t>、出售重大股权情况</w:t>
      </w:r>
      <w:r>
        <w:rPr>
          <w:rFonts w:ascii="宋体" w:hAnsi="宋体" w:cs="宋体" w:eastAsia="宋体" w:hint="default"/>
          <w:sz w:val="20"/>
          <w:szCs w:val="20"/>
        </w:rPr>
      </w:r>
    </w:p>
    <w:p>
      <w:pPr>
        <w:spacing w:before="78"/>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14"/>
          <w:szCs w:val="14"/>
        </w:rPr>
      </w:pPr>
    </w:p>
    <w:p>
      <w:pPr>
        <w:pStyle w:val="Heading2"/>
        <w:spacing w:line="240" w:lineRule="auto" w:before="0"/>
        <w:ind w:left="1134" w:right="0"/>
        <w:jc w:val="left"/>
        <w:rPr>
          <w:b w:val="0"/>
          <w:bCs w:val="0"/>
        </w:rPr>
      </w:pPr>
      <w:bookmarkStart w:name="七、主要控股参股公司分析" w:id="55"/>
      <w:bookmarkEnd w:id="55"/>
      <w:r>
        <w:rPr>
          <w:b w:val="0"/>
          <w:bCs w:val="0"/>
        </w:rPr>
      </w:r>
      <w:r>
        <w:rPr/>
        <w:t>七、主要控股参股公司分析</w:t>
      </w:r>
      <w:r>
        <w:rPr>
          <w:b w:val="0"/>
          <w:bCs w:val="0"/>
        </w:rPr>
      </w:r>
    </w:p>
    <w:p>
      <w:pPr>
        <w:pStyle w:val="BodyText"/>
        <w:spacing w:line="240" w:lineRule="auto" w:before="177"/>
        <w:ind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240" w:lineRule="auto"/>
        <w:ind w:left="1134" w:right="0"/>
        <w:jc w:val="left"/>
      </w:pPr>
      <w:r>
        <w:rPr/>
        <w:t>主要子公司及对公司净利润影响达</w:t>
      </w:r>
      <w:r>
        <w:rPr>
          <w:spacing w:val="-54"/>
        </w:rPr>
        <w:t> </w:t>
      </w:r>
      <w:r>
        <w:rPr>
          <w:rFonts w:ascii="宋体" w:hAnsi="宋体" w:cs="宋体" w:eastAsia="宋体" w:hint="default"/>
        </w:rPr>
        <w:t>10%</w:t>
      </w:r>
      <w:r>
        <w:rPr/>
        <w:t>以上的参股公司情况</w:t>
      </w:r>
    </w:p>
    <w:p>
      <w:pPr>
        <w:spacing w:line="240" w:lineRule="auto" w:before="7"/>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tbl>
      <w:tblPr>
        <w:tblW w:w="0" w:type="auto"/>
        <w:jc w:val="left"/>
        <w:tblInd w:w="568" w:type="dxa"/>
        <w:tblLayout w:type="fixed"/>
        <w:tblCellMar>
          <w:top w:w="0" w:type="dxa"/>
          <w:left w:w="0" w:type="dxa"/>
          <w:bottom w:w="0" w:type="dxa"/>
          <w:right w:w="0" w:type="dxa"/>
        </w:tblCellMar>
        <w:tblLook w:val="01E0"/>
      </w:tblPr>
      <w:tblGrid>
        <w:gridCol w:w="568"/>
        <w:gridCol w:w="602"/>
        <w:gridCol w:w="1417"/>
        <w:gridCol w:w="1276"/>
        <w:gridCol w:w="1419"/>
        <w:gridCol w:w="1417"/>
        <w:gridCol w:w="1418"/>
        <w:gridCol w:w="1276"/>
        <w:gridCol w:w="1347"/>
      </w:tblGrid>
      <w:tr>
        <w:trPr>
          <w:trHeight w:val="766" w:hRule="exact"/>
        </w:trPr>
        <w:tc>
          <w:tcPr>
            <w:tcW w:w="56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71"/>
              <w:ind w:left="88" w:right="95"/>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6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60" w:lineRule="auto" w:before="51"/>
              <w:ind w:left="112" w:right="112"/>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4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1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34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2911" w:hRule="exact"/>
        </w:trPr>
        <w:tc>
          <w:tcPr>
            <w:tcW w:w="568" w:type="dxa"/>
            <w:tcBorders>
              <w:top w:val="single" w:sz="14" w:space="0" w:color="D2D2D2"/>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319" w:lineRule="auto"/>
              <w:ind w:left="88" w:right="95"/>
              <w:jc w:val="both"/>
              <w:rPr>
                <w:rFonts w:ascii="宋体" w:hAnsi="宋体" w:cs="宋体" w:eastAsia="宋体" w:hint="default"/>
                <w:sz w:val="18"/>
                <w:szCs w:val="18"/>
              </w:rPr>
            </w:pPr>
            <w:r>
              <w:rPr>
                <w:rFonts w:ascii="宋体" w:hAnsi="宋体" w:cs="宋体" w:eastAsia="宋体" w:hint="default"/>
                <w:sz w:val="18"/>
                <w:szCs w:val="18"/>
              </w:rPr>
              <w:t>湖北 索瑞 电气 有限 公司</w:t>
            </w:r>
          </w:p>
        </w:tc>
        <w:tc>
          <w:tcPr>
            <w:tcW w:w="6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51"/>
              <w:ind w:left="20" w:right="19"/>
              <w:jc w:val="left"/>
              <w:rPr>
                <w:rFonts w:ascii="宋体" w:hAnsi="宋体" w:cs="宋体" w:eastAsia="宋体" w:hint="default"/>
                <w:sz w:val="18"/>
                <w:szCs w:val="18"/>
              </w:rPr>
            </w:pPr>
            <w:r>
              <w:rPr>
                <w:rFonts w:ascii="宋体" w:hAnsi="宋体" w:cs="宋体" w:eastAsia="宋体" w:hint="default"/>
                <w:sz w:val="18"/>
                <w:szCs w:val="18"/>
              </w:rPr>
              <w:t>电能计量箱的设 计、生产和销售 高低压电气成套 开关设备及控制 </w:t>
            </w:r>
            <w:r>
              <w:rPr>
                <w:rFonts w:ascii="宋体" w:hAnsi="宋体" w:cs="宋体" w:eastAsia="宋体" w:hint="default"/>
                <w:spacing w:val="-10"/>
                <w:sz w:val="18"/>
                <w:szCs w:val="18"/>
              </w:rPr>
              <w:t>设备的设计、生产</w:t>
            </w:r>
            <w:r>
              <w:rPr>
                <w:rFonts w:ascii="宋体" w:hAnsi="宋体" w:cs="宋体" w:eastAsia="宋体" w:hint="default"/>
                <w:sz w:val="18"/>
                <w:szCs w:val="18"/>
              </w:rPr>
              <w:t> </w:t>
            </w:r>
            <w:r>
              <w:rPr>
                <w:rFonts w:ascii="宋体" w:hAnsi="宋体" w:cs="宋体" w:eastAsia="宋体" w:hint="default"/>
                <w:spacing w:val="-10"/>
                <w:sz w:val="18"/>
                <w:szCs w:val="18"/>
              </w:rPr>
              <w:t>和销售，电力电子</w:t>
            </w:r>
            <w:r>
              <w:rPr>
                <w:rFonts w:ascii="宋体" w:hAnsi="宋体" w:cs="宋体" w:eastAsia="宋体" w:hint="default"/>
                <w:sz w:val="18"/>
                <w:szCs w:val="18"/>
              </w:rPr>
              <w:t> </w:t>
            </w:r>
            <w:r>
              <w:rPr>
                <w:rFonts w:ascii="宋体" w:hAnsi="宋体" w:cs="宋体" w:eastAsia="宋体" w:hint="default"/>
                <w:spacing w:val="-10"/>
                <w:sz w:val="18"/>
                <w:szCs w:val="18"/>
              </w:rPr>
              <w:t>产品技术开发、应</w:t>
            </w:r>
            <w:r>
              <w:rPr>
                <w:rFonts w:ascii="宋体" w:hAnsi="宋体" w:cs="宋体" w:eastAsia="宋体" w:hint="default"/>
                <w:sz w:val="18"/>
                <w:szCs w:val="18"/>
              </w:rPr>
              <w:t> </w:t>
            </w:r>
            <w:r>
              <w:rPr>
                <w:rFonts w:ascii="宋体" w:hAnsi="宋体" w:cs="宋体" w:eastAsia="宋体" w:hint="default"/>
                <w:spacing w:val="-10"/>
                <w:sz w:val="18"/>
                <w:szCs w:val="18"/>
              </w:rPr>
              <w:t>用、销售，电力工</w:t>
            </w:r>
            <w:r>
              <w:rPr>
                <w:rFonts w:ascii="宋体" w:hAnsi="宋体" w:cs="宋体" w:eastAsia="宋体" w:hint="default"/>
                <w:sz w:val="18"/>
                <w:szCs w:val="18"/>
              </w:rPr>
              <w:t> 程安装服务</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sz w:val="18"/>
              </w:rPr>
              <w:t>65,600,000.00</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22" w:right="0"/>
              <w:jc w:val="left"/>
              <w:rPr>
                <w:rFonts w:ascii="宋体" w:hAnsi="宋体" w:cs="宋体" w:eastAsia="宋体" w:hint="default"/>
                <w:sz w:val="18"/>
                <w:szCs w:val="18"/>
              </w:rPr>
            </w:pPr>
            <w:r>
              <w:rPr>
                <w:rFonts w:ascii="宋体"/>
                <w:sz w:val="18"/>
              </w:rPr>
              <w:t>910,684,108.53</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99" w:right="0"/>
              <w:jc w:val="center"/>
              <w:rPr>
                <w:rFonts w:ascii="宋体" w:hAnsi="宋体" w:cs="宋体" w:eastAsia="宋体" w:hint="default"/>
                <w:sz w:val="18"/>
                <w:szCs w:val="18"/>
              </w:rPr>
            </w:pPr>
            <w:r>
              <w:rPr>
                <w:rFonts w:ascii="宋体"/>
                <w:sz w:val="18"/>
              </w:rPr>
              <w:t>479,057,102.43</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22" w:right="0"/>
              <w:jc w:val="left"/>
              <w:rPr>
                <w:rFonts w:ascii="宋体" w:hAnsi="宋体" w:cs="宋体" w:eastAsia="宋体" w:hint="default"/>
                <w:sz w:val="18"/>
                <w:szCs w:val="18"/>
              </w:rPr>
            </w:pPr>
            <w:r>
              <w:rPr>
                <w:rFonts w:ascii="宋体"/>
                <w:sz w:val="18"/>
              </w:rPr>
              <w:t>538,440,312.82</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50" w:right="0"/>
              <w:jc w:val="center"/>
              <w:rPr>
                <w:rFonts w:ascii="宋体" w:hAnsi="宋体" w:cs="宋体" w:eastAsia="宋体" w:hint="default"/>
                <w:sz w:val="18"/>
                <w:szCs w:val="18"/>
              </w:rPr>
            </w:pPr>
            <w:r>
              <w:rPr>
                <w:rFonts w:ascii="宋体"/>
                <w:sz w:val="18"/>
              </w:rPr>
              <w:t>94,924,136.37</w:t>
            </w:r>
          </w:p>
        </w:tc>
        <w:tc>
          <w:tcPr>
            <w:tcW w:w="134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30" w:right="0"/>
              <w:jc w:val="center"/>
              <w:rPr>
                <w:rFonts w:ascii="宋体" w:hAnsi="宋体" w:cs="宋体" w:eastAsia="宋体" w:hint="default"/>
                <w:sz w:val="18"/>
                <w:szCs w:val="18"/>
              </w:rPr>
            </w:pPr>
            <w:r>
              <w:rPr>
                <w:rFonts w:ascii="宋体"/>
                <w:sz w:val="18"/>
              </w:rPr>
              <w:t>81,426,520.11</w:t>
            </w:r>
          </w:p>
        </w:tc>
      </w:tr>
    </w:tbl>
    <w:p>
      <w:pPr>
        <w:pStyle w:val="BodyText"/>
        <w:spacing w:line="240" w:lineRule="auto" w:before="63"/>
        <w:ind w:left="1134" w:right="0"/>
        <w:jc w:val="left"/>
      </w:pPr>
      <w:r>
        <w:rPr/>
        <w:pict>
          <v:group style="position:absolute;margin-left:158.899994pt;margin-top:-145.94635pt;width:63.1pt;height:62.45pt;mso-position-horizontal-relative:page;mso-position-vertical-relative:paragraph;z-index:-918232" coordorigin="3178,-2919" coordsize="1262,1249">
            <v:shape style="position:absolute;left:3178;top:-2919;width:1262;height:1249" coordorigin="3178,-2919" coordsize="1262,1249" path="m3178,-1671l4439,-1671,4439,-2919,3178,-2919,3178,-1671xe" filled="true" fillcolor="#ffffff" stroked="false">
              <v:path arrowok="t"/>
              <v:fill type="solid"/>
            </v:shape>
            <w10:wrap type="none"/>
          </v:group>
        </w:pict>
      </w:r>
      <w:r>
        <w:rPr/>
        <w:t>报告期内取得和处置子公司的情况</w:t>
      </w:r>
    </w:p>
    <w:p>
      <w:pPr>
        <w:spacing w:line="240" w:lineRule="auto" w:before="10"/>
        <w:rPr>
          <w:rFonts w:ascii="宋体" w:hAnsi="宋体" w:cs="宋体" w:eastAsia="宋体" w:hint="default"/>
          <w:sz w:val="14"/>
          <w:szCs w:val="14"/>
        </w:rPr>
      </w:pPr>
    </w:p>
    <w:p>
      <w:pPr>
        <w:pStyle w:val="BodyText"/>
        <w:spacing w:line="240" w:lineRule="auto"/>
        <w:ind w:left="1134" w:right="0"/>
        <w:jc w:val="left"/>
      </w:pPr>
      <w:r>
        <w:rPr/>
        <w:t>√ 适用 □</w:t>
      </w:r>
      <w:r>
        <w:rPr>
          <w:spacing w:val="-1"/>
        </w:rPr>
        <w:t> </w:t>
      </w:r>
      <w:r>
        <w:rPr/>
        <w:t>不适用</w:t>
      </w:r>
    </w:p>
    <w:p>
      <w:pPr>
        <w:spacing w:line="240" w:lineRule="auto" w:before="12"/>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2695"/>
        <w:gridCol w:w="2693"/>
        <w:gridCol w:w="4182"/>
      </w:tblGrid>
      <w:tr>
        <w:trPr>
          <w:trHeight w:val="415"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6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418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9"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江苏德能电气工程有限公司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现金购买</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c>
          <w:tcPr>
            <w:tcW w:w="4182"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51"/>
              <w:ind w:left="21" w:right="86"/>
              <w:jc w:val="left"/>
              <w:rPr>
                <w:rFonts w:ascii="宋体" w:hAnsi="宋体" w:cs="宋体" w:eastAsia="宋体" w:hint="default"/>
                <w:sz w:val="18"/>
                <w:szCs w:val="18"/>
              </w:rPr>
            </w:pPr>
            <w:r>
              <w:rPr>
                <w:rFonts w:ascii="宋体" w:hAnsi="宋体" w:cs="宋体" w:eastAsia="宋体" w:hint="default"/>
                <w:sz w:val="18"/>
                <w:szCs w:val="18"/>
              </w:rPr>
              <w:t>财务报表自</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日纳入合并范围，本报告 期为上市公司贡献净利润</w:t>
            </w:r>
            <w:r>
              <w:rPr>
                <w:rFonts w:ascii="宋体" w:hAnsi="宋体" w:cs="宋体" w:eastAsia="宋体" w:hint="default"/>
                <w:sz w:val="18"/>
                <w:szCs w:val="18"/>
              </w:rPr>
              <w:t>-340.27</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727" w:hRule="exact"/>
        </w:trPr>
        <w:tc>
          <w:tcPr>
            <w:tcW w:w="26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现金购买</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c>
          <w:tcPr>
            <w:tcW w:w="41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财务报表自</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日纳入合并范围，本报告</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期为上市公司贡献净利润</w:t>
            </w:r>
            <w:r>
              <w:rPr>
                <w:rFonts w:ascii="宋体" w:hAnsi="宋体" w:cs="宋体" w:eastAsia="宋体" w:hint="default"/>
                <w:spacing w:val="-46"/>
                <w:sz w:val="18"/>
                <w:szCs w:val="18"/>
              </w:rPr>
              <w:t> </w:t>
            </w:r>
            <w:r>
              <w:rPr>
                <w:rFonts w:ascii="宋体" w:hAnsi="宋体" w:cs="宋体" w:eastAsia="宋体" w:hint="default"/>
                <w:sz w:val="18"/>
                <w:szCs w:val="18"/>
              </w:rPr>
              <w:t>264.27</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pStyle w:val="BodyText"/>
        <w:spacing w:line="408" w:lineRule="auto" w:before="63"/>
        <w:ind w:left="1554" w:right="0" w:hanging="420"/>
        <w:jc w:val="left"/>
      </w:pPr>
      <w:r>
        <w:rPr/>
        <w:t>主要控股参股公司情况说明 湖北索瑞电气有限公司系公司控股子公司，注册资本</w:t>
      </w:r>
      <w:r>
        <w:rPr>
          <w:rFonts w:ascii="宋体" w:hAnsi="宋体" w:cs="宋体" w:eastAsia="宋体" w:hint="default"/>
        </w:rPr>
        <w:t>6,560</w:t>
      </w:r>
      <w:r>
        <w:rPr/>
        <w:t>万元，经营范围：电能计量箱的设计、生</w:t>
      </w:r>
    </w:p>
    <w:p>
      <w:pPr>
        <w:pStyle w:val="BodyText"/>
        <w:spacing w:line="408" w:lineRule="auto" w:before="46"/>
        <w:ind w:right="1132"/>
        <w:jc w:val="both"/>
      </w:pPr>
      <w:r>
        <w:rPr>
          <w:spacing w:val="-1"/>
        </w:rPr>
        <w:t>产和销售，高低压电气成套开关设备及控制设备的设计、生产和销售，电力电子产品技术开发、应用、销</w:t>
      </w:r>
      <w:r>
        <w:rPr>
          <w:spacing w:val="-83"/>
        </w:rPr>
        <w:t> </w:t>
      </w:r>
      <w:r>
        <w:rPr>
          <w:spacing w:val="-83"/>
        </w:rPr>
      </w:r>
      <w:r>
        <w:rPr>
          <w:spacing w:val="-1"/>
        </w:rPr>
        <w:t>售，电力工程安装服务。公司于</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24</w:t>
      </w:r>
      <w:r>
        <w:rPr>
          <w:spacing w:val="-1"/>
        </w:rPr>
        <w:t>日获得中国证监会《关于核准光一科技股份有限公司向任昌</w:t>
      </w:r>
      <w:r>
        <w:rPr>
          <w:spacing w:val="-82"/>
        </w:rPr>
        <w:t> </w:t>
      </w:r>
      <w:r>
        <w:rPr>
          <w:spacing w:val="-82"/>
        </w:rPr>
      </w:r>
      <w:r>
        <w:rPr/>
        <w:t>兆等发行股份购买资产的批复》，索瑞电气于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26</w:t>
      </w:r>
      <w:r>
        <w:rPr/>
        <w:t>日完成工商变更。</w:t>
      </w:r>
    </w:p>
    <w:p>
      <w:pPr>
        <w:pStyle w:val="BodyText"/>
        <w:spacing w:line="240" w:lineRule="auto" w:before="46"/>
        <w:ind w:left="1553" w:right="0"/>
        <w:jc w:val="left"/>
      </w:pPr>
      <w:r>
        <w:rPr>
          <w:rFonts w:ascii="宋体" w:hAnsi="宋体" w:cs="宋体" w:eastAsia="宋体" w:hint="default"/>
        </w:rPr>
        <w:t>2014</w:t>
      </w:r>
      <w:r>
        <w:rPr/>
        <w:t>年度索瑞实现净利润</w:t>
      </w:r>
      <w:r>
        <w:rPr>
          <w:rFonts w:ascii="宋体" w:hAnsi="宋体" w:cs="宋体" w:eastAsia="宋体" w:hint="default"/>
        </w:rPr>
        <w:t>7,875.71</w:t>
      </w:r>
      <w:r>
        <w:rPr/>
        <w:t>万元，</w:t>
      </w:r>
      <w:r>
        <w:rPr>
          <w:rFonts w:ascii="宋体" w:hAnsi="宋体" w:cs="宋体" w:eastAsia="宋体" w:hint="default"/>
        </w:rPr>
        <w:t>2015</w:t>
      </w:r>
      <w:r>
        <w:rPr/>
        <w:t>年度索瑞实现净利润</w:t>
      </w:r>
      <w:r>
        <w:rPr>
          <w:rFonts w:ascii="宋体" w:hAnsi="宋体" w:cs="宋体" w:eastAsia="宋体" w:hint="default"/>
        </w:rPr>
        <w:t>8,142.65</w:t>
      </w:r>
      <w:r>
        <w:rPr/>
        <w:t>万元。</w:t>
      </w:r>
    </w:p>
    <w:p>
      <w:pPr>
        <w:pStyle w:val="Heading2"/>
        <w:spacing w:line="240" w:lineRule="auto"/>
        <w:ind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pStyle w:val="BodyText"/>
        <w:spacing w:line="240" w:lineRule="auto" w:before="177"/>
        <w:ind w:right="0"/>
        <w:jc w:val="both"/>
      </w:pPr>
      <w:r>
        <w:rPr/>
        <w:t>□ 适用 √</w:t>
      </w:r>
      <w:r>
        <w:rPr>
          <w:spacing w:val="-1"/>
        </w:rPr>
        <w:t> </w:t>
      </w:r>
      <w:r>
        <w:rPr/>
        <w:t>不适用</w:t>
      </w:r>
    </w:p>
    <w:p>
      <w:pPr>
        <w:pStyle w:val="Heading2"/>
        <w:spacing w:line="240" w:lineRule="auto"/>
        <w:ind w:left="1134" w:right="0"/>
        <w:jc w:val="both"/>
        <w:rPr>
          <w:b w:val="0"/>
          <w:bCs w:val="0"/>
        </w:rPr>
      </w:pPr>
      <w:bookmarkStart w:name="九、公司未来发展的展望" w:id="57"/>
      <w:bookmarkEnd w:id="57"/>
      <w:r>
        <w:rPr>
          <w:b w:val="0"/>
          <w:bCs w:val="0"/>
        </w:rPr>
      </w:r>
      <w:r>
        <w:rPr/>
        <w:t>九、公司未来发展的展望</w:t>
      </w:r>
      <w:r>
        <w:rPr>
          <w:b w:val="0"/>
          <w:bCs w:val="0"/>
        </w:rPr>
      </w:r>
    </w:p>
    <w:p>
      <w:pPr>
        <w:pStyle w:val="BodyText"/>
        <w:spacing w:line="408" w:lineRule="auto" w:before="177"/>
        <w:ind w:left="1274" w:right="1115" w:firstLine="425"/>
        <w:jc w:val="left"/>
      </w:pPr>
      <w:r>
        <w:rPr>
          <w:rFonts w:ascii="宋体" w:hAnsi="宋体" w:cs="宋体" w:eastAsia="宋体" w:hint="default"/>
        </w:rPr>
        <w:t>2016</w:t>
      </w:r>
      <w:r>
        <w:rPr>
          <w:rFonts w:ascii="宋体" w:hAnsi="宋体" w:cs="宋体" w:eastAsia="宋体" w:hint="default"/>
          <w:spacing w:val="-63"/>
        </w:rPr>
        <w:t> </w:t>
      </w:r>
      <w:r>
        <w:rPr/>
        <w:t>年，公司将继续按照既定的发展战略在电力产业、版权云产业、健康管理产业聚焦和落地，产 业布局将向纵深领域拓展。</w:t>
      </w:r>
    </w:p>
    <w:p>
      <w:pPr>
        <w:pStyle w:val="BodyText"/>
        <w:spacing w:line="408" w:lineRule="auto" w:before="46"/>
        <w:ind w:left="1699" w:right="0"/>
        <w:jc w:val="left"/>
      </w:pPr>
      <w:r>
        <w:rPr>
          <w:rFonts w:ascii="宋体" w:hAnsi="宋体" w:cs="宋体" w:eastAsia="宋体" w:hint="default"/>
        </w:rPr>
        <w:t>1</w:t>
      </w:r>
      <w:r>
        <w:rPr/>
        <w:t>、智能电网互联网</w:t>
      </w:r>
      <w:r>
        <w:rPr>
          <w:rFonts w:ascii="宋体" w:hAnsi="宋体" w:cs="宋体" w:eastAsia="宋体" w:hint="default"/>
        </w:rPr>
        <w:t>+</w:t>
      </w:r>
      <w:r>
        <w:rPr/>
        <w:t>业务板块（电力业务板块） 随着公司电力业务板块的扩张，如何发挥事业部、子公司的协同，达到电力板块一盘棋的工作目标</w:t>
      </w:r>
    </w:p>
    <w:p>
      <w:pPr>
        <w:pStyle w:val="BodyText"/>
        <w:spacing w:line="408" w:lineRule="auto" w:before="46"/>
        <w:ind w:left="1274" w:right="1057"/>
        <w:jc w:val="left"/>
      </w:pPr>
      <w:r>
        <w:rPr/>
        <w:t>是公司对 </w:t>
      </w:r>
      <w:r>
        <w:rPr>
          <w:rFonts w:ascii="宋体" w:hAnsi="宋体" w:cs="宋体" w:eastAsia="宋体" w:hint="default"/>
        </w:rPr>
        <w:t>2016 </w:t>
      </w:r>
      <w:r>
        <w:rPr/>
        <w:t>年工作规划的重点。</w:t>
      </w:r>
      <w:r>
        <w:rPr>
          <w:rFonts w:ascii="宋体" w:hAnsi="宋体" w:cs="宋体" w:eastAsia="宋体" w:hint="default"/>
        </w:rPr>
        <w:t>2016</w:t>
      </w:r>
      <w:r>
        <w:rPr>
          <w:rFonts w:ascii="宋体" w:hAnsi="宋体" w:cs="宋体" w:eastAsia="宋体" w:hint="default"/>
          <w:spacing w:val="-60"/>
        </w:rPr>
        <w:t> </w:t>
      </w:r>
      <w:r>
        <w:rPr/>
        <w:t>年，公司将强化总部职能，将管理体系和运行体制同步建设， 组建业务协同与资源调度机制，着力构建公司—总部—事业部</w:t>
      </w:r>
      <w:r>
        <w:rPr>
          <w:rFonts w:ascii="宋体" w:hAnsi="宋体" w:cs="宋体" w:eastAsia="宋体" w:hint="default"/>
        </w:rPr>
        <w:t>/</w:t>
      </w:r>
      <w:r>
        <w:rPr/>
        <w:t>子公司的管理体系，继续实行目标管理，</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left="1274" w:right="0"/>
        <w:jc w:val="left"/>
      </w:pPr>
      <w:r>
        <w:rPr/>
        <w:t>完善制度建设，推行全面预算管理，扩大事业部经营权，加强风险管控力度，构建人才梯队建设，完善</w:t>
      </w:r>
      <w:r>
        <w:rPr>
          <w:spacing w:val="-68"/>
        </w:rPr>
        <w:t> </w:t>
      </w:r>
      <w:r>
        <w:rPr>
          <w:spacing w:val="-68"/>
        </w:rPr>
      </w:r>
      <w:r>
        <w:rPr/>
        <w:t>考核激励政策，公司总部、事业部、子公司携手合作，发挥</w:t>
      </w:r>
      <w:r>
        <w:rPr>
          <w:spacing w:val="-53"/>
        </w:rPr>
        <w:t> </w:t>
      </w:r>
      <w:r>
        <w:rPr>
          <w:rFonts w:ascii="宋体" w:hAnsi="宋体" w:cs="宋体" w:eastAsia="宋体" w:hint="default"/>
        </w:rPr>
        <w:t>1+1</w:t>
      </w:r>
      <w:r>
        <w:rPr>
          <w:rFonts w:ascii="宋体" w:hAnsi="宋体" w:cs="宋体" w:eastAsia="宋体" w:hint="default"/>
          <w:spacing w:val="-53"/>
        </w:rPr>
        <w:t> </w:t>
      </w:r>
      <w:r>
        <w:rPr/>
        <w:t>大于</w:t>
      </w:r>
      <w:r>
        <w:rPr>
          <w:spacing w:val="-55"/>
        </w:rPr>
        <w:t> </w:t>
      </w:r>
      <w:r>
        <w:rPr>
          <w:rFonts w:ascii="宋体" w:hAnsi="宋体" w:cs="宋体" w:eastAsia="宋体" w:hint="default"/>
        </w:rPr>
        <w:t>2</w:t>
      </w:r>
      <w:r>
        <w:rPr>
          <w:rFonts w:ascii="宋体" w:hAnsi="宋体" w:cs="宋体" w:eastAsia="宋体" w:hint="default"/>
          <w:spacing w:val="-53"/>
        </w:rPr>
        <w:t> </w:t>
      </w:r>
      <w:r>
        <w:rPr/>
        <w:t>的协同效应。</w:t>
      </w:r>
    </w:p>
    <w:p>
      <w:pPr>
        <w:pStyle w:val="BodyText"/>
        <w:spacing w:line="408" w:lineRule="auto" w:before="46"/>
        <w:ind w:left="1274" w:right="1131" w:firstLine="425"/>
        <w:jc w:val="both"/>
      </w:pPr>
      <w:r>
        <w:rPr/>
        <w:t>在用电信息采集业务方面，在现有产品线基础上，加强户变关系识别仪、宽带载波产品和现场服务 终端 </w:t>
      </w:r>
      <w:r>
        <w:rPr>
          <w:rFonts w:ascii="宋体" w:hAnsi="宋体" w:cs="宋体" w:eastAsia="宋体" w:hint="default"/>
        </w:rPr>
        <w:t>3</w:t>
      </w:r>
      <w:r>
        <w:rPr>
          <w:rFonts w:ascii="宋体" w:hAnsi="宋体" w:cs="宋体" w:eastAsia="宋体" w:hint="default"/>
          <w:spacing w:val="-58"/>
        </w:rPr>
        <w:t> </w:t>
      </w:r>
      <w:r>
        <w:rPr/>
        <w:t>个新产品的市场推广，扩大市场份额；全力配合国网关于宽带载波用电信息采集产品的标准制定</w:t>
      </w:r>
    </w:p>
    <w:p>
      <w:pPr>
        <w:pStyle w:val="BodyText"/>
        <w:spacing w:line="408" w:lineRule="auto" w:before="46"/>
        <w:ind w:left="1274" w:right="1112"/>
        <w:jc w:val="left"/>
      </w:pPr>
      <w:r>
        <w:rPr/>
        <w:t>工作，加快推进该产品在国网范围内的招标落地；以成功中标广东电网</w:t>
      </w:r>
      <w:r>
        <w:rPr>
          <w:spacing w:val="-80"/>
        </w:rPr>
        <w:t> </w:t>
      </w:r>
      <w:r>
        <w:rPr>
          <w:rFonts w:ascii="宋体" w:hAnsi="宋体" w:cs="宋体" w:eastAsia="宋体" w:hint="default"/>
        </w:rPr>
        <w:t>2016</w:t>
      </w:r>
      <w:r>
        <w:rPr>
          <w:rFonts w:ascii="宋体" w:hAnsi="宋体" w:cs="宋体" w:eastAsia="宋体" w:hint="default"/>
          <w:spacing w:val="-80"/>
        </w:rPr>
        <w:t> </w:t>
      </w:r>
      <w:r>
        <w:rPr/>
        <w:t>年低压集抄终端等营销自动 化设备框架招标为契机，进一步拓展南方电网市场。</w:t>
      </w:r>
    </w:p>
    <w:p>
      <w:pPr>
        <w:pStyle w:val="BodyText"/>
        <w:spacing w:line="408" w:lineRule="auto" w:before="46"/>
        <w:ind w:left="1274" w:right="0" w:firstLine="425"/>
        <w:jc w:val="left"/>
      </w:pPr>
      <w:r>
        <w:rPr/>
        <w:t>在电力工程业务方面，随着国家城镇化建设的推进，线路、配电、售电、用电等各环节的建设、改 造及国网对低端低压的投资逐步以维护为主的市场现状，电力工程的机遇越来越多。</w:t>
      </w:r>
      <w:r>
        <w:rPr>
          <w:rFonts w:ascii="宋体" w:hAnsi="宋体" w:cs="宋体" w:eastAsia="宋体" w:hint="default"/>
        </w:rPr>
        <w:t>2016</w:t>
      </w:r>
      <w:r>
        <w:rPr>
          <w:rFonts w:ascii="宋体" w:hAnsi="宋体" w:cs="宋体" w:eastAsia="宋体" w:hint="default"/>
          <w:spacing w:val="-55"/>
        </w:rPr>
        <w:t> </w:t>
      </w:r>
      <w:r>
        <w:rPr/>
        <w:t>年，电力工程 业务将在业务项目和地域两个纬度寻求突破，在业务项目方面，继续深耕传统业务中的用采安装维护工</w:t>
      </w:r>
      <w:r>
        <w:rPr>
          <w:spacing w:val="-68"/>
        </w:rPr>
        <w:t> </w:t>
      </w:r>
      <w:r>
        <w:rPr>
          <w:spacing w:val="-68"/>
        </w:rPr>
      </w:r>
      <w:r>
        <w:rPr>
          <w:spacing w:val="-2"/>
        </w:rPr>
        <w:t>程、封闭性改造，同时拓展新电力工程业务，特别是新居配业务、用户工程和农配网项目。在地域方面，</w:t>
      </w:r>
      <w:r>
        <w:rPr>
          <w:spacing w:val="-71"/>
        </w:rPr>
        <w:t> </w:t>
      </w:r>
      <w:r>
        <w:rPr>
          <w:spacing w:val="-71"/>
        </w:rPr>
      </w:r>
      <w:r>
        <w:rPr/>
        <w:t>巩固新进地区业务，同时寻求与公司其他电力业务的市场协同，以期电力工程业务走出江苏，尽快形成</w:t>
      </w:r>
      <w:r>
        <w:rPr>
          <w:spacing w:val="-68"/>
        </w:rPr>
        <w:t> </w:t>
      </w:r>
      <w:r>
        <w:rPr>
          <w:spacing w:val="-68"/>
        </w:rPr>
      </w:r>
      <w:r>
        <w:rPr/>
        <w:t>其他省份的市场份额。</w:t>
      </w:r>
    </w:p>
    <w:p>
      <w:pPr>
        <w:pStyle w:val="BodyText"/>
        <w:spacing w:line="408" w:lineRule="auto" w:before="46"/>
        <w:ind w:left="1274" w:right="1130" w:firstLine="425"/>
        <w:jc w:val="both"/>
      </w:pPr>
      <w:r>
        <w:rPr/>
        <w:t>在电能计量箱业务方面，面对实体经济的不确定性和复杂性，索瑞电气在业务上制定了新老业务共 同开拓的经营规划，一方面做精做足智能电表箱业务，同时开拓高低压成套、改性塑料、在线监测三项</w:t>
      </w:r>
      <w:r>
        <w:rPr>
          <w:spacing w:val="-68"/>
        </w:rPr>
        <w:t> </w:t>
      </w:r>
      <w:r>
        <w:rPr>
          <w:spacing w:val="-68"/>
        </w:rPr>
      </w:r>
      <w:r>
        <w:rPr/>
        <w:t>新业务；在销售与市场方面，努力拓展产品市场，做好营销渠道建设，巩固现有渠道，开拓新的有实力</w:t>
      </w:r>
      <w:r>
        <w:rPr>
          <w:spacing w:val="-68"/>
        </w:rPr>
        <w:t> </w:t>
      </w:r>
      <w:r>
        <w:rPr>
          <w:spacing w:val="-68"/>
        </w:rPr>
      </w:r>
      <w:r>
        <w:rPr/>
        <w:t>代理商，建立多层次的营销网络；在技术方面，增强技术人员力量，以满足新业务的技术要求，提高批</w:t>
      </w:r>
      <w:r>
        <w:rPr>
          <w:spacing w:val="-64"/>
        </w:rPr>
        <w:t> </w:t>
      </w:r>
      <w:r>
        <w:rPr>
          <w:spacing w:val="-64"/>
        </w:rPr>
      </w:r>
      <w:r>
        <w:rPr/>
        <w:t>量生产装配效率，为高低压成套规模发展储备装配力量；在生产制造方面，加强成本控制，提高生产效</w:t>
      </w:r>
      <w:r>
        <w:rPr>
          <w:spacing w:val="-68"/>
        </w:rPr>
        <w:t> </w:t>
      </w:r>
      <w:r>
        <w:rPr>
          <w:spacing w:val="-68"/>
        </w:rPr>
      </w:r>
      <w:r>
        <w:rPr/>
        <w:t>率，强化品质意识，落实安全生产；同时不断完善管理制度和工作流程，进一步推进企业文化建设。</w:t>
      </w:r>
    </w:p>
    <w:p>
      <w:pPr>
        <w:pStyle w:val="BodyText"/>
        <w:spacing w:line="408" w:lineRule="auto" w:before="46"/>
        <w:ind w:left="1274" w:right="1017" w:firstLine="425"/>
        <w:jc w:val="left"/>
      </w:pPr>
      <w:r>
        <w:rPr>
          <w:spacing w:val="-2"/>
        </w:rPr>
        <w:t>在电力设计业务方面，德能设计将不断拓展项目区域，同时在业务方向上，围绕以配网设计及规划、</w:t>
      </w:r>
      <w:r>
        <w:rPr/>
        <w:t> 输变电技改、电网规划、业扩设计、通信和配网自动化、新能源和接入系统等方向分别开展电力设计业</w:t>
      </w:r>
      <w:r>
        <w:rPr>
          <w:spacing w:val="-68"/>
        </w:rPr>
        <w:t> </w:t>
      </w:r>
      <w:r>
        <w:rPr>
          <w:spacing w:val="-68"/>
        </w:rPr>
      </w:r>
      <w:r>
        <w:rPr/>
        <w:t>务。</w:t>
      </w:r>
    </w:p>
    <w:p>
      <w:pPr>
        <w:pStyle w:val="BodyText"/>
        <w:spacing w:line="408" w:lineRule="auto" w:before="46"/>
        <w:ind w:left="1274" w:right="1130" w:firstLine="425"/>
        <w:jc w:val="both"/>
      </w:pPr>
      <w:r>
        <w:rPr/>
        <w:t>未来公司除了在产品维度和市场维度不断突破以外，还将密切关注电改、能源互联网等产业机会， 协同管理公司的电力业务资源，将互联网产业的运营理念与实业的经营方式结合，向为客户提供电力系</w:t>
      </w:r>
      <w:r>
        <w:rPr>
          <w:spacing w:val="-67"/>
        </w:rPr>
        <w:t> </w:t>
      </w:r>
      <w:r>
        <w:rPr>
          <w:spacing w:val="-67"/>
        </w:rPr>
      </w:r>
      <w:r>
        <w:rPr/>
        <w:t>统解决方案的方向迈进。</w:t>
      </w:r>
    </w:p>
    <w:p>
      <w:pPr>
        <w:pStyle w:val="BodyText"/>
        <w:spacing w:line="240" w:lineRule="auto" w:before="46"/>
        <w:ind w:left="1699" w:right="0"/>
        <w:jc w:val="left"/>
      </w:pPr>
      <w:r>
        <w:rPr>
          <w:rFonts w:ascii="宋体" w:hAnsi="宋体" w:cs="宋体" w:eastAsia="宋体" w:hint="default"/>
        </w:rPr>
        <w:t>2</w:t>
      </w:r>
      <w:r>
        <w:rPr/>
        <w:t>、版权云项目板块</w:t>
      </w:r>
    </w:p>
    <w:p>
      <w:pPr>
        <w:spacing w:line="240" w:lineRule="auto" w:before="10"/>
        <w:rPr>
          <w:rFonts w:ascii="宋体" w:hAnsi="宋体" w:cs="宋体" w:eastAsia="宋体" w:hint="default"/>
          <w:sz w:val="14"/>
          <w:szCs w:val="14"/>
        </w:rPr>
      </w:pPr>
    </w:p>
    <w:p>
      <w:pPr>
        <w:pStyle w:val="BodyText"/>
        <w:spacing w:line="240" w:lineRule="auto"/>
        <w:ind w:left="1699" w:right="0"/>
        <w:jc w:val="left"/>
      </w:pPr>
      <w:r>
        <w:rPr/>
        <w:t>（</w:t>
      </w:r>
      <w:r>
        <w:rPr>
          <w:rFonts w:ascii="宋体" w:hAnsi="宋体" w:cs="宋体" w:eastAsia="宋体" w:hint="default"/>
        </w:rPr>
        <w:t>1</w:t>
      </w:r>
      <w:r>
        <w:rPr/>
        <w:t>）总体战略</w:t>
      </w:r>
    </w:p>
    <w:p>
      <w:pPr>
        <w:spacing w:line="240" w:lineRule="auto" w:before="10"/>
        <w:rPr>
          <w:rFonts w:ascii="宋体" w:hAnsi="宋体" w:cs="宋体" w:eastAsia="宋体" w:hint="default"/>
          <w:sz w:val="14"/>
          <w:szCs w:val="14"/>
        </w:rPr>
      </w:pPr>
    </w:p>
    <w:p>
      <w:pPr>
        <w:pStyle w:val="BodyText"/>
        <w:spacing w:line="408" w:lineRule="auto"/>
        <w:ind w:left="1274" w:right="1130" w:firstLine="425"/>
        <w:jc w:val="both"/>
      </w:pPr>
      <w:r>
        <w:rPr>
          <w:rFonts w:ascii="宋体" w:hAnsi="宋体" w:cs="宋体" w:eastAsia="宋体" w:hint="default"/>
        </w:rPr>
        <w:t>2016</w:t>
      </w:r>
      <w:r>
        <w:rPr>
          <w:rFonts w:ascii="宋体" w:hAnsi="宋体" w:cs="宋体" w:eastAsia="宋体" w:hint="default"/>
          <w:spacing w:val="-63"/>
        </w:rPr>
        <w:t> </w:t>
      </w:r>
      <w:r>
        <w:rPr/>
        <w:t>年，版权云项目将以构建“国家数字音像传播服务平台”为指引，以省部合作协议和投资合作 协议为契机，加快实现版权云项目的产业集聚和园区开发。在工作中确立“擎起旗帜，合纵连横；构建</w:t>
      </w:r>
      <w:r>
        <w:rPr>
          <w:spacing w:val="-68"/>
        </w:rPr>
        <w:t> </w:t>
      </w:r>
      <w:r>
        <w:rPr>
          <w:spacing w:val="-68"/>
        </w:rPr>
      </w:r>
      <w:r>
        <w:rPr/>
        <w:t>平台，点线联动”的总体战略。</w:t>
      </w:r>
    </w:p>
    <w:p>
      <w:pPr>
        <w:pStyle w:val="BodyText"/>
        <w:spacing w:line="240" w:lineRule="auto" w:before="46"/>
        <w:ind w:left="1699" w:right="0"/>
        <w:jc w:val="left"/>
      </w:pPr>
      <w:r>
        <w:rPr/>
        <w:t>①擎起旗帜</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left="1274" w:right="1130" w:firstLine="425"/>
        <w:jc w:val="both"/>
      </w:pPr>
      <w:r>
        <w:rPr/>
        <w:t>版权云项目要成为引领国家文化产业发展的一面旗帜，代表新兴文化市场与文化产业新生态的发展 趋势，形成新媒体与传统媒体融合、广电与出版融合、三网融合以及基于文化大数据的产业新生态的典</w:t>
      </w:r>
      <w:r>
        <w:rPr>
          <w:spacing w:val="-68"/>
        </w:rPr>
        <w:t> </w:t>
      </w:r>
      <w:r>
        <w:rPr>
          <w:spacing w:val="-68"/>
        </w:rPr>
      </w:r>
      <w:r>
        <w:rPr/>
        <w:t>范，进一步确立和巩固国家项目的定位，获取相关行业资质、争取相关政策支持，形成全行业的共识和</w:t>
      </w:r>
      <w:r>
        <w:rPr>
          <w:spacing w:val="-68"/>
        </w:rPr>
        <w:t> </w:t>
      </w:r>
      <w:r>
        <w:rPr>
          <w:spacing w:val="-68"/>
        </w:rPr>
      </w:r>
      <w:r>
        <w:rPr/>
        <w:t>标杆，为版权云项目的产业集聚创造必要的条件。</w:t>
      </w:r>
    </w:p>
    <w:p>
      <w:pPr>
        <w:pStyle w:val="BodyText"/>
        <w:spacing w:line="408" w:lineRule="auto" w:before="46"/>
        <w:ind w:left="1699" w:right="1116"/>
        <w:jc w:val="left"/>
      </w:pPr>
      <w:r>
        <w:rPr/>
        <w:t>②合纵连横 深入梳理版权云项目产业链，优化完善体系建设，以资本方式进入相关公司进行合纵，甄选优秀的</w:t>
      </w:r>
    </w:p>
    <w:p>
      <w:pPr>
        <w:pStyle w:val="BodyText"/>
        <w:spacing w:line="408" w:lineRule="auto" w:before="46"/>
        <w:ind w:left="1274" w:right="0"/>
        <w:jc w:val="left"/>
      </w:pPr>
      <w:r>
        <w:rPr/>
        <w:t>行业企业打造联盟进行连横，快速呈现版权云项目的业态形象，形成文化产业新的生态，为版权云项目</w:t>
      </w:r>
      <w:r>
        <w:rPr>
          <w:spacing w:val="-68"/>
        </w:rPr>
        <w:t> </w:t>
      </w:r>
      <w:r>
        <w:rPr>
          <w:spacing w:val="-68"/>
        </w:rPr>
      </w:r>
      <w:r>
        <w:rPr/>
        <w:t>的产业集聚创造充分的条件。</w:t>
      </w:r>
    </w:p>
    <w:p>
      <w:pPr>
        <w:pStyle w:val="BodyText"/>
        <w:spacing w:line="240" w:lineRule="auto" w:before="46"/>
        <w:ind w:left="1699" w:right="0"/>
        <w:jc w:val="left"/>
      </w:pPr>
      <w:r>
        <w:rPr/>
        <w:t>③构建平台</w:t>
      </w:r>
    </w:p>
    <w:p>
      <w:pPr>
        <w:spacing w:line="240" w:lineRule="auto" w:before="10"/>
        <w:rPr>
          <w:rFonts w:ascii="宋体" w:hAnsi="宋体" w:cs="宋体" w:eastAsia="宋体" w:hint="default"/>
          <w:sz w:val="14"/>
          <w:szCs w:val="14"/>
        </w:rPr>
      </w:pPr>
    </w:p>
    <w:p>
      <w:pPr>
        <w:pStyle w:val="BodyText"/>
        <w:spacing w:line="408" w:lineRule="auto"/>
        <w:ind w:left="1274" w:right="1130" w:firstLine="425"/>
        <w:jc w:val="both"/>
      </w:pPr>
      <w:r>
        <w:rPr/>
        <w:t>版权云项目的 </w:t>
      </w:r>
      <w:r>
        <w:rPr>
          <w:rFonts w:ascii="宋体" w:hAnsi="宋体" w:cs="宋体" w:eastAsia="宋体" w:hint="default"/>
        </w:rPr>
        <w:t>IDC</w:t>
      </w:r>
      <w:r>
        <w:rPr>
          <w:rFonts w:ascii="宋体" w:hAnsi="宋体" w:cs="宋体" w:eastAsia="宋体" w:hint="default"/>
          <w:spacing w:val="-63"/>
        </w:rPr>
        <w:t> </w:t>
      </w:r>
      <w:r>
        <w:rPr/>
        <w:t>中心定位是打造目前国内第一个以政府和权利人为主导的数据中心，是一个具有 公信力、安全性、政策性、经济性的数据中心，为中国文化大数据标本库、备案库的建立，提供必要的</w:t>
      </w:r>
      <w:r>
        <w:rPr>
          <w:spacing w:val="-64"/>
        </w:rPr>
        <w:t> </w:t>
      </w:r>
      <w:r>
        <w:rPr>
          <w:spacing w:val="-64"/>
        </w:rPr>
      </w:r>
      <w:r>
        <w:rPr/>
        <w:t>保障，从而引领商用数据的聚集，成为最权威的数据银行，为版权云项目的产业集聚提供聚合的核心。</w:t>
      </w:r>
    </w:p>
    <w:p>
      <w:pPr>
        <w:pStyle w:val="BodyText"/>
        <w:spacing w:line="408" w:lineRule="auto" w:before="46"/>
        <w:ind w:left="1699" w:right="1116"/>
        <w:jc w:val="left"/>
      </w:pPr>
      <w:r>
        <w:rPr/>
        <w:t>④点线联合 围绕版权云项目产业链的各个环节，通过资本及业务层面，重点进行重要环节的产业布局，每一环</w:t>
      </w:r>
    </w:p>
    <w:p>
      <w:pPr>
        <w:pStyle w:val="BodyText"/>
        <w:spacing w:line="408" w:lineRule="auto" w:before="46"/>
        <w:ind w:left="1274" w:right="1027"/>
        <w:jc w:val="left"/>
      </w:pPr>
      <w:r>
        <w:rPr>
          <w:spacing w:val="-2"/>
        </w:rPr>
        <w:t>节应具备在现有市场环境下的独立运营能力，形成版权云项目的重要的支撑“点”，如：打造维权平台、</w:t>
      </w:r>
      <w:r>
        <w:rPr>
          <w:spacing w:val="-71"/>
        </w:rPr>
        <w:t> </w:t>
      </w:r>
      <w:r>
        <w:rPr>
          <w:spacing w:val="-71"/>
        </w:rPr>
      </w:r>
      <w:r>
        <w:rPr/>
        <w:t>第三方交易保障平台、云服务提供商等。选择最具公众影响力的版权内容和知名的分发渠道、投送平台</w:t>
      </w:r>
      <w:r>
        <w:rPr>
          <w:spacing w:val="-68"/>
        </w:rPr>
        <w:t> </w:t>
      </w:r>
      <w:r>
        <w:rPr>
          <w:spacing w:val="-68"/>
        </w:rPr>
      </w:r>
      <w:r>
        <w:rPr/>
        <w:t>等，融合版权云项目的监管维权及交易保障，迅速构建基于互联网或有限网络的点播分账模式，链接从</w:t>
      </w:r>
      <w:r>
        <w:rPr>
          <w:spacing w:val="-68"/>
        </w:rPr>
        <w:t> </w:t>
      </w:r>
      <w:r>
        <w:rPr>
          <w:spacing w:val="-68"/>
        </w:rPr>
      </w:r>
      <w:r>
        <w:rPr>
          <w:rFonts w:ascii="宋体" w:hAnsi="宋体" w:cs="宋体" w:eastAsia="宋体" w:hint="default"/>
        </w:rPr>
        <w:t>IP </w:t>
      </w:r>
      <w:r>
        <w:rPr/>
        <w:t>源头到各个流转、交易环节的 “线”，形成从内容、渠道到末端的新的文化消费模式，为版权云项</w:t>
      </w:r>
      <w:r>
        <w:rPr>
          <w:spacing w:val="-63"/>
        </w:rPr>
        <w:t> </w:t>
      </w:r>
      <w:r>
        <w:rPr>
          <w:spacing w:val="-63"/>
        </w:rPr>
      </w:r>
      <w:r>
        <w:rPr/>
        <w:t>目的产业集聚呈现新型的商业模式。</w:t>
      </w:r>
    </w:p>
    <w:p>
      <w:pPr>
        <w:pStyle w:val="BodyText"/>
        <w:spacing w:line="408" w:lineRule="auto" w:before="46"/>
        <w:ind w:left="1699" w:right="0"/>
        <w:jc w:val="left"/>
      </w:pPr>
      <w:r>
        <w:rPr/>
        <w:t>（</w:t>
      </w:r>
      <w:r>
        <w:rPr>
          <w:rFonts w:ascii="宋体" w:hAnsi="宋体" w:cs="宋体" w:eastAsia="宋体" w:hint="default"/>
        </w:rPr>
        <w:t>2</w:t>
      </w:r>
      <w:r>
        <w:rPr/>
        <w:t>）明确各子平台系统的定位和功能 版权云项目平台包括版权云监测维权保障平台、版权云出版发行服务平台、版权云公平交易保障平</w:t>
      </w:r>
    </w:p>
    <w:p>
      <w:pPr>
        <w:pStyle w:val="BodyText"/>
        <w:spacing w:line="408" w:lineRule="auto" w:before="46"/>
        <w:ind w:left="1699" w:right="0" w:hanging="426"/>
        <w:jc w:val="left"/>
      </w:pPr>
      <w:r>
        <w:rPr/>
        <w:t>台以及版权云比对标本数据库。 版权云监测维权保障平台包括传播监测维权系统、交易监测保障系统。主要解决保护难的问题，形</w:t>
      </w:r>
    </w:p>
    <w:p>
      <w:pPr>
        <w:pStyle w:val="BodyText"/>
        <w:spacing w:line="408" w:lineRule="auto" w:before="46"/>
        <w:ind w:left="1274" w:right="1129"/>
        <w:jc w:val="both"/>
      </w:pPr>
      <w:r>
        <w:rPr/>
        <w:t>成版权维权一站式服务能力。项目将大数据分析处理技术引入到知识产权领域，从发现、识别、追踪、</w:t>
      </w:r>
      <w:r>
        <w:rPr>
          <w:spacing w:val="-68"/>
        </w:rPr>
        <w:t> </w:t>
      </w:r>
      <w:r>
        <w:rPr>
          <w:spacing w:val="-68"/>
        </w:rPr>
      </w:r>
      <w:r>
        <w:rPr/>
        <w:t>取证、鉴定、预警和评估七个环节对侵权盗版内容进行持续跟踪、监测，并向版权人提供法律维权一站</w:t>
      </w:r>
      <w:r>
        <w:rPr>
          <w:spacing w:val="-66"/>
        </w:rPr>
        <w:t> </w:t>
      </w:r>
      <w:r>
        <w:rPr>
          <w:spacing w:val="-66"/>
        </w:rPr>
      </w:r>
      <w:r>
        <w:rPr/>
        <w:t>式服务，保障正版内容的正常流通，形成完善的版权保护机制。</w:t>
      </w:r>
    </w:p>
    <w:p>
      <w:pPr>
        <w:pStyle w:val="BodyText"/>
        <w:spacing w:line="408" w:lineRule="auto" w:before="46"/>
        <w:ind w:left="1274" w:right="1130" w:firstLine="425"/>
        <w:jc w:val="both"/>
      </w:pPr>
      <w:r>
        <w:rPr/>
        <w:t>版权云出版发行服务平台包括登记备案服务系统、网络出版服务系统、网络发行服务系统。版权云 出版发行服务平台主要解决分发难的问题，针对音视频、电子期刊、图书、游戏等数字化资源的网络出</w:t>
      </w:r>
      <w:r>
        <w:rPr>
          <w:spacing w:val="-68"/>
        </w:rPr>
        <w:t> </w:t>
      </w:r>
      <w:r>
        <w:rPr>
          <w:spacing w:val="-68"/>
        </w:rPr>
      </w:r>
      <w:r>
        <w:rPr/>
        <w:t>版、发行需求建立统一服务平台，形成网络出版发行的服务能力。建设“登记备案服务系统”、“网络</w:t>
      </w:r>
      <w:r>
        <w:rPr>
          <w:spacing w:val="-68"/>
        </w:rPr>
        <w:t> </w:t>
      </w:r>
      <w:r>
        <w:rPr>
          <w:spacing w:val="-68"/>
        </w:rPr>
      </w:r>
      <w:r>
        <w:rPr/>
        <w:t>出版服务系统”、“网络发行服务系统”。对文化产品进行统一收录并进行确权、明晰授权链、网络出</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left="1699" w:right="0" w:hanging="426"/>
        <w:jc w:val="left"/>
      </w:pPr>
      <w:r>
        <w:rPr/>
        <w:t>版标识后进入出版发行环节正式流通。 </w:t>
      </w:r>
      <w:r>
        <w:rPr>
          <w:spacing w:val="-2"/>
        </w:rPr>
        <w:t>“版权云公平交易保障平台”主要解决交易、结算难的问题，形成基于用户点击行为的“微付费”、</w:t>
      </w:r>
    </w:p>
    <w:p>
      <w:pPr>
        <w:pStyle w:val="BodyText"/>
        <w:spacing w:line="408" w:lineRule="auto" w:before="46"/>
        <w:ind w:left="1274" w:right="1130"/>
        <w:jc w:val="both"/>
      </w:pPr>
      <w:r>
        <w:rPr/>
        <w:t>“微分账”公平交易结算能力。项目拟创新引入电影票房市场成熟的“按次计费”、“分账营销”的商</w:t>
      </w:r>
      <w:r>
        <w:rPr>
          <w:spacing w:val="-68"/>
        </w:rPr>
        <w:t> </w:t>
      </w:r>
      <w:r>
        <w:rPr>
          <w:spacing w:val="-68"/>
        </w:rPr>
      </w:r>
      <w:r>
        <w:rPr/>
        <w:t>业模式，通过建设统一的文化交易结算技术标准和技术规范，构建基于用户点击行为“微付费”、“微</w:t>
      </w:r>
      <w:r>
        <w:rPr>
          <w:spacing w:val="-68"/>
        </w:rPr>
        <w:t> </w:t>
      </w:r>
      <w:r>
        <w:rPr>
          <w:spacing w:val="-68"/>
        </w:rPr>
      </w:r>
      <w:r>
        <w:rPr/>
        <w:t>分账”交易结算体系，打破现有文化交易市场一次性买断的交易行为，使版权价值回归市场理性，激发</w:t>
      </w:r>
      <w:r>
        <w:rPr>
          <w:spacing w:val="-68"/>
        </w:rPr>
        <w:t> </w:t>
      </w:r>
      <w:r>
        <w:rPr>
          <w:spacing w:val="-68"/>
        </w:rPr>
      </w:r>
      <w:r>
        <w:rPr/>
        <w:t>文化市场创作热情。</w:t>
      </w:r>
    </w:p>
    <w:p>
      <w:pPr>
        <w:pStyle w:val="BodyText"/>
        <w:spacing w:line="408" w:lineRule="auto" w:before="46"/>
        <w:ind w:left="1274" w:right="1130" w:firstLine="425"/>
        <w:jc w:val="both"/>
      </w:pPr>
      <w:r>
        <w:rPr/>
        <w:t>“国家级版权比对标本数据库”主要解决监测比对难的问题，形成统一的盗版、非法违禁内容比对 技术能力。项目对通过全网扫描发现和识别出的盗版、非法违禁内容进行分类整理，同时根据其指纹识</w:t>
      </w:r>
      <w:r>
        <w:rPr>
          <w:spacing w:val="-68"/>
        </w:rPr>
        <w:t> </w:t>
      </w:r>
      <w:r>
        <w:rPr>
          <w:spacing w:val="-68"/>
        </w:rPr>
      </w:r>
      <w:r>
        <w:rPr/>
        <w:t>别特征建立不同维度的比对标本数据库，生成网络传播识别基因，进而为整个行业提供统一的比对技术</w:t>
      </w:r>
      <w:r>
        <w:rPr>
          <w:spacing w:val="-68"/>
        </w:rPr>
        <w:t> </w:t>
      </w:r>
      <w:r>
        <w:rPr>
          <w:spacing w:val="-68"/>
        </w:rPr>
      </w:r>
      <w:r>
        <w:rPr/>
        <w:t>手段。建成后将成为全国最大的“可传播内容标本库”和“非法违禁内容标本库”，利用大数据技术可</w:t>
      </w:r>
      <w:r>
        <w:rPr>
          <w:spacing w:val="-68"/>
        </w:rPr>
        <w:t> </w:t>
      </w:r>
      <w:r>
        <w:rPr>
          <w:spacing w:val="-68"/>
        </w:rPr>
      </w:r>
      <w:r>
        <w:rPr/>
        <w:t>以绘制盗版文化制品传播地图，协助监管部门进行线下治理，从源头上保障商品安全。</w:t>
      </w:r>
    </w:p>
    <w:p>
      <w:pPr>
        <w:pStyle w:val="BodyText"/>
        <w:spacing w:line="408" w:lineRule="auto" w:before="46"/>
        <w:ind w:left="1274" w:right="0" w:firstLine="425"/>
        <w:jc w:val="left"/>
      </w:pPr>
      <w:r>
        <w:rPr>
          <w:rFonts w:ascii="宋体" w:hAnsi="宋体" w:cs="宋体" w:eastAsia="宋体" w:hint="default"/>
        </w:rPr>
        <w:t>2016</w:t>
      </w:r>
      <w:r>
        <w:rPr>
          <w:rFonts w:ascii="宋体" w:hAnsi="宋体" w:cs="宋体" w:eastAsia="宋体" w:hint="default"/>
          <w:spacing w:val="-55"/>
        </w:rPr>
        <w:t> </w:t>
      </w:r>
      <w:r>
        <w:rPr/>
        <w:t>年，版权云项目将开展</w:t>
      </w:r>
      <w:r>
        <w:rPr>
          <w:spacing w:val="-56"/>
        </w:rPr>
        <w:t> </w:t>
      </w:r>
      <w:r>
        <w:rPr>
          <w:rFonts w:ascii="宋体" w:hAnsi="宋体" w:cs="宋体" w:eastAsia="宋体" w:hint="default"/>
        </w:rPr>
        <w:t>ICD</w:t>
      </w:r>
      <w:r>
        <w:rPr>
          <w:rFonts w:ascii="宋体" w:hAnsi="宋体" w:cs="宋体" w:eastAsia="宋体" w:hint="default"/>
          <w:spacing w:val="-56"/>
        </w:rPr>
        <w:t> </w:t>
      </w:r>
      <w:r>
        <w:rPr/>
        <w:t>数据中心的建设运营，全面启动《部省合作协议》与相关部门的工 </w:t>
      </w:r>
      <w:r>
        <w:rPr>
          <w:spacing w:val="-2"/>
        </w:rPr>
        <w:t>作对接。开展资质牌照申领的工作；在数字版权产业链上广泛建立联盟体系，选择适合的标的进行并购；</w:t>
      </w:r>
      <w:r>
        <w:rPr>
          <w:spacing w:val="-73"/>
        </w:rPr>
        <w:t> </w:t>
      </w:r>
      <w:r>
        <w:rPr>
          <w:spacing w:val="-73"/>
        </w:rPr>
      </w:r>
      <w:r>
        <w:rPr/>
        <w:t>快速体现版权云平台的能力体系；同时加速组建中云北京分公司以更好的开展产业建设工作。</w:t>
      </w:r>
    </w:p>
    <w:p>
      <w:pPr>
        <w:pStyle w:val="BodyText"/>
        <w:spacing w:line="408" w:lineRule="auto" w:before="46"/>
        <w:ind w:left="1699" w:right="0"/>
        <w:jc w:val="left"/>
      </w:pPr>
      <w:r>
        <w:rPr>
          <w:rFonts w:ascii="宋体" w:hAnsi="宋体" w:cs="宋体" w:eastAsia="宋体" w:hint="default"/>
        </w:rPr>
        <w:t>3</w:t>
      </w:r>
      <w:r>
        <w:rPr/>
        <w:t>、健康管理业务板块 随着国家对于大健康产业的关注和引导，以及南京云商天下进入健康管理领域后资源的聚合及市场</w:t>
      </w:r>
    </w:p>
    <w:p>
      <w:pPr>
        <w:pStyle w:val="BodyText"/>
        <w:spacing w:line="408" w:lineRule="auto" w:before="46"/>
        <w:ind w:left="1274" w:right="1130"/>
        <w:jc w:val="both"/>
      </w:pPr>
      <w:r>
        <w:rPr/>
        <w:t>的探索，南京云商天下未来定位于生物信息健康管理、远程医疗、康复医疗、临床医疗大数据、公共卫</w:t>
      </w:r>
      <w:r>
        <w:rPr>
          <w:spacing w:val="-68"/>
        </w:rPr>
        <w:t> </w:t>
      </w:r>
      <w:r>
        <w:rPr>
          <w:spacing w:val="-68"/>
        </w:rPr>
      </w:r>
      <w:r>
        <w:rPr/>
        <w:t>生领域的服务集成商，为大健康行业提供一体化软硬件系统解决方案。我们对“健康管理”的界定为：</w:t>
      </w:r>
      <w:r>
        <w:rPr>
          <w:spacing w:val="-68"/>
        </w:rPr>
        <w:t> </w:t>
      </w:r>
      <w:r>
        <w:rPr>
          <w:spacing w:val="-68"/>
        </w:rPr>
      </w:r>
      <w:r>
        <w:rPr/>
        <w:t>通过使用新一代的信息通信技术（云计算、物联网、移动互联网、大数据），为用户提供更智能化的健</w:t>
      </w:r>
      <w:r>
        <w:rPr>
          <w:spacing w:val="-68"/>
        </w:rPr>
        <w:t> </w:t>
      </w:r>
      <w:r>
        <w:rPr>
          <w:spacing w:val="-68"/>
        </w:rPr>
      </w:r>
      <w:r>
        <w:rPr/>
        <w:t>康服务，包括医疗服务、药品、医械等支撑服务，降低健康成本，促进用户身心健康的目标。</w:t>
      </w:r>
    </w:p>
    <w:p>
      <w:pPr>
        <w:pStyle w:val="BodyText"/>
        <w:spacing w:line="408" w:lineRule="auto" w:before="46"/>
        <w:ind w:left="1274" w:right="1013" w:firstLine="425"/>
        <w:jc w:val="left"/>
      </w:pPr>
      <w:r>
        <w:rPr>
          <w:rFonts w:ascii="宋体" w:hAnsi="宋体" w:cs="宋体" w:eastAsia="宋体" w:hint="default"/>
        </w:rPr>
        <w:t>2016 </w:t>
      </w:r>
      <w:r>
        <w:rPr/>
        <w:t>年，南京云商天下将聚焦于诊断（</w:t>
      </w:r>
      <w:r>
        <w:rPr>
          <w:rFonts w:ascii="宋体" w:hAnsi="宋体" w:cs="宋体" w:eastAsia="宋体" w:hint="default"/>
        </w:rPr>
        <w:t>Diagnostics</w:t>
      </w:r>
      <w:r>
        <w:rPr/>
        <w:t>）</w:t>
      </w:r>
      <w:r>
        <w:rPr>
          <w:rFonts w:ascii="宋体" w:hAnsi="宋体" w:cs="宋体" w:eastAsia="宋体" w:hint="default"/>
        </w:rPr>
        <w:t>+</w:t>
      </w:r>
      <w:r>
        <w:rPr/>
        <w:t>健康检测设备</w:t>
      </w:r>
      <w:r>
        <w:rPr>
          <w:rFonts w:ascii="宋体" w:hAnsi="宋体" w:cs="宋体" w:eastAsia="宋体" w:hint="default"/>
        </w:rPr>
        <w:t>(Device)+</w:t>
      </w:r>
      <w:r>
        <w:rPr>
          <w:rFonts w:ascii="宋体" w:hAnsi="宋体" w:cs="宋体" w:eastAsia="宋体" w:hint="default"/>
          <w:spacing w:val="-68"/>
        </w:rPr>
        <w:t> </w:t>
      </w:r>
      <w:r>
        <w:rPr/>
        <w:t>互联网（</w:t>
      </w:r>
      <w:r>
        <w:rPr>
          <w:rFonts w:ascii="宋体" w:hAnsi="宋体" w:cs="宋体" w:eastAsia="宋体" w:hint="default"/>
        </w:rPr>
        <w:t>Digital</w:t>
      </w:r>
      <w:r>
        <w:rPr/>
        <w:t>） 的“</w:t>
      </w:r>
      <w:r>
        <w:rPr>
          <w:rFonts w:ascii="宋体" w:hAnsi="宋体" w:cs="宋体" w:eastAsia="宋体" w:hint="default"/>
        </w:rPr>
        <w:t>3D</w:t>
      </w:r>
      <w:r>
        <w:rPr>
          <w:rFonts w:ascii="宋体" w:hAnsi="宋体" w:cs="宋体" w:eastAsia="宋体" w:hint="default"/>
          <w:spacing w:val="-57"/>
        </w:rPr>
        <w:t> </w:t>
      </w:r>
      <w:r>
        <w:rPr/>
        <w:t>方向”。健康管理的最佳使用场景是在诊所、药店、社区、家庭；继续完善用户通过健康检测设 备</w:t>
      </w:r>
      <w:r>
        <w:rPr>
          <w:rFonts w:ascii="宋体" w:hAnsi="宋体" w:cs="宋体" w:eastAsia="宋体" w:hint="default"/>
        </w:rPr>
        <w:t>(Device)</w:t>
      </w:r>
      <w:r>
        <w:rPr/>
        <w:t>的用户体验，实时持续采集个人的血压、血糖、心电、血氧、尿酸、总胆固醇、骨密度、身</w:t>
      </w:r>
      <w:r>
        <w:rPr>
          <w:spacing w:val="-64"/>
        </w:rPr>
        <w:t> </w:t>
      </w:r>
      <w:r>
        <w:rPr>
          <w:spacing w:val="-10"/>
        </w:rPr>
        <w:t>高、体重等生理数据。</w:t>
      </w:r>
      <w:r>
        <w:rPr>
          <w:rFonts w:ascii="宋体" w:hAnsi="宋体" w:cs="宋体" w:eastAsia="宋体" w:hint="default"/>
          <w:spacing w:val="-10"/>
        </w:rPr>
        <w:t>+</w:t>
      </w:r>
      <w:r>
        <w:rPr>
          <w:rFonts w:ascii="宋体" w:hAnsi="宋体" w:cs="宋体" w:eastAsia="宋体" w:hint="default"/>
          <w:spacing w:val="10"/>
        </w:rPr>
        <w:t> </w:t>
      </w:r>
      <w:r>
        <w:rPr>
          <w:spacing w:val="-6"/>
        </w:rPr>
        <w:t>互联网（</w:t>
      </w:r>
      <w:r>
        <w:rPr>
          <w:rFonts w:ascii="宋体" w:hAnsi="宋体" w:cs="宋体" w:eastAsia="宋体" w:hint="default"/>
          <w:spacing w:val="-6"/>
        </w:rPr>
        <w:t>Digital</w:t>
      </w:r>
      <w:r>
        <w:rPr>
          <w:spacing w:val="-6"/>
        </w:rPr>
        <w:t>），数据集中三网融合上传到健康云平台。</w:t>
      </w:r>
      <w:r>
        <w:rPr>
          <w:rFonts w:ascii="宋体" w:hAnsi="宋体" w:cs="宋体" w:eastAsia="宋体" w:hint="default"/>
          <w:spacing w:val="-6"/>
        </w:rPr>
        <w:t>+</w:t>
      </w:r>
      <w:r>
        <w:rPr>
          <w:spacing w:val="-6"/>
        </w:rPr>
        <w:t>诊断（</w:t>
      </w:r>
      <w:r>
        <w:rPr>
          <w:rFonts w:ascii="宋体" w:hAnsi="宋体" w:cs="宋体" w:eastAsia="宋体" w:hint="default"/>
          <w:spacing w:val="-6"/>
        </w:rPr>
        <w:t>Diagnostics</w:t>
      </w:r>
      <w:r>
        <w:rPr>
          <w:spacing w:val="-6"/>
        </w:rPr>
        <w:t>）</w:t>
      </w:r>
    </w:p>
    <w:p>
      <w:pPr>
        <w:pStyle w:val="BodyText"/>
        <w:spacing w:line="408" w:lineRule="auto" w:before="46"/>
        <w:ind w:left="1274" w:right="1131"/>
        <w:jc w:val="both"/>
      </w:pPr>
      <w:r>
        <w:rPr>
          <w:rFonts w:ascii="宋体" w:hAnsi="宋体" w:cs="宋体" w:eastAsia="宋体" w:hint="default"/>
          <w:spacing w:val="-2"/>
        </w:rPr>
        <w:t>+</w:t>
      </w:r>
      <w:r>
        <w:rPr>
          <w:spacing w:val="-2"/>
        </w:rPr>
        <w:t>互动，根据数据的变化为用户提供个性化的咨询与教育。提升医生或药师的诊疗与咨询和用户自我健康</w:t>
      </w:r>
      <w:r>
        <w:rPr>
          <w:spacing w:val="-71"/>
        </w:rPr>
        <w:t> </w:t>
      </w:r>
      <w:r>
        <w:rPr>
          <w:spacing w:val="-71"/>
        </w:rPr>
      </w:r>
      <w:r>
        <w:rPr/>
        <w:t>的管理能力。构建一个覆盖预防、诊断、治疗、康复等环节的一体化健康管理体系。</w:t>
      </w:r>
    </w:p>
    <w:p>
      <w:pPr>
        <w:pStyle w:val="BodyText"/>
        <w:spacing w:line="408" w:lineRule="auto" w:before="46"/>
        <w:ind w:left="1274" w:right="1130" w:firstLine="425"/>
        <w:jc w:val="both"/>
      </w:pPr>
      <w:r>
        <w:rPr/>
        <w:t>随着</w:t>
      </w:r>
      <w:r>
        <w:rPr>
          <w:spacing w:val="-83"/>
        </w:rPr>
        <w:t> </w:t>
      </w:r>
      <w:r>
        <w:rPr>
          <w:rFonts w:ascii="宋体" w:hAnsi="宋体" w:cs="宋体" w:eastAsia="宋体" w:hint="default"/>
        </w:rPr>
        <w:t>2015</w:t>
      </w:r>
      <w:r>
        <w:rPr>
          <w:rFonts w:ascii="宋体" w:hAnsi="宋体" w:cs="宋体" w:eastAsia="宋体" w:hint="default"/>
          <w:spacing w:val="-83"/>
        </w:rPr>
        <w:t> </w:t>
      </w:r>
      <w:r>
        <w:rPr/>
        <w:t>年中标百信连锁药店的健康体检一体机项目的首次招标，南京云商天下将持续跟进该项目 后续招标工作，并计划以连锁药店为试点，在药店设立健康体检一体机和可穿戴式健康检测设备，通过</w:t>
      </w:r>
      <w:r>
        <w:rPr>
          <w:spacing w:val="-68"/>
        </w:rPr>
        <w:t> </w:t>
      </w:r>
      <w:r>
        <w:rPr>
          <w:spacing w:val="-68"/>
        </w:rPr>
      </w:r>
      <w:r>
        <w:rPr/>
        <w:t>互联网技术将收集的生理信息数据上传至云平台，汇集成健康大数据库，将之建设成连接药店，诊所、</w:t>
      </w:r>
      <w:r>
        <w:rPr>
          <w:spacing w:val="-68"/>
        </w:rPr>
        <w:t> </w:t>
      </w:r>
      <w:r>
        <w:rPr>
          <w:spacing w:val="-68"/>
        </w:rPr>
      </w:r>
      <w:r>
        <w:rPr/>
        <w:t>社区和家庭的健康管理服务平台。</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pStyle w:val="BodyText"/>
        <w:spacing w:line="410" w:lineRule="auto" w:before="184"/>
        <w:ind w:right="0" w:firstLine="565"/>
        <w:jc w:val="left"/>
        <w:rPr>
          <w:rFonts w:ascii="宋体" w:hAnsi="宋体" w:cs="宋体" w:eastAsia="宋体" w:hint="default"/>
          <w:sz w:val="24"/>
          <w:szCs w:val="24"/>
        </w:rPr>
      </w:pPr>
      <w:r>
        <w:rPr>
          <w:rFonts w:ascii="宋体" w:hAnsi="宋体" w:cs="宋体" w:eastAsia="宋体" w:hint="default"/>
        </w:rPr>
        <w:t>2016</w:t>
      </w:r>
      <w:r>
        <w:rPr>
          <w:rFonts w:ascii="宋体" w:hAnsi="宋体" w:cs="宋体" w:eastAsia="宋体" w:hint="default"/>
          <w:spacing w:val="-62"/>
        </w:rPr>
        <w:t> </w:t>
      </w:r>
      <w:r>
        <w:rPr/>
        <w:t>年南京云商天下将充分利用公司和南京医科大学合作成立的南医大光一智慧健康与医疗研究院 平台在精准医疗方向进行重点研发。精准医疗是个性化的治疗，针对不同人的个体特征，疾病的病症类</w:t>
      </w:r>
      <w:r>
        <w:rPr>
          <w:spacing w:val="-68"/>
        </w:rPr>
        <w:t> </w:t>
      </w:r>
      <w:r>
        <w:rPr>
          <w:spacing w:val="-68"/>
        </w:rPr>
      </w:r>
      <w:r>
        <w:rPr/>
        <w:t>型，采取不同的治疗方案，是实现治疗效果最大化和副作用最小化的医疗模式，涉及到临床医学、药学、</w:t>
      </w:r>
      <w:r>
        <w:rPr/>
        <w:t> 护理学、预防学等领域。我们将信息通信技术与诊疗技术手段和体系的优化与结合南医大在基因测序基</w:t>
      </w:r>
      <w:r>
        <w:rPr>
          <w:spacing w:val="-68"/>
        </w:rPr>
        <w:t> </w:t>
      </w:r>
      <w:r>
        <w:rPr>
          <w:spacing w:val="-68"/>
        </w:rPr>
      </w:r>
      <w:r>
        <w:rPr/>
        <w:t>础上的精准个性化诊疗手段和药物研发；在业务规划上，南京云商天下将用药服务平台的建设及业务延</w:t>
      </w:r>
      <w:r>
        <w:rPr>
          <w:spacing w:val="-68"/>
        </w:rPr>
        <w:t> </w:t>
      </w:r>
      <w:r>
        <w:rPr>
          <w:spacing w:val="-68"/>
        </w:rPr>
      </w:r>
      <w:r>
        <w:rPr/>
        <w:t>展，探索连锁药店</w:t>
      </w:r>
      <w:r>
        <w:rPr>
          <w:rFonts w:ascii="宋体" w:hAnsi="宋体" w:cs="宋体" w:eastAsia="宋体" w:hint="default"/>
        </w:rPr>
        <w:t>+</w:t>
      </w:r>
      <w:r>
        <w:rPr/>
        <w:t>互联网问诊模式的落地，协助药店增强辅助医疗的能力，扩大客流会让用户形成更强 的黏性。把用户从就医到康复管理形成闭环，打通了医院与医药环节，与连锁药店探索运营合作新模式。 </w:t>
      </w:r>
      <w:bookmarkStart w:name="十、接待调研、沟通、采访等活动情况" w:id="58"/>
      <w:bookmarkEnd w:id="58"/>
      <w:r>
        <w:rPr/>
      </w:r>
      <w:r>
        <w:rPr>
          <w:rFonts w:ascii="宋体" w:hAnsi="宋体" w:cs="宋体" w:eastAsia="宋体" w:hint="default"/>
          <w:b/>
          <w:bCs/>
          <w:sz w:val="24"/>
          <w:szCs w:val="24"/>
        </w:rPr>
        <w:t>十、接待调研、沟通、采访等活动情况</w:t>
      </w:r>
      <w:r>
        <w:rPr>
          <w:rFonts w:ascii="宋体" w:hAnsi="宋体" w:cs="宋体" w:eastAsia="宋体" w:hint="default"/>
          <w:sz w:val="24"/>
          <w:szCs w:val="24"/>
        </w:rPr>
      </w:r>
    </w:p>
    <w:p>
      <w:pPr>
        <w:spacing w:before="161"/>
        <w:ind w:left="1133" w:right="0" w:firstLine="0"/>
        <w:jc w:val="left"/>
        <w:rPr>
          <w:rFonts w:ascii="宋体" w:hAnsi="宋体" w:cs="宋体" w:eastAsia="宋体" w:hint="default"/>
          <w:sz w:val="20"/>
          <w:szCs w:val="20"/>
        </w:rPr>
      </w:pPr>
      <w:bookmarkStart w:name="1、报告期内接待调研、沟通、采访等活动登记表" w:id="59"/>
      <w:bookmarkEnd w:id="59"/>
      <w:r>
        <w:rPr/>
      </w:r>
      <w:r>
        <w:rPr>
          <w:rFonts w:ascii="宋体" w:hAnsi="宋体" w:cs="宋体" w:eastAsia="宋体" w:hint="default"/>
          <w:b/>
          <w:bCs/>
          <w:sz w:val="20"/>
          <w:szCs w:val="20"/>
        </w:rPr>
        <w:t>1</w:t>
      </w:r>
      <w:r>
        <w:rPr>
          <w:rFonts w:ascii="宋体" w:hAnsi="宋体" w:cs="宋体" w:eastAsia="宋体" w:hint="default"/>
          <w:b/>
          <w:bCs/>
          <w:sz w:val="20"/>
          <w:szCs w:val="20"/>
        </w:rPr>
        <w:t>、报告期内接待调研、沟通、采访等活动登记表</w:t>
      </w:r>
      <w:r>
        <w:rPr>
          <w:rFonts w:ascii="宋体" w:hAnsi="宋体" w:cs="宋体" w:eastAsia="宋体" w:hint="default"/>
          <w:sz w:val="20"/>
          <w:szCs w:val="20"/>
        </w:rPr>
      </w:r>
    </w:p>
    <w:p>
      <w:pPr>
        <w:spacing w:line="240" w:lineRule="auto" w:before="3"/>
        <w:rPr>
          <w:rFonts w:ascii="宋体" w:hAnsi="宋体" w:cs="宋体" w:eastAsia="宋体" w:hint="default"/>
          <w:b/>
          <w:bCs/>
          <w:sz w:val="18"/>
          <w:szCs w:val="18"/>
        </w:rPr>
      </w:pPr>
    </w:p>
    <w:p>
      <w:pPr>
        <w:pStyle w:val="BodyText"/>
        <w:spacing w:line="240" w:lineRule="auto"/>
        <w:ind w:right="0"/>
        <w:jc w:val="left"/>
      </w:pPr>
      <w:r>
        <w:rPr/>
        <w:t>√ 适用 □</w:t>
      </w:r>
      <w:r>
        <w:rPr>
          <w:spacing w:val="-1"/>
        </w:rPr>
        <w:t> </w:t>
      </w:r>
      <w:r>
        <w:rPr/>
        <w:t>不适用</w:t>
      </w:r>
    </w:p>
    <w:p>
      <w:pPr>
        <w:spacing w:line="240" w:lineRule="auto" w:before="12"/>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2179"/>
        <w:gridCol w:w="2177"/>
        <w:gridCol w:w="2177"/>
        <w:gridCol w:w="3037"/>
      </w:tblGrid>
      <w:tr>
        <w:trPr>
          <w:trHeight w:val="415" w:hRule="exact"/>
        </w:trPr>
        <w:tc>
          <w:tcPr>
            <w:tcW w:w="217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719"/>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7" w:hRule="exact"/>
        </w:trPr>
        <w:tc>
          <w:tcPr>
            <w:tcW w:w="21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719"/>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hyperlink r:id="rId11">
              <w:r>
                <w:rPr>
                  <w:rFonts w:ascii="宋体"/>
                  <w:sz w:val="18"/>
                </w:rPr>
                <w:t>http://www.cninfo.com.cn</w:t>
              </w:r>
            </w:hyperlink>
          </w:p>
        </w:tc>
      </w:tr>
      <w:tr>
        <w:trPr>
          <w:trHeight w:val="407" w:hRule="exact"/>
        </w:trPr>
        <w:tc>
          <w:tcPr>
            <w:tcW w:w="21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719"/>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hyperlink r:id="rId11">
              <w:r>
                <w:rPr>
                  <w:rFonts w:ascii="宋体"/>
                  <w:sz w:val="18"/>
                </w:rPr>
                <w:t>http://www.cninfo.com.cn</w:t>
              </w:r>
            </w:hyperlink>
          </w:p>
        </w:tc>
      </w:tr>
      <w:tr>
        <w:trPr>
          <w:trHeight w:val="407" w:hRule="exact"/>
        </w:trPr>
        <w:tc>
          <w:tcPr>
            <w:tcW w:w="21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719"/>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hyperlink r:id="rId11">
              <w:r>
                <w:rPr>
                  <w:rFonts w:ascii="宋体"/>
                  <w:sz w:val="18"/>
                </w:rPr>
                <w:t>http://www.cninfo.com.cn</w:t>
              </w:r>
            </w:hyperlink>
          </w:p>
        </w:tc>
      </w:tr>
      <w:tr>
        <w:trPr>
          <w:trHeight w:val="415" w:hRule="exact"/>
        </w:trPr>
        <w:tc>
          <w:tcPr>
            <w:tcW w:w="217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719"/>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9" w:right="0"/>
              <w:jc w:val="center"/>
              <w:rPr>
                <w:rFonts w:ascii="宋体" w:hAnsi="宋体" w:cs="宋体" w:eastAsia="宋体" w:hint="default"/>
                <w:sz w:val="18"/>
                <w:szCs w:val="18"/>
              </w:rPr>
            </w:pPr>
            <w:hyperlink r:id="rId11">
              <w:r>
                <w:rPr>
                  <w:rFonts w:ascii="宋体"/>
                  <w:sz w:val="18"/>
                </w:rPr>
                <w:t>http://www.cninfo.com.cn</w:t>
              </w:r>
            </w:hyperlink>
          </w:p>
        </w:tc>
      </w:tr>
    </w:tbl>
    <w:p>
      <w:pPr>
        <w:spacing w:after="0" w:line="240" w:lineRule="auto"/>
        <w:jc w:val="center"/>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right="1130"/>
        <w:jc w:val="center"/>
        <w:rPr>
          <w:b w:val="0"/>
          <w:bCs w:val="0"/>
        </w:rPr>
      </w:pPr>
      <w:bookmarkStart w:name="第五节 重要事项" w:id="60"/>
      <w:bookmarkEnd w:id="60"/>
      <w:r>
        <w:rPr>
          <w:b w:val="0"/>
          <w:bCs w:val="0"/>
        </w:rPr>
      </w:r>
      <w:bookmarkStart w:name="_bookmark4" w:id="61"/>
      <w:bookmarkEnd w:id="61"/>
      <w:r>
        <w:rPr>
          <w:b w:val="0"/>
          <w:bCs w:val="0"/>
        </w:rPr>
      </w:r>
      <w:r>
        <w:rPr/>
        <w:t>第五节</w:t>
      </w:r>
      <w:r>
        <w:rPr>
          <w:spacing w:val="-5"/>
        </w:rPr>
        <w:t> </w:t>
      </w:r>
      <w:r>
        <w:rPr/>
        <w:t>重要事项</w:t>
      </w:r>
      <w:r>
        <w:rPr>
          <w:b w:val="0"/>
          <w:bCs w:val="0"/>
        </w:rPr>
      </w:r>
    </w:p>
    <w:p>
      <w:pPr>
        <w:spacing w:line="240" w:lineRule="auto" w:before="10"/>
        <w:rPr>
          <w:rFonts w:ascii="宋体" w:hAnsi="宋体" w:cs="宋体" w:eastAsia="宋体" w:hint="default"/>
          <w:b/>
          <w:bCs/>
          <w:sz w:val="44"/>
          <w:szCs w:val="44"/>
        </w:rPr>
      </w:pPr>
    </w:p>
    <w:p>
      <w:pPr>
        <w:pStyle w:val="Heading2"/>
        <w:spacing w:line="240" w:lineRule="auto" w:before="0"/>
        <w:ind w:right="0"/>
        <w:jc w:val="both"/>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pStyle w:val="BodyText"/>
        <w:spacing w:line="240" w:lineRule="auto" w:before="177"/>
        <w:ind w:right="0"/>
        <w:jc w:val="both"/>
      </w:pPr>
      <w:r>
        <w:rPr/>
        <w:t>报告期内普通股利润分配政策，特别是现金分红政策的制定、执行或调整情况</w:t>
      </w:r>
    </w:p>
    <w:p>
      <w:pPr>
        <w:spacing w:line="240" w:lineRule="auto" w:before="10"/>
        <w:rPr>
          <w:rFonts w:ascii="宋体" w:hAnsi="宋体" w:cs="宋体" w:eastAsia="宋体" w:hint="default"/>
          <w:sz w:val="14"/>
          <w:szCs w:val="14"/>
        </w:rPr>
      </w:pPr>
    </w:p>
    <w:p>
      <w:pPr>
        <w:pStyle w:val="BodyText"/>
        <w:spacing w:line="408" w:lineRule="auto"/>
        <w:ind w:left="1554" w:right="0" w:hanging="420"/>
        <w:jc w:val="left"/>
      </w:pPr>
      <w:r>
        <w:rPr/>
        <w:t>√ 适用 □</w:t>
      </w:r>
      <w:r>
        <w:rPr>
          <w:spacing w:val="-1"/>
        </w:rPr>
        <w:t> </w:t>
      </w:r>
      <w:r>
        <w:rPr/>
        <w:t>不适用</w:t>
      </w:r>
      <w:r>
        <w:rPr/>
        <w:t> </w:t>
      </w:r>
      <w:r>
        <w:rPr>
          <w:spacing w:val="-1"/>
        </w:rPr>
        <w:t>报告期内，公司利润分配政策未发生制定、调整情况。公司严格按照《公司章程》中相关利润分配政</w:t>
      </w:r>
    </w:p>
    <w:p>
      <w:pPr>
        <w:pStyle w:val="BodyText"/>
        <w:spacing w:line="408" w:lineRule="auto" w:before="46"/>
        <w:ind w:left="1134" w:right="1131"/>
        <w:jc w:val="both"/>
      </w:pPr>
      <w:r>
        <w:rPr>
          <w:spacing w:val="-1"/>
        </w:rPr>
        <w:t>策和审议程序执行利润分配方案，分红标准和分红比例明确清晰，相关的决策程序和机制完备；相关议案</w:t>
      </w:r>
      <w:r>
        <w:rPr>
          <w:spacing w:val="-83"/>
        </w:rPr>
        <w:t> </w:t>
      </w:r>
      <w:r>
        <w:rPr>
          <w:spacing w:val="-83"/>
        </w:rPr>
      </w:r>
      <w:r>
        <w:rPr>
          <w:spacing w:val="-1"/>
        </w:rPr>
        <w:t>经由公司董事会、监事会审议后提交股东大会审议，公司独立董事发表了独立意见；并在分配方案审议通</w:t>
      </w:r>
      <w:r>
        <w:rPr>
          <w:spacing w:val="-83"/>
        </w:rPr>
        <w:t> </w:t>
      </w:r>
      <w:r>
        <w:rPr>
          <w:spacing w:val="-83"/>
        </w:rPr>
      </w:r>
      <w:r>
        <w:rPr/>
        <w:t>过后的</w:t>
      </w:r>
      <w:r>
        <w:rPr>
          <w:rFonts w:ascii="宋体" w:hAnsi="宋体" w:cs="宋体" w:eastAsia="宋体" w:hint="default"/>
        </w:rPr>
        <w:t>2</w:t>
      </w:r>
      <w:r>
        <w:rPr/>
        <w:t>个月内进行了权益分派，保证了全体股东的利益。</w:t>
      </w:r>
    </w:p>
    <w:p>
      <w:pPr>
        <w:pStyle w:val="BodyText"/>
        <w:spacing w:line="408" w:lineRule="auto" w:before="46"/>
        <w:ind w:right="1132" w:firstLine="420"/>
        <w:jc w:val="both"/>
      </w:pP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15</w:t>
      </w:r>
      <w:r>
        <w:rPr/>
        <w:t>日，公司</w:t>
      </w:r>
      <w:r>
        <w:rPr>
          <w:rFonts w:ascii="宋体" w:hAnsi="宋体" w:cs="宋体" w:eastAsia="宋体" w:hint="default"/>
        </w:rPr>
        <w:t>2014</w:t>
      </w:r>
      <w:r>
        <w:rPr/>
        <w:t>年度股东大会审议批准了《关于</w:t>
      </w:r>
      <w:r>
        <w:rPr>
          <w:rFonts w:ascii="宋体" w:hAnsi="宋体" w:cs="宋体" w:eastAsia="宋体" w:hint="default"/>
        </w:rPr>
        <w:t>2014</w:t>
      </w:r>
      <w:r>
        <w:rPr/>
        <w:t>年度利润分配的议案》，以公司总股 </w:t>
      </w:r>
      <w:r>
        <w:rPr>
          <w:spacing w:val="-6"/>
        </w:rPr>
        <w:t>本</w:t>
      </w:r>
      <w:r>
        <w:rPr>
          <w:rFonts w:ascii="宋体" w:hAnsi="宋体" w:cs="宋体" w:eastAsia="宋体" w:hint="default"/>
          <w:spacing w:val="-6"/>
        </w:rPr>
        <w:t>161,221,848</w:t>
      </w:r>
      <w:r>
        <w:rPr>
          <w:spacing w:val="-6"/>
        </w:rPr>
        <w:t>股为基数，向全体股东每</w:t>
      </w:r>
      <w:r>
        <w:rPr>
          <w:rFonts w:ascii="宋体" w:hAnsi="宋体" w:cs="宋体" w:eastAsia="宋体" w:hint="default"/>
          <w:spacing w:val="-6"/>
        </w:rPr>
        <w:t>10</w:t>
      </w:r>
      <w:r>
        <w:rPr>
          <w:spacing w:val="-6"/>
        </w:rPr>
        <w:t>股派发现金红利</w:t>
      </w:r>
      <w:r>
        <w:rPr>
          <w:rFonts w:ascii="宋体" w:hAnsi="宋体" w:cs="宋体" w:eastAsia="宋体" w:hint="default"/>
          <w:spacing w:val="-6"/>
        </w:rPr>
        <w:t>0.40</w:t>
      </w:r>
      <w:r>
        <w:rPr>
          <w:spacing w:val="-6"/>
        </w:rPr>
        <w:t>元（含税），共计派发现金红利</w:t>
      </w:r>
      <w:r>
        <w:rPr>
          <w:rFonts w:ascii="宋体" w:hAnsi="宋体" w:cs="宋体" w:eastAsia="宋体" w:hint="default"/>
          <w:spacing w:val="-6"/>
        </w:rPr>
        <w:t>6,448,873.92</w:t>
      </w:r>
      <w:r>
        <w:rPr>
          <w:rFonts w:ascii="宋体" w:hAnsi="宋体" w:cs="宋体" w:eastAsia="宋体" w:hint="default"/>
          <w:spacing w:val="-73"/>
        </w:rPr>
        <w:t> </w:t>
      </w:r>
      <w:r>
        <w:rPr/>
        <w:t>元。上述利润方案于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26</w:t>
      </w:r>
      <w:r>
        <w:rPr/>
        <w:t>日实施完毕。</w:t>
      </w:r>
    </w:p>
    <w:tbl>
      <w:tblPr>
        <w:tblW w:w="0" w:type="auto"/>
        <w:jc w:val="left"/>
        <w:tblInd w:w="1125" w:type="dxa"/>
        <w:tblLayout w:type="fixed"/>
        <w:tblCellMar>
          <w:top w:w="0" w:type="dxa"/>
          <w:left w:w="0" w:type="dxa"/>
          <w:bottom w:w="0" w:type="dxa"/>
          <w:right w:w="0" w:type="dxa"/>
        </w:tblCellMar>
        <w:tblLook w:val="01E0"/>
      </w:tblPr>
      <w:tblGrid>
        <w:gridCol w:w="5088"/>
        <w:gridCol w:w="4475"/>
      </w:tblGrid>
      <w:tr>
        <w:trPr>
          <w:trHeight w:val="407" w:hRule="exact"/>
        </w:trPr>
        <w:tc>
          <w:tcPr>
            <w:tcW w:w="9562" w:type="dxa"/>
            <w:gridSpan w:val="2"/>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34"/>
              <w:ind w:right="4"/>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15"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1"/>
              <w:ind w:left="6"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475"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41"/>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6"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475"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34"/>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6"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475"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35"/>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6"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475"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35"/>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35"/>
              <w:ind w:left="6" w:right="16"/>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 到了充分保护：</w:t>
            </w:r>
          </w:p>
        </w:tc>
        <w:tc>
          <w:tcPr>
            <w:tcW w:w="4475"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4" w:hRule="exact"/>
        </w:trPr>
        <w:tc>
          <w:tcPr>
            <w:tcW w:w="50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34"/>
              <w:ind w:left="6"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475"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34"/>
              <w:ind w:left="8"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6"/>
        <w:ind w:left="1134" w:right="0"/>
        <w:jc w:val="left"/>
      </w:pPr>
      <w:r>
        <w:rPr/>
        <w:t>公司报告期利润分配预案及资本公积金转增股本预案与公司章程和分红管理办法等的相关规定一致</w:t>
      </w:r>
    </w:p>
    <w:p>
      <w:pPr>
        <w:spacing w:line="240" w:lineRule="auto" w:before="10"/>
        <w:rPr>
          <w:rFonts w:ascii="宋体" w:hAnsi="宋体" w:cs="宋体" w:eastAsia="宋体" w:hint="default"/>
          <w:sz w:val="14"/>
          <w:szCs w:val="14"/>
        </w:rPr>
      </w:pPr>
    </w:p>
    <w:p>
      <w:pPr>
        <w:pStyle w:val="BodyText"/>
        <w:spacing w:line="408" w:lineRule="auto"/>
        <w:ind w:right="3193"/>
        <w:jc w:val="left"/>
      </w:pPr>
      <w:r>
        <w:rPr/>
        <w:t>√ 是 □ 否 □</w:t>
      </w:r>
      <w:r>
        <w:rPr>
          <w:spacing w:val="-1"/>
        </w:rPr>
        <w:t> </w:t>
      </w:r>
      <w:r>
        <w:rPr/>
        <w:t>不适用</w:t>
      </w:r>
      <w:r>
        <w:rPr/>
        <w:t> 公司报告期利润分配预案及资本公积金转增股本预案符合公司章程等的相关规定。 本年度利润分配及资本公积金转增股本预案</w:t>
      </w:r>
    </w:p>
    <w:p>
      <w:pPr>
        <w:spacing w:before="71"/>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118" w:type="dxa"/>
        <w:tblLayout w:type="fixed"/>
        <w:tblCellMar>
          <w:top w:w="0" w:type="dxa"/>
          <w:left w:w="0" w:type="dxa"/>
          <w:bottom w:w="0" w:type="dxa"/>
          <w:right w:w="0" w:type="dxa"/>
        </w:tblCellMar>
        <w:tblLook w:val="01E0"/>
      </w:tblPr>
      <w:tblGrid>
        <w:gridCol w:w="5105"/>
        <w:gridCol w:w="4464"/>
      </w:tblGrid>
      <w:tr>
        <w:trPr>
          <w:trHeight w:val="414" w:hRule="exact"/>
        </w:trPr>
        <w:tc>
          <w:tcPr>
            <w:tcW w:w="510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446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w:t>
            </w:r>
          </w:p>
        </w:tc>
      </w:tr>
      <w:tr>
        <w:trPr>
          <w:trHeight w:val="408" w:hRule="exact"/>
        </w:trPr>
        <w:tc>
          <w:tcPr>
            <w:tcW w:w="51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股派息数（含税）</w:t>
            </w:r>
          </w:p>
        </w:tc>
        <w:tc>
          <w:tcPr>
            <w:tcW w:w="4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0.2</w:t>
            </w: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4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w:t>
            </w: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4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161,221,848</w:t>
            </w:r>
          </w:p>
        </w:tc>
      </w:tr>
      <w:tr>
        <w:trPr>
          <w:trHeight w:val="414" w:hRule="exact"/>
        </w:trPr>
        <w:tc>
          <w:tcPr>
            <w:tcW w:w="510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现金分红总额（含税）</w:t>
            </w:r>
          </w:p>
        </w:tc>
        <w:tc>
          <w:tcPr>
            <w:tcW w:w="44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3,224,436.96</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5094"/>
        <w:gridCol w:w="4475"/>
      </w:tblGrid>
      <w:tr>
        <w:trPr>
          <w:trHeight w:val="415" w:hRule="exact"/>
        </w:trPr>
        <w:tc>
          <w:tcPr>
            <w:tcW w:w="509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可分配利润</w:t>
            </w:r>
          </w:p>
        </w:tc>
        <w:tc>
          <w:tcPr>
            <w:tcW w:w="4475"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220,734,558.59</w:t>
            </w:r>
          </w:p>
        </w:tc>
      </w:tr>
      <w:tr>
        <w:trPr>
          <w:trHeight w:val="413" w:hRule="exact"/>
        </w:trPr>
        <w:tc>
          <w:tcPr>
            <w:tcW w:w="50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4475"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100.00%</w:t>
            </w:r>
          </w:p>
        </w:tc>
      </w:tr>
      <w:tr>
        <w:trPr>
          <w:trHeight w:val="400" w:hRule="exact"/>
        </w:trPr>
        <w:tc>
          <w:tcPr>
            <w:tcW w:w="9569"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8" w:hRule="exact"/>
        </w:trPr>
        <w:tc>
          <w:tcPr>
            <w:tcW w:w="9569"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tc>
      </w:tr>
      <w:tr>
        <w:trPr>
          <w:trHeight w:val="406" w:hRule="exact"/>
        </w:trPr>
        <w:tc>
          <w:tcPr>
            <w:tcW w:w="9569"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287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51" w:hRule="exact"/>
        </w:trPr>
        <w:tc>
          <w:tcPr>
            <w:tcW w:w="9569" w:type="dxa"/>
            <w:gridSpan w:val="2"/>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经众华会计师事务所（特殊普通合伙）审计，公司</w:t>
            </w:r>
            <w:r>
              <w:rPr>
                <w:rFonts w:ascii="宋体" w:hAnsi="宋体" w:cs="宋体" w:eastAsia="宋体" w:hint="default"/>
                <w:spacing w:val="-52"/>
                <w:sz w:val="18"/>
                <w:szCs w:val="18"/>
              </w:rPr>
              <w:t> </w:t>
            </w: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年度归属于上市公司股东的净利润为</w:t>
            </w:r>
            <w:r>
              <w:rPr>
                <w:rFonts w:ascii="宋体" w:hAnsi="宋体" w:cs="宋体" w:eastAsia="宋体" w:hint="default"/>
                <w:spacing w:val="-53"/>
                <w:sz w:val="18"/>
                <w:szCs w:val="18"/>
              </w:rPr>
              <w:t> </w:t>
            </w:r>
            <w:r>
              <w:rPr>
                <w:rFonts w:ascii="宋体" w:hAnsi="宋体" w:cs="宋体" w:eastAsia="宋体" w:hint="default"/>
                <w:sz w:val="18"/>
                <w:szCs w:val="18"/>
              </w:rPr>
              <w:t>39,557,927.16</w:t>
            </w:r>
            <w:r>
              <w:rPr>
                <w:rFonts w:ascii="宋体" w:hAnsi="宋体" w:cs="宋体" w:eastAsia="宋体" w:hint="default"/>
                <w:spacing w:val="-53"/>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母公</w:t>
            </w:r>
          </w:p>
          <w:p>
            <w:pPr>
              <w:pStyle w:val="TableParagraph"/>
              <w:spacing w:line="240" w:lineRule="auto" w:before="75"/>
              <w:ind w:left="13" w:right="0"/>
              <w:jc w:val="left"/>
              <w:rPr>
                <w:rFonts w:ascii="宋体" w:hAnsi="宋体" w:cs="宋体" w:eastAsia="宋体" w:hint="default"/>
                <w:sz w:val="18"/>
                <w:szCs w:val="18"/>
              </w:rPr>
            </w:pPr>
            <w:r>
              <w:rPr>
                <w:rFonts w:ascii="宋体" w:hAnsi="宋体" w:cs="宋体" w:eastAsia="宋体" w:hint="default"/>
                <w:sz w:val="18"/>
                <w:szCs w:val="18"/>
              </w:rPr>
              <w:t>司未实现盈利，本年度不提取法定盈余公积金。截至</w:t>
            </w:r>
            <w:r>
              <w:rPr>
                <w:rFonts w:ascii="宋体" w:hAnsi="宋体" w:cs="宋体" w:eastAsia="宋体" w:hint="default"/>
                <w:spacing w:val="-49"/>
                <w:sz w:val="18"/>
                <w:szCs w:val="18"/>
              </w:rPr>
              <w:t> </w:t>
            </w: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50"/>
                <w:sz w:val="18"/>
                <w:szCs w:val="18"/>
              </w:rPr>
              <w:t> </w:t>
            </w:r>
            <w:r>
              <w:rPr>
                <w:rFonts w:ascii="宋体" w:hAnsi="宋体" w:cs="宋体" w:eastAsia="宋体" w:hint="default"/>
                <w:sz w:val="18"/>
                <w:szCs w:val="18"/>
              </w:rPr>
              <w:t>日，公司累计未分配利润为</w:t>
            </w:r>
            <w:r>
              <w:rPr>
                <w:rFonts w:ascii="宋体" w:hAnsi="宋体" w:cs="宋体" w:eastAsia="宋体" w:hint="default"/>
                <w:spacing w:val="-50"/>
                <w:sz w:val="18"/>
                <w:szCs w:val="18"/>
              </w:rPr>
              <w:t> </w:t>
            </w:r>
            <w:r>
              <w:rPr>
                <w:rFonts w:ascii="宋体" w:hAnsi="宋体" w:cs="宋体" w:eastAsia="宋体" w:hint="default"/>
                <w:sz w:val="18"/>
                <w:szCs w:val="18"/>
              </w:rPr>
              <w:t>220,734,558.59</w:t>
            </w:r>
            <w:r>
              <w:rPr>
                <w:rFonts w:ascii="宋体" w:hAnsi="宋体" w:cs="宋体" w:eastAsia="宋体" w:hint="default"/>
                <w:spacing w:val="-50"/>
                <w:sz w:val="18"/>
                <w:szCs w:val="18"/>
              </w:rPr>
              <w:t> </w:t>
            </w:r>
            <w:r>
              <w:rPr>
                <w:rFonts w:ascii="宋体" w:hAnsi="宋体" w:cs="宋体" w:eastAsia="宋体" w:hint="default"/>
                <w:sz w:val="18"/>
                <w:szCs w:val="18"/>
              </w:rPr>
              <w:t>元。公</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司拟以总股本</w:t>
            </w:r>
            <w:r>
              <w:rPr>
                <w:rFonts w:ascii="宋体" w:hAnsi="宋体" w:cs="宋体" w:eastAsia="宋体" w:hint="default"/>
                <w:spacing w:val="-45"/>
                <w:sz w:val="18"/>
                <w:szCs w:val="18"/>
              </w:rPr>
              <w:t> </w:t>
            </w:r>
            <w:r>
              <w:rPr>
                <w:rFonts w:ascii="宋体" w:hAnsi="宋体" w:cs="宋体" w:eastAsia="宋体" w:hint="default"/>
                <w:sz w:val="18"/>
                <w:szCs w:val="18"/>
              </w:rPr>
              <w:t>161,221,848</w:t>
            </w:r>
            <w:r>
              <w:rPr>
                <w:rFonts w:ascii="宋体" w:hAnsi="宋体" w:cs="宋体" w:eastAsia="宋体" w:hint="default"/>
                <w:spacing w:val="-45"/>
                <w:sz w:val="18"/>
                <w:szCs w:val="18"/>
              </w:rPr>
              <w:t> </w:t>
            </w:r>
            <w:r>
              <w:rPr>
                <w:rFonts w:ascii="宋体" w:hAnsi="宋体" w:cs="宋体" w:eastAsia="宋体" w:hint="default"/>
                <w:spacing w:val="-6"/>
                <w:sz w:val="18"/>
                <w:szCs w:val="18"/>
              </w:rPr>
              <w:t>股为基数，向全体股东每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股派发现金红利</w:t>
            </w:r>
            <w:r>
              <w:rPr>
                <w:rFonts w:ascii="宋体" w:hAnsi="宋体" w:cs="宋体" w:eastAsia="宋体" w:hint="default"/>
                <w:spacing w:val="-45"/>
                <w:sz w:val="18"/>
                <w:szCs w:val="18"/>
              </w:rPr>
              <w:t> </w:t>
            </w:r>
            <w:r>
              <w:rPr>
                <w:rFonts w:ascii="宋体" w:hAnsi="宋体" w:cs="宋体" w:eastAsia="宋体" w:hint="default"/>
                <w:sz w:val="18"/>
                <w:szCs w:val="18"/>
              </w:rPr>
              <w:t>0.20</w:t>
            </w:r>
            <w:r>
              <w:rPr>
                <w:rFonts w:ascii="宋体" w:hAnsi="宋体" w:cs="宋体" w:eastAsia="宋体" w:hint="default"/>
                <w:spacing w:val="-45"/>
                <w:sz w:val="18"/>
                <w:szCs w:val="18"/>
              </w:rPr>
              <w:t> </w:t>
            </w:r>
            <w:r>
              <w:rPr>
                <w:rFonts w:ascii="宋体" w:hAnsi="宋体" w:cs="宋体" w:eastAsia="宋体" w:hint="default"/>
                <w:spacing w:val="-14"/>
                <w:sz w:val="18"/>
                <w:szCs w:val="18"/>
              </w:rPr>
              <w:t>元（含税），共计派发现金红利</w:t>
            </w:r>
            <w:r>
              <w:rPr>
                <w:rFonts w:ascii="宋体" w:hAnsi="宋体" w:cs="宋体" w:eastAsia="宋体" w:hint="default"/>
                <w:spacing w:val="-45"/>
                <w:sz w:val="18"/>
                <w:szCs w:val="18"/>
              </w:rPr>
              <w:t> </w:t>
            </w:r>
            <w:r>
              <w:rPr>
                <w:rFonts w:ascii="宋体" w:hAnsi="宋体" w:cs="宋体" w:eastAsia="宋体" w:hint="default"/>
                <w:sz w:val="18"/>
                <w:szCs w:val="18"/>
              </w:rPr>
              <w:t>3,224,436.96</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元（含税）；剩余未分配利润</w:t>
            </w:r>
            <w:r>
              <w:rPr>
                <w:rFonts w:ascii="宋体" w:hAnsi="宋体" w:cs="宋体" w:eastAsia="宋体" w:hint="default"/>
                <w:spacing w:val="-46"/>
                <w:sz w:val="18"/>
                <w:szCs w:val="18"/>
              </w:rPr>
              <w:t> </w:t>
            </w:r>
            <w:r>
              <w:rPr>
                <w:rFonts w:ascii="宋体" w:hAnsi="宋体" w:cs="宋体" w:eastAsia="宋体" w:hint="default"/>
                <w:sz w:val="18"/>
                <w:szCs w:val="18"/>
              </w:rPr>
              <w:t>217,510,121.63</w:t>
            </w:r>
            <w:r>
              <w:rPr>
                <w:rFonts w:ascii="宋体" w:hAnsi="宋体" w:cs="宋体" w:eastAsia="宋体" w:hint="default"/>
                <w:spacing w:val="-46"/>
                <w:sz w:val="18"/>
                <w:szCs w:val="18"/>
              </w:rPr>
              <w:t> </w:t>
            </w:r>
            <w:r>
              <w:rPr>
                <w:rFonts w:ascii="宋体" w:hAnsi="宋体" w:cs="宋体" w:eastAsia="宋体" w:hint="default"/>
                <w:sz w:val="18"/>
                <w:szCs w:val="18"/>
              </w:rPr>
              <w:t>元，结转至下年度。</w:t>
            </w:r>
          </w:p>
        </w:tc>
      </w:tr>
    </w:tbl>
    <w:p>
      <w:pPr>
        <w:pStyle w:val="BodyText"/>
        <w:spacing w:line="240" w:lineRule="auto" w:before="63"/>
        <w:ind w:left="1134" w:right="0"/>
        <w:jc w:val="left"/>
      </w:pPr>
      <w:r>
        <w:rPr/>
        <w:t>公司近</w:t>
      </w:r>
      <w:r>
        <w:rPr>
          <w:spacing w:val="-53"/>
        </w:rPr>
        <w:t> </w:t>
      </w:r>
      <w:r>
        <w:rPr>
          <w:rFonts w:ascii="宋体" w:hAnsi="宋体" w:cs="宋体" w:eastAsia="宋体" w:hint="default"/>
        </w:rPr>
        <w:t>3</w:t>
      </w:r>
      <w:r>
        <w:rPr>
          <w:rFonts w:ascii="宋体" w:hAnsi="宋体" w:cs="宋体" w:eastAsia="宋体" w:hint="default"/>
          <w:spacing w:val="-53"/>
        </w:rPr>
        <w:t> </w:t>
      </w:r>
      <w:r>
        <w:rPr/>
        <w:t>年（包括本报告期）的普通股股利分配方案（预案）、资本公积金转增股本方案（预案）情况</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spacing w:val="-3"/>
        </w:rPr>
        <w:t>①</w:t>
      </w:r>
      <w:r>
        <w:rPr>
          <w:rFonts w:ascii="宋体" w:hAnsi="宋体" w:cs="宋体" w:eastAsia="宋体" w:hint="default"/>
          <w:spacing w:val="-3"/>
        </w:rPr>
        <w:t>2015</w:t>
      </w:r>
      <w:r>
        <w:rPr>
          <w:spacing w:val="-3"/>
        </w:rPr>
        <w:t>年度利润分配预案：以公司总股本</w:t>
      </w:r>
      <w:r>
        <w:rPr>
          <w:rFonts w:ascii="宋体" w:hAnsi="宋体" w:cs="宋体" w:eastAsia="宋体" w:hint="default"/>
          <w:spacing w:val="-3"/>
        </w:rPr>
        <w:t>161,221,848</w:t>
      </w:r>
      <w:r>
        <w:rPr>
          <w:spacing w:val="-3"/>
        </w:rPr>
        <w:t>股为基数，向全体股东每</w:t>
      </w:r>
      <w:r>
        <w:rPr>
          <w:rFonts w:ascii="宋体" w:hAnsi="宋体" w:cs="宋体" w:eastAsia="宋体" w:hint="default"/>
          <w:spacing w:val="-3"/>
        </w:rPr>
        <w:t>10</w:t>
      </w:r>
      <w:r>
        <w:rPr>
          <w:spacing w:val="-3"/>
        </w:rPr>
        <w:t>股派发现金红利</w:t>
      </w:r>
      <w:r>
        <w:rPr>
          <w:rFonts w:ascii="宋体" w:hAnsi="宋体" w:cs="宋体" w:eastAsia="宋体" w:hint="default"/>
          <w:spacing w:val="-3"/>
        </w:rPr>
        <w:t>0.20</w:t>
      </w:r>
      <w:r>
        <w:rPr>
          <w:rFonts w:ascii="宋体" w:hAnsi="宋体" w:cs="宋体" w:eastAsia="宋体" w:hint="default"/>
        </w:rPr>
        <w:t> </w:t>
      </w:r>
      <w:r>
        <w:rPr/>
        <w:t>元（含税），共计派发现金红利</w:t>
      </w:r>
      <w:r>
        <w:rPr>
          <w:rFonts w:ascii="宋体" w:hAnsi="宋体" w:cs="宋体" w:eastAsia="宋体" w:hint="default"/>
        </w:rPr>
        <w:t>3,224,436.96</w:t>
      </w:r>
      <w:r>
        <w:rPr/>
        <w:t>元（含税）。</w:t>
      </w:r>
    </w:p>
    <w:p>
      <w:pPr>
        <w:pStyle w:val="BodyText"/>
        <w:spacing w:line="408" w:lineRule="auto" w:before="46"/>
        <w:ind w:right="0" w:firstLine="420"/>
        <w:jc w:val="left"/>
      </w:pPr>
      <w:r>
        <w:rPr>
          <w:spacing w:val="-3"/>
        </w:rPr>
        <w:t>②</w:t>
      </w:r>
      <w:r>
        <w:rPr>
          <w:rFonts w:ascii="宋体" w:hAnsi="宋体" w:cs="宋体" w:eastAsia="宋体" w:hint="default"/>
          <w:spacing w:val="-3"/>
        </w:rPr>
        <w:t>2014</w:t>
      </w:r>
      <w:r>
        <w:rPr>
          <w:spacing w:val="-3"/>
        </w:rPr>
        <w:t>年度利润分配方案：以公司总股本</w:t>
      </w:r>
      <w:r>
        <w:rPr>
          <w:rFonts w:ascii="宋体" w:hAnsi="宋体" w:cs="宋体" w:eastAsia="宋体" w:hint="default"/>
          <w:spacing w:val="-3"/>
        </w:rPr>
        <w:t>161,221,848</w:t>
      </w:r>
      <w:r>
        <w:rPr>
          <w:spacing w:val="-3"/>
        </w:rPr>
        <w:t>股为基数，向全体股东每</w:t>
      </w:r>
      <w:r>
        <w:rPr>
          <w:rFonts w:ascii="宋体" w:hAnsi="宋体" w:cs="宋体" w:eastAsia="宋体" w:hint="default"/>
          <w:spacing w:val="-3"/>
        </w:rPr>
        <w:t>10</w:t>
      </w:r>
      <w:r>
        <w:rPr>
          <w:spacing w:val="-3"/>
        </w:rPr>
        <w:t>股派发现金红利</w:t>
      </w:r>
      <w:r>
        <w:rPr>
          <w:rFonts w:ascii="宋体" w:hAnsi="宋体" w:cs="宋体" w:eastAsia="宋体" w:hint="default"/>
          <w:spacing w:val="-3"/>
        </w:rPr>
        <w:t>0.40</w:t>
      </w:r>
      <w:r>
        <w:rPr>
          <w:rFonts w:ascii="宋体" w:hAnsi="宋体" w:cs="宋体" w:eastAsia="宋体" w:hint="default"/>
        </w:rPr>
        <w:t> </w:t>
      </w:r>
      <w:r>
        <w:rPr/>
        <w:t>元（含税），共计派发现金红利</w:t>
      </w:r>
      <w:r>
        <w:rPr>
          <w:rFonts w:ascii="宋体" w:hAnsi="宋体" w:cs="宋体" w:eastAsia="宋体" w:hint="default"/>
        </w:rPr>
        <w:t>6,448,873.92</w:t>
      </w:r>
      <w:r>
        <w:rPr/>
        <w:t>元（含税）。</w:t>
      </w:r>
    </w:p>
    <w:p>
      <w:pPr>
        <w:pStyle w:val="BodyText"/>
        <w:spacing w:line="240" w:lineRule="auto" w:before="46"/>
        <w:ind w:left="1554" w:right="0"/>
        <w:jc w:val="left"/>
        <w:rPr>
          <w:rFonts w:ascii="宋体" w:hAnsi="宋体" w:cs="宋体" w:eastAsia="宋体" w:hint="default"/>
        </w:rPr>
      </w:pPr>
      <w:r>
        <w:rPr>
          <w:spacing w:val="-3"/>
        </w:rPr>
        <w:t>③</w:t>
      </w:r>
      <w:r>
        <w:rPr>
          <w:rFonts w:ascii="宋体" w:hAnsi="宋体" w:cs="宋体" w:eastAsia="宋体" w:hint="default"/>
          <w:spacing w:val="-3"/>
        </w:rPr>
        <w:t>2013</w:t>
      </w:r>
      <w:r>
        <w:rPr>
          <w:spacing w:val="-3"/>
        </w:rPr>
        <w:t>年度利润分配方案：以公司总股本</w:t>
      </w:r>
      <w:r>
        <w:rPr>
          <w:rFonts w:ascii="宋体" w:hAnsi="宋体" w:cs="宋体" w:eastAsia="宋体" w:hint="default"/>
          <w:spacing w:val="-3"/>
        </w:rPr>
        <w:t>130,005,000</w:t>
      </w:r>
      <w:r>
        <w:rPr>
          <w:spacing w:val="-3"/>
        </w:rPr>
        <w:t>股为基数，向全体股东每</w:t>
      </w:r>
      <w:r>
        <w:rPr>
          <w:rFonts w:ascii="宋体" w:hAnsi="宋体" w:cs="宋体" w:eastAsia="宋体" w:hint="default"/>
          <w:spacing w:val="-3"/>
        </w:rPr>
        <w:t>10</w:t>
      </w:r>
      <w:r>
        <w:rPr>
          <w:spacing w:val="-3"/>
        </w:rPr>
        <w:t>股派发现金红利</w:t>
      </w:r>
      <w:r>
        <w:rPr>
          <w:rFonts w:ascii="宋体" w:hAnsi="宋体" w:cs="宋体" w:eastAsia="宋体" w:hint="default"/>
          <w:spacing w:val="-3"/>
        </w:rPr>
        <w:t>1.00</w:t>
      </w:r>
    </w:p>
    <w:p>
      <w:pPr>
        <w:spacing w:line="240" w:lineRule="auto" w:before="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47" w:footer="1000" w:top="1040" w:bottom="1180" w:left="0" w:right="0"/>
        </w:sectPr>
      </w:pPr>
    </w:p>
    <w:p>
      <w:pPr>
        <w:pStyle w:val="BodyText"/>
        <w:spacing w:line="340" w:lineRule="auto" w:before="35"/>
        <w:ind w:left="1134" w:right="0"/>
        <w:jc w:val="left"/>
      </w:pPr>
      <w:r>
        <w:rPr>
          <w:spacing w:val="-1"/>
        </w:rPr>
        <w:t>元（含税），共计派发现金红利</w:t>
      </w:r>
      <w:r>
        <w:rPr>
          <w:rFonts w:ascii="宋体" w:hAnsi="宋体" w:cs="宋体" w:eastAsia="宋体" w:hint="default"/>
          <w:spacing w:val="-1"/>
        </w:rPr>
        <w:t>13,000,500</w:t>
      </w:r>
      <w:r>
        <w:rPr>
          <w:spacing w:val="-1"/>
        </w:rPr>
        <w:t>元（含税）。</w:t>
      </w:r>
      <w:r>
        <w:rPr>
          <w:spacing w:val="-77"/>
        </w:rPr>
        <w:t> </w:t>
      </w:r>
      <w:r>
        <w:rPr>
          <w:spacing w:val="-77"/>
        </w:rPr>
      </w:r>
      <w:r>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6384" w:space="2536"/>
            <w:col w:w="2990"/>
          </w:cols>
        </w:sectPr>
      </w:pPr>
    </w:p>
    <w:p>
      <w:pPr>
        <w:spacing w:line="240" w:lineRule="auto" w:before="7"/>
        <w:rPr>
          <w:rFonts w:ascii="宋体" w:hAnsi="宋体" w:cs="宋体" w:eastAsia="宋体" w:hint="default"/>
          <w:sz w:val="2"/>
          <w:szCs w:val="2"/>
        </w:rPr>
      </w:pPr>
    </w:p>
    <w:tbl>
      <w:tblPr>
        <w:tblW w:w="0" w:type="auto"/>
        <w:jc w:val="left"/>
        <w:tblInd w:w="1123" w:type="dxa"/>
        <w:tblLayout w:type="fixed"/>
        <w:tblCellMar>
          <w:top w:w="0" w:type="dxa"/>
          <w:left w:w="0" w:type="dxa"/>
          <w:bottom w:w="0" w:type="dxa"/>
          <w:right w:w="0" w:type="dxa"/>
        </w:tblCellMar>
        <w:tblLook w:val="01E0"/>
      </w:tblPr>
      <w:tblGrid>
        <w:gridCol w:w="835"/>
        <w:gridCol w:w="1427"/>
        <w:gridCol w:w="2411"/>
        <w:gridCol w:w="2410"/>
        <w:gridCol w:w="1274"/>
        <w:gridCol w:w="1276"/>
      </w:tblGrid>
      <w:tr>
        <w:trPr>
          <w:trHeight w:val="181" w:hRule="exact"/>
        </w:trPr>
        <w:tc>
          <w:tcPr>
            <w:tcW w:w="835"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427"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41"/>
              <w:ind w:left="11"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117"/>
              <w:ind w:left="11"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2411"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61"/>
              <w:ind w:left="118" w:right="27" w:hanging="90"/>
              <w:jc w:val="left"/>
              <w:rPr>
                <w:rFonts w:ascii="宋体" w:hAnsi="宋体" w:cs="宋体" w:eastAsia="宋体" w:hint="default"/>
                <w:sz w:val="18"/>
                <w:szCs w:val="18"/>
              </w:rPr>
            </w:pPr>
            <w:r>
              <w:rPr>
                <w:rFonts w:ascii="宋体" w:hAnsi="宋体" w:cs="宋体" w:eastAsia="宋体" w:hint="default"/>
                <w:sz w:val="18"/>
                <w:szCs w:val="18"/>
              </w:rPr>
              <w:t>分红年度合并报表中归属于上 市公司普通股股东的净利润</w:t>
            </w:r>
          </w:p>
        </w:tc>
        <w:tc>
          <w:tcPr>
            <w:tcW w:w="2410"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61"/>
              <w:ind w:left="117" w:right="27" w:hanging="90"/>
              <w:jc w:val="left"/>
              <w:rPr>
                <w:rFonts w:ascii="宋体" w:hAnsi="宋体" w:cs="宋体" w:eastAsia="宋体" w:hint="default"/>
                <w:sz w:val="18"/>
                <w:szCs w:val="18"/>
              </w:rPr>
            </w:pPr>
            <w:r>
              <w:rPr>
                <w:rFonts w:ascii="宋体" w:hAnsi="宋体" w:cs="宋体" w:eastAsia="宋体" w:hint="default"/>
                <w:sz w:val="18"/>
                <w:szCs w:val="18"/>
              </w:rPr>
              <w:t>占合并报表中归属于上市公司 普通股股东的净利润的比率</w:t>
            </w:r>
          </w:p>
        </w:tc>
        <w:tc>
          <w:tcPr>
            <w:tcW w:w="1274"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61"/>
              <w:ind w:left="90" w:right="89"/>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276" w:type="dxa"/>
            <w:vMerge w:val="restart"/>
            <w:tcBorders>
              <w:top w:val="single" w:sz="12" w:space="0" w:color="000000"/>
              <w:left w:val="single" w:sz="6" w:space="0" w:color="000000"/>
              <w:right w:val="single" w:sz="12" w:space="0" w:color="000000"/>
            </w:tcBorders>
            <w:shd w:val="clear" w:color="auto" w:fill="D2D2D2"/>
          </w:tcPr>
          <w:p>
            <w:pPr>
              <w:pStyle w:val="TableParagraph"/>
              <w:spacing w:line="316" w:lineRule="auto" w:before="61"/>
              <w:ind w:left="91" w:right="80"/>
              <w:jc w:val="left"/>
              <w:rPr>
                <w:rFonts w:ascii="宋体" w:hAnsi="宋体" w:cs="宋体" w:eastAsia="宋体" w:hint="default"/>
                <w:sz w:val="18"/>
                <w:szCs w:val="18"/>
              </w:rPr>
            </w:pPr>
            <w:r>
              <w:rPr>
                <w:rFonts w:ascii="宋体" w:hAnsi="宋体" w:cs="宋体" w:eastAsia="宋体" w:hint="default"/>
                <w:sz w:val="18"/>
                <w:szCs w:val="18"/>
              </w:rPr>
              <w:t>以其他方式现 金分红的比例</w:t>
            </w:r>
          </w:p>
        </w:tc>
      </w:tr>
      <w:tr>
        <w:trPr>
          <w:trHeight w:val="392" w:hRule="exact"/>
        </w:trPr>
        <w:tc>
          <w:tcPr>
            <w:tcW w:w="835"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分红年度</w:t>
            </w:r>
          </w:p>
        </w:tc>
        <w:tc>
          <w:tcPr>
            <w:tcW w:w="1427" w:type="dxa"/>
            <w:vMerge/>
            <w:tcBorders>
              <w:left w:val="single" w:sz="6" w:space="0" w:color="000000"/>
              <w:right w:val="single" w:sz="6" w:space="0" w:color="000000"/>
            </w:tcBorders>
            <w:shd w:val="clear" w:color="auto" w:fill="D2D2D2"/>
          </w:tcPr>
          <w:p>
            <w:pPr/>
          </w:p>
        </w:tc>
        <w:tc>
          <w:tcPr>
            <w:tcW w:w="2411" w:type="dxa"/>
            <w:vMerge/>
            <w:tcBorders>
              <w:left w:val="single" w:sz="6" w:space="0" w:color="000000"/>
              <w:right w:val="single" w:sz="6" w:space="0" w:color="000000"/>
            </w:tcBorders>
            <w:shd w:val="clear" w:color="auto" w:fill="D2D2D2"/>
          </w:tcPr>
          <w:p>
            <w:pPr/>
          </w:p>
        </w:tc>
        <w:tc>
          <w:tcPr>
            <w:tcW w:w="2410" w:type="dxa"/>
            <w:vMerge/>
            <w:tcBorders>
              <w:left w:val="single" w:sz="6" w:space="0" w:color="000000"/>
              <w:right w:val="single" w:sz="6" w:space="0" w:color="000000"/>
            </w:tcBorders>
            <w:shd w:val="clear" w:color="auto" w:fill="D2D2D2"/>
          </w:tcPr>
          <w:p>
            <w:pPr/>
          </w:p>
        </w:tc>
        <w:tc>
          <w:tcPr>
            <w:tcW w:w="1274"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12" w:space="0" w:color="000000"/>
            </w:tcBorders>
            <w:shd w:val="clear" w:color="auto" w:fill="D2D2D2"/>
          </w:tcPr>
          <w:p>
            <w:pPr/>
          </w:p>
        </w:tc>
      </w:tr>
      <w:tr>
        <w:trPr>
          <w:trHeight w:val="173" w:hRule="exact"/>
        </w:trPr>
        <w:tc>
          <w:tcPr>
            <w:tcW w:w="835" w:type="dxa"/>
            <w:tcBorders>
              <w:top w:val="nil" w:sz="6" w:space="0" w:color="auto"/>
              <w:left w:val="single" w:sz="12" w:space="0" w:color="000000"/>
              <w:bottom w:val="single" w:sz="6" w:space="0" w:color="000000"/>
              <w:right w:val="single" w:sz="6" w:space="0" w:color="000000"/>
            </w:tcBorders>
            <w:shd w:val="clear" w:color="auto" w:fill="D2D2D2"/>
          </w:tcPr>
          <w:p>
            <w:pPr/>
          </w:p>
        </w:tc>
        <w:tc>
          <w:tcPr>
            <w:tcW w:w="1427" w:type="dxa"/>
            <w:vMerge/>
            <w:tcBorders>
              <w:left w:val="single" w:sz="6" w:space="0" w:color="000000"/>
              <w:bottom w:val="single" w:sz="6" w:space="0" w:color="000000"/>
              <w:right w:val="single" w:sz="6" w:space="0" w:color="000000"/>
            </w:tcBorders>
            <w:shd w:val="clear" w:color="auto" w:fill="D2D2D2"/>
          </w:tcPr>
          <w:p>
            <w:pPr/>
          </w:p>
        </w:tc>
        <w:tc>
          <w:tcPr>
            <w:tcW w:w="2411" w:type="dxa"/>
            <w:vMerge/>
            <w:tcBorders>
              <w:left w:val="single" w:sz="6" w:space="0" w:color="000000"/>
              <w:bottom w:val="single" w:sz="6" w:space="0" w:color="000000"/>
              <w:right w:val="single" w:sz="6" w:space="0" w:color="000000"/>
            </w:tcBorders>
            <w:shd w:val="clear" w:color="auto" w:fill="D2D2D2"/>
          </w:tcPr>
          <w:p>
            <w:pPr/>
          </w:p>
        </w:tc>
        <w:tc>
          <w:tcPr>
            <w:tcW w:w="2410" w:type="dxa"/>
            <w:vMerge/>
            <w:tcBorders>
              <w:left w:val="single" w:sz="6" w:space="0" w:color="000000"/>
              <w:bottom w:val="single" w:sz="6" w:space="0" w:color="000000"/>
              <w:right w:val="single" w:sz="6" w:space="0" w:color="000000"/>
            </w:tcBorders>
            <w:shd w:val="clear" w:color="auto" w:fill="D2D2D2"/>
          </w:tcPr>
          <w:p>
            <w:pPr/>
          </w:p>
        </w:tc>
        <w:tc>
          <w:tcPr>
            <w:tcW w:w="1274"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12" w:space="0" w:color="000000"/>
            </w:tcBorders>
            <w:shd w:val="clear" w:color="auto" w:fill="D2D2D2"/>
          </w:tcPr>
          <w:p>
            <w:pPr/>
          </w:p>
        </w:tc>
      </w:tr>
      <w:tr>
        <w:trPr>
          <w:trHeight w:val="418"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2"/>
              <w:ind w:right="11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62"/>
              <w:ind w:right="18"/>
              <w:jc w:val="right"/>
              <w:rPr>
                <w:rFonts w:ascii="宋体" w:hAnsi="宋体" w:cs="宋体" w:eastAsia="宋体" w:hint="default"/>
                <w:sz w:val="18"/>
                <w:szCs w:val="18"/>
              </w:rPr>
            </w:pPr>
            <w:r>
              <w:rPr>
                <w:rFonts w:ascii="宋体"/>
                <w:sz w:val="18"/>
              </w:rPr>
              <w:t>3,224,436.96</w:t>
            </w:r>
          </w:p>
        </w:tc>
        <w:tc>
          <w:tcPr>
            <w:tcW w:w="2411" w:type="dxa"/>
            <w:tcBorders>
              <w:top w:val="single" w:sz="8" w:space="0" w:color="D2D2D2"/>
              <w:left w:val="single" w:sz="6" w:space="0" w:color="000000"/>
              <w:bottom w:val="single" w:sz="6" w:space="0" w:color="000000"/>
              <w:right w:val="single" w:sz="6" w:space="0" w:color="000000"/>
            </w:tcBorders>
          </w:tcPr>
          <w:p>
            <w:pPr>
              <w:pStyle w:val="TableParagraph"/>
              <w:spacing w:line="240" w:lineRule="auto" w:before="59"/>
              <w:ind w:right="18"/>
              <w:jc w:val="right"/>
              <w:rPr>
                <w:rFonts w:ascii="宋体" w:hAnsi="宋体" w:cs="宋体" w:eastAsia="宋体" w:hint="default"/>
                <w:sz w:val="18"/>
                <w:szCs w:val="18"/>
              </w:rPr>
            </w:pPr>
            <w:r>
              <w:rPr>
                <w:rFonts w:ascii="宋体"/>
                <w:sz w:val="18"/>
              </w:rPr>
              <w:t>39,557,927.16</w:t>
            </w:r>
          </w:p>
        </w:tc>
        <w:tc>
          <w:tcPr>
            <w:tcW w:w="2410" w:type="dxa"/>
            <w:tcBorders>
              <w:top w:val="single" w:sz="8" w:space="0" w:color="D2D2D2"/>
              <w:left w:val="single" w:sz="6" w:space="0" w:color="000000"/>
              <w:bottom w:val="single" w:sz="6" w:space="0" w:color="000000"/>
              <w:right w:val="single" w:sz="6" w:space="0" w:color="000000"/>
            </w:tcBorders>
          </w:tcPr>
          <w:p>
            <w:pPr>
              <w:pStyle w:val="TableParagraph"/>
              <w:spacing w:line="240" w:lineRule="auto" w:before="59"/>
              <w:ind w:right="18"/>
              <w:jc w:val="right"/>
              <w:rPr>
                <w:rFonts w:ascii="宋体" w:hAnsi="宋体" w:cs="宋体" w:eastAsia="宋体" w:hint="default"/>
                <w:sz w:val="18"/>
                <w:szCs w:val="18"/>
              </w:rPr>
            </w:pPr>
            <w:r>
              <w:rPr>
                <w:rFonts w:ascii="宋体"/>
                <w:sz w:val="18"/>
              </w:rPr>
              <w:t>8.15%</w:t>
            </w:r>
          </w:p>
        </w:tc>
        <w:tc>
          <w:tcPr>
            <w:tcW w:w="1274" w:type="dxa"/>
            <w:tcBorders>
              <w:top w:val="single" w:sz="8" w:space="0" w:color="D2D2D2"/>
              <w:left w:val="single" w:sz="6" w:space="0" w:color="000000"/>
              <w:bottom w:val="single" w:sz="6" w:space="0" w:color="000000"/>
              <w:right w:val="single" w:sz="6" w:space="0" w:color="000000"/>
            </w:tcBorders>
          </w:tcPr>
          <w:p>
            <w:pPr>
              <w:pStyle w:val="TableParagraph"/>
              <w:spacing w:line="240" w:lineRule="auto" w:before="59"/>
              <w:ind w:right="18"/>
              <w:jc w:val="right"/>
              <w:rPr>
                <w:rFonts w:ascii="宋体" w:hAnsi="宋体" w:cs="宋体" w:eastAsia="宋体" w:hint="default"/>
                <w:sz w:val="18"/>
                <w:szCs w:val="18"/>
              </w:rPr>
            </w:pPr>
            <w:r>
              <w:rPr>
                <w:rFonts w:ascii="宋体"/>
                <w:sz w:val="18"/>
              </w:rPr>
              <w:t>0.00</w:t>
            </w:r>
          </w:p>
        </w:tc>
        <w:tc>
          <w:tcPr>
            <w:tcW w:w="1276" w:type="dxa"/>
            <w:tcBorders>
              <w:top w:val="single" w:sz="8" w:space="0" w:color="D2D2D2"/>
              <w:left w:val="single" w:sz="6" w:space="0" w:color="000000"/>
              <w:bottom w:val="single" w:sz="6" w:space="0" w:color="000000"/>
              <w:right w:val="single" w:sz="12"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0.00%</w:t>
            </w:r>
          </w:p>
        </w:tc>
      </w:tr>
      <w:tr>
        <w:trPr>
          <w:trHeight w:val="407"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6,448,873.92</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35,930,952.54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17.95%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2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15" w:hRule="exact"/>
        </w:trPr>
        <w:tc>
          <w:tcPr>
            <w:tcW w:w="83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13,000,500.00</w:t>
            </w:r>
          </w:p>
        </w:tc>
        <w:tc>
          <w:tcPr>
            <w:tcW w:w="24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47,336,805.85</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27.46%</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2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bl>
    <w:p>
      <w:pPr>
        <w:pStyle w:val="BodyText"/>
        <w:spacing w:line="240" w:lineRule="auto" w:before="63"/>
        <w:ind w:left="1134" w:right="0"/>
        <w:jc w:val="left"/>
      </w:pPr>
      <w:r>
        <w:rPr/>
        <w:t>公司报告期内盈利且母公司可供普通股股东分配利润为正但未提出普通股现金红利分配预案</w:t>
      </w:r>
    </w:p>
    <w:p>
      <w:pPr>
        <w:spacing w:line="240" w:lineRule="auto" w:before="10"/>
        <w:rPr>
          <w:rFonts w:ascii="宋体" w:hAnsi="宋体" w:cs="宋体" w:eastAsia="宋体" w:hint="default"/>
          <w:sz w:val="14"/>
          <w:szCs w:val="14"/>
        </w:rPr>
      </w:pPr>
    </w:p>
    <w:p>
      <w:pPr>
        <w:pStyle w:val="BodyText"/>
        <w:spacing w:line="240" w:lineRule="auto"/>
        <w:ind w:right="0"/>
        <w:jc w:val="left"/>
      </w:pPr>
      <w:r>
        <w:rPr/>
        <w:t>□ 适用 √</w:t>
      </w:r>
      <w:r>
        <w:rPr>
          <w:spacing w:val="-1"/>
        </w:rPr>
        <w:t> </w:t>
      </w:r>
      <w:r>
        <w:rPr/>
        <w:t>不适用</w:t>
      </w:r>
    </w:p>
    <w:p>
      <w:pPr>
        <w:pStyle w:val="Heading4"/>
        <w:spacing w:line="391" w:lineRule="auto" w:before="170"/>
        <w:ind w:right="0"/>
        <w:jc w:val="left"/>
        <w:rPr>
          <w:b w:val="0"/>
          <w:bCs w:val="0"/>
        </w:rPr>
      </w:pPr>
      <w:bookmarkStart w:name="二、承诺事项履行情况" w:id="63"/>
      <w:bookmarkEnd w:id="63"/>
      <w:r>
        <w:rPr>
          <w:b w:val="0"/>
          <w:bCs w:val="0"/>
        </w:rPr>
      </w:r>
      <w:r>
        <w:rPr>
          <w:sz w:val="24"/>
          <w:szCs w:val="24"/>
        </w:rPr>
        <w:t>二、承诺事项履行情况</w:t>
      </w:r>
      <w:r>
        <w:rPr>
          <w:w w:val="99"/>
          <w:sz w:val="24"/>
          <w:szCs w:val="24"/>
        </w:rPr>
        <w:t> </w:t>
      </w:r>
      <w:bookmarkStart w:name="1、公司、股东、实际控制人、收购人、董事、监事、高级管理人员或其他关联方在报告期" w:id="64"/>
      <w:bookmarkEnd w:id="64"/>
      <w:r>
        <w:rPr>
          <w:w w:val="99"/>
          <w:sz w:val="24"/>
          <w:szCs w:val="24"/>
        </w:rPr>
      </w:r>
      <w:r>
        <w:rPr>
          <w:rFonts w:ascii="宋体" w:hAnsi="宋体" w:cs="宋体" w:eastAsia="宋体" w:hint="default"/>
        </w:rPr>
        <w:t>1</w:t>
      </w:r>
      <w:r>
        <w:rPr/>
        <w:t>、公司、股东、实际控制人、收购人、董事、监事、高级管理人员或其他关联方在报告期内履行完毕及</w:t>
      </w:r>
      <w:r>
        <w:rPr>
          <w:spacing w:val="-69"/>
        </w:rPr>
        <w:t> </w:t>
      </w:r>
      <w:r>
        <w:rPr>
          <w:spacing w:val="-69"/>
        </w:rPr>
      </w:r>
      <w:r>
        <w:rPr/>
        <w:t>截至报告期末尚未履行完毕的承诺事项</w:t>
      </w:r>
      <w:r>
        <w:rPr>
          <w:b w:val="0"/>
          <w:bCs w:val="0"/>
        </w:rPr>
      </w:r>
    </w:p>
    <w:p>
      <w:pPr>
        <w:pStyle w:val="BodyText"/>
        <w:spacing w:line="240" w:lineRule="auto" w:before="61"/>
        <w:ind w:right="0"/>
        <w:jc w:val="left"/>
      </w:pPr>
      <w:r>
        <w:rPr/>
        <w:t>√ 适用 □</w:t>
      </w:r>
      <w:r>
        <w:rPr>
          <w:spacing w:val="-1"/>
        </w:rPr>
        <w:t> </w:t>
      </w:r>
      <w:r>
        <w:rPr/>
        <w:t>不适用</w:t>
      </w:r>
    </w:p>
    <w:p>
      <w:pPr>
        <w:spacing w:line="240" w:lineRule="auto" w:before="8"/>
        <w:rPr>
          <w:rFonts w:ascii="宋体" w:hAnsi="宋体" w:cs="宋体" w:eastAsia="宋体" w:hint="default"/>
          <w:sz w:val="11"/>
          <w:szCs w:val="11"/>
        </w:rPr>
      </w:pPr>
    </w:p>
    <w:tbl>
      <w:tblPr>
        <w:tblW w:w="0" w:type="auto"/>
        <w:jc w:val="left"/>
        <w:tblInd w:w="575" w:type="dxa"/>
        <w:tblLayout w:type="fixed"/>
        <w:tblCellMar>
          <w:top w:w="0" w:type="dxa"/>
          <w:left w:w="0" w:type="dxa"/>
          <w:bottom w:w="0" w:type="dxa"/>
          <w:right w:w="0" w:type="dxa"/>
        </w:tblCellMar>
        <w:tblLook w:val="01E0"/>
      </w:tblPr>
      <w:tblGrid>
        <w:gridCol w:w="1686"/>
        <w:gridCol w:w="1126"/>
        <w:gridCol w:w="868"/>
        <w:gridCol w:w="4573"/>
        <w:gridCol w:w="851"/>
        <w:gridCol w:w="851"/>
        <w:gridCol w:w="777"/>
      </w:tblGrid>
      <w:tr>
        <w:trPr>
          <w:trHeight w:val="458" w:hRule="exact"/>
        </w:trPr>
        <w:tc>
          <w:tcPr>
            <w:tcW w:w="16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3"/>
              <w:ind w:right="3"/>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3"/>
              <w:ind w:left="7"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195" w:lineRule="exact"/>
              <w:ind w:left="245"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40" w:lineRule="auto" w:before="4"/>
              <w:ind w:left="245"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457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3"/>
              <w:ind w:left="21"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8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3"/>
              <w:ind w:right="71"/>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3"/>
              <w:ind w:right="73"/>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77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73"/>
              <w:ind w:left="2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41" w:hRule="exact"/>
        </w:trPr>
        <w:tc>
          <w:tcPr>
            <w:tcW w:w="16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73"/>
              <w:ind w:left="6" w:right="36"/>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126" w:type="dxa"/>
            <w:tcBorders>
              <w:top w:val="single" w:sz="18" w:space="0" w:color="D2D2D2"/>
              <w:left w:val="single" w:sz="14" w:space="0" w:color="D2D2D2"/>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4573" w:type="dxa"/>
            <w:tcBorders>
              <w:top w:val="single" w:sz="18" w:space="0" w:color="D2D2D2"/>
              <w:left w:val="single" w:sz="6" w:space="0" w:color="000000"/>
              <w:bottom w:val="single" w:sz="6" w:space="0" w:color="000000"/>
              <w:right w:val="single" w:sz="6" w:space="0" w:color="000000"/>
            </w:tcBorders>
          </w:tcPr>
          <w:p>
            <w:pPr/>
          </w:p>
        </w:tc>
        <w:tc>
          <w:tcPr>
            <w:tcW w:w="851" w:type="dxa"/>
            <w:tcBorders>
              <w:top w:val="single" w:sz="18" w:space="0" w:color="D2D2D2"/>
              <w:left w:val="single" w:sz="6" w:space="0" w:color="000000"/>
              <w:bottom w:val="single" w:sz="6" w:space="0" w:color="000000"/>
              <w:right w:val="single" w:sz="6" w:space="0" w:color="000000"/>
            </w:tcBorders>
          </w:tcPr>
          <w:p>
            <w:pPr/>
          </w:p>
        </w:tc>
        <w:tc>
          <w:tcPr>
            <w:tcW w:w="851" w:type="dxa"/>
            <w:tcBorders>
              <w:top w:val="single" w:sz="18" w:space="0" w:color="D2D2D2"/>
              <w:left w:val="single" w:sz="6" w:space="0" w:color="000000"/>
              <w:bottom w:val="single" w:sz="6" w:space="0" w:color="000000"/>
              <w:right w:val="single" w:sz="6" w:space="0" w:color="000000"/>
            </w:tcBorders>
          </w:tcPr>
          <w:p>
            <w:pPr/>
          </w:p>
        </w:tc>
        <w:tc>
          <w:tcPr>
            <w:tcW w:w="777" w:type="dxa"/>
            <w:tcBorders>
              <w:top w:val="single" w:sz="18" w:space="0" w:color="D2D2D2"/>
              <w:left w:val="single" w:sz="6" w:space="0" w:color="000000"/>
              <w:bottom w:val="single" w:sz="6" w:space="0" w:color="000000"/>
              <w:right w:val="single" w:sz="12" w:space="0" w:color="000000"/>
            </w:tcBorders>
          </w:tcPr>
          <w:p>
            <w:pPr/>
          </w:p>
        </w:tc>
      </w:tr>
      <w:tr>
        <w:trPr>
          <w:trHeight w:val="415" w:hRule="exact"/>
        </w:trPr>
        <w:tc>
          <w:tcPr>
            <w:tcW w:w="16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28"/>
              <w:jc w:val="center"/>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pacing w:val="-4"/>
                <w:sz w:val="18"/>
                <w:szCs w:val="18"/>
              </w:rPr>
              <w:t>任昌兆、任晶</w:t>
            </w:r>
          </w:p>
        </w:tc>
        <w:tc>
          <w:tcPr>
            <w:tcW w:w="8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20"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45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）自股份交割之日起</w:t>
            </w:r>
            <w:r>
              <w:rPr>
                <w:rFonts w:ascii="宋体" w:hAnsi="宋体" w:cs="宋体" w:eastAsia="宋体" w:hint="default"/>
                <w:spacing w:val="-37"/>
                <w:sz w:val="18"/>
                <w:szCs w:val="18"/>
              </w:rPr>
              <w:t> </w:t>
            </w:r>
            <w:r>
              <w:rPr>
                <w:rFonts w:ascii="宋体" w:hAnsi="宋体" w:cs="宋体" w:eastAsia="宋体" w:hint="default"/>
                <w:sz w:val="18"/>
                <w:szCs w:val="18"/>
              </w:rPr>
              <w:t>36</w:t>
            </w:r>
            <w:r>
              <w:rPr>
                <w:rFonts w:ascii="宋体" w:hAnsi="宋体" w:cs="宋体" w:eastAsia="宋体" w:hint="default"/>
                <w:spacing w:val="-38"/>
                <w:sz w:val="18"/>
                <w:szCs w:val="18"/>
              </w:rPr>
              <w:t> </w:t>
            </w:r>
            <w:r>
              <w:rPr>
                <w:rFonts w:ascii="宋体" w:hAnsi="宋体" w:cs="宋体" w:eastAsia="宋体" w:hint="default"/>
                <w:sz w:val="18"/>
                <w:szCs w:val="18"/>
              </w:rPr>
              <w:t>个月内不转让本人因本次交易</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tc>
        <w:tc>
          <w:tcPr>
            <w:tcW w:w="7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type w:val="continuous"/>
          <w:pgSz w:w="11910" w:h="16840"/>
          <w:pgMar w:top="1040" w:bottom="118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37.222992pt;margin-top:91.079987pt;width:147.1pt;height:468.05pt;mso-position-horizontal-relative:page;mso-position-vertical-relative:page;z-index:-918208"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则本人承诺按照关于董事、</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7"/>
                    <w:ind w:left="1441" w:right="0" w:firstLine="0"/>
                    <w:jc w:val="left"/>
                    <w:rPr>
                      <w:rFonts w:ascii="宋体" w:hAnsi="宋体" w:cs="宋体" w:eastAsia="宋体" w:hint="default"/>
                      <w:sz w:val="18"/>
                      <w:szCs w:val="18"/>
                    </w:rPr>
                  </w:pPr>
                  <w:r>
                    <w:rPr>
                      <w:rFonts w:ascii="宋体" w:hAnsi="宋体" w:cs="宋体" w:eastAsia="宋体" w:hint="default"/>
                      <w:sz w:val="18"/>
                      <w:szCs w:val="18"/>
                    </w:rPr>
                    <w:t>等法律、</w:t>
                  </w:r>
                </w:p>
              </w:txbxContent>
            </v:textbox>
            <w10:wrap type="none"/>
          </v:shape>
        </w:pict>
      </w:r>
      <w:r>
        <w:rPr/>
        <w:pict>
          <v:shape style="position:absolute;margin-left:391.23999pt;margin-top:679.899963pt;width:93.1pt;height:84.8pt;mso-position-horizontal-relative:page;mso-position-vertical-relative:page;z-index:-918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在锁定期内，</w:t>
                  </w:r>
                </w:p>
              </w:txbxContent>
            </v:textbox>
            <w10:wrap type="none"/>
          </v:shape>
        </w:pict>
      </w:r>
      <w:r>
        <w:rPr/>
        <w:pict>
          <v:group style="position:absolute;margin-left:442.5pt;margin-top:72.959984pt;width:41.85pt;height:486.2pt;mso-position-horizontal-relative:page;mso-position-vertical-relative:page;z-index:-918160" coordorigin="8850,1459" coordsize="837,9724">
            <v:group style="position:absolute;left:8861;top:1470;width:2;height:352" coordorigin="8861,1470" coordsize="2,352">
              <v:shape style="position:absolute;left:8861;top:1470;width:2;height:352" coordorigin="8861,1470" coordsize="0,352" path="m8861,1470l8861,1822e" filled="false" stroked="true" strokeweight="1.08pt" strokecolor="#ffffff">
                <v:path arrowok="t"/>
              </v:shape>
            </v:group>
            <v:group style="position:absolute;left:8850;top:1822;width:837;height:9361" coordorigin="8850,1822" coordsize="837,9361">
              <v:shape style="position:absolute;left:8850;top:1822;width:837;height:9361" coordorigin="8850,1822" coordsize="837,9361" path="m8850,11182l9686,11182,9686,1822,8850,1822,8850,11182xe" filled="true" fillcolor="#ffffff" stroked="false">
                <v:path arrowok="t"/>
                <v:fill type="solid"/>
              </v:shape>
            </v:group>
            <v:group style="position:absolute;left:8872;top:1470;width:794;height:352" coordorigin="8872,1470" coordsize="794,352">
              <v:shape style="position:absolute;left:8872;top:1470;width:794;height:352" coordorigin="8872,1470" coordsize="794,352" path="m8872,1822l9665,1822,9665,1470,8872,1470,8872,1822xe" filled="true" fillcolor="#ffffff" stroked="false">
                <v:path arrowok="t"/>
                <v:fill type="solid"/>
              </v:shape>
            </v:group>
            <w10:wrap type="none"/>
          </v:group>
        </w:pict>
      </w:r>
      <w:r>
        <w:rPr/>
        <w:pict>
          <v:group style="position:absolute;margin-left:442.5pt;margin-top:679.899963pt;width:41.85pt;height:84.8pt;mso-position-horizontal-relative:page;mso-position-vertical-relative:page;z-index:-918136" coordorigin="8850,13598" coordsize="837,1696">
            <v:shape style="position:absolute;left:8850;top:13598;width:837;height:1696" coordorigin="8850,13598" coordsize="837,1696" path="m8850,15294l9686,15294,9686,13598,8850,13598,8850,15294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568" w:type="dxa"/>
        <w:tblLayout w:type="fixed"/>
        <w:tblCellMar>
          <w:top w:w="0" w:type="dxa"/>
          <w:left w:w="0" w:type="dxa"/>
          <w:bottom w:w="0" w:type="dxa"/>
          <w:right w:w="0" w:type="dxa"/>
        </w:tblCellMar>
        <w:tblLook w:val="01E0"/>
      </w:tblPr>
      <w:tblGrid>
        <w:gridCol w:w="1703"/>
        <w:gridCol w:w="1116"/>
        <w:gridCol w:w="868"/>
        <w:gridCol w:w="4573"/>
        <w:gridCol w:w="851"/>
        <w:gridCol w:w="851"/>
        <w:gridCol w:w="777"/>
      </w:tblGrid>
      <w:tr>
        <w:trPr>
          <w:trHeight w:val="328" w:hRule="exact"/>
        </w:trPr>
        <w:tc>
          <w:tcPr>
            <w:tcW w:w="1703" w:type="dxa"/>
            <w:vMerge w:val="restart"/>
            <w:tcBorders>
              <w:top w:val="single" w:sz="12" w:space="0" w:color="000000"/>
              <w:left w:val="single" w:sz="12" w:space="0" w:color="000000"/>
              <w:right w:val="single" w:sz="6" w:space="0" w:color="000000"/>
            </w:tcBorders>
            <w:shd w:val="clear" w:color="auto" w:fill="D2D2D2"/>
          </w:tcPr>
          <w:p>
            <w:pPr/>
          </w:p>
        </w:tc>
        <w:tc>
          <w:tcPr>
            <w:tcW w:w="111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晶</w:t>
            </w:r>
          </w:p>
        </w:tc>
        <w:tc>
          <w:tcPr>
            <w:tcW w:w="86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57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1" w:right="-37"/>
              <w:jc w:val="left"/>
              <w:rPr>
                <w:rFonts w:ascii="宋体" w:hAnsi="宋体" w:cs="宋体" w:eastAsia="宋体" w:hint="default"/>
                <w:sz w:val="18"/>
                <w:szCs w:val="18"/>
              </w:rPr>
            </w:pPr>
            <w:r>
              <w:rPr>
                <w:rFonts w:ascii="宋体" w:hAnsi="宋体" w:cs="宋体" w:eastAsia="宋体" w:hint="default"/>
                <w:sz w:val="18"/>
                <w:szCs w:val="18"/>
              </w:rPr>
              <w:t>所取得的所支付股份</w:t>
            </w:r>
            <w:r>
              <w:rPr>
                <w:rFonts w:ascii="宋体" w:hAnsi="宋体" w:cs="宋体" w:eastAsia="宋体" w:hint="default"/>
                <w:spacing w:val="-75"/>
                <w:sz w:val="18"/>
                <w:szCs w:val="18"/>
              </w:rPr>
              <w:t>。</w:t>
            </w:r>
            <w:r>
              <w:rPr>
                <w:rFonts w:ascii="宋体" w:hAnsi="宋体" w:cs="宋体" w:eastAsia="宋体" w:hint="default"/>
                <w:sz w:val="18"/>
                <w:szCs w:val="18"/>
              </w:rPr>
              <w:t>本人今后如被光一科技选举为董事</w:t>
            </w:r>
            <w:r>
              <w:rPr>
                <w:rFonts w:ascii="宋体" w:hAnsi="宋体" w:cs="宋体" w:eastAsia="宋体" w:hint="default"/>
                <w:spacing w:val="-33"/>
                <w:sz w:val="18"/>
                <w:szCs w:val="18"/>
              </w:rPr>
              <w:t>、</w:t>
            </w:r>
            <w:r>
              <w:rPr>
                <w:rFonts w:ascii="宋体" w:hAnsi="宋体" w:cs="宋体" w:eastAsia="宋体" w:hint="default"/>
                <w:sz w:val="18"/>
                <w:szCs w:val="18"/>
              </w:rPr>
            </w:r>
          </w:p>
        </w:tc>
        <w:tc>
          <w:tcPr>
            <w:tcW w:w="85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77" w:type="dxa"/>
            <w:vMerge w:val="restart"/>
            <w:tcBorders>
              <w:top w:val="single" w:sz="12" w:space="0" w:color="000000"/>
              <w:left w:val="single" w:sz="6" w:space="0" w:color="000000"/>
              <w:right w:val="single" w:sz="12" w:space="0" w:color="000000"/>
            </w:tcBorders>
          </w:tcPr>
          <w:p>
            <w:pPr/>
          </w:p>
        </w:tc>
      </w:tr>
      <w:tr>
        <w:trPr>
          <w:trHeight w:val="311"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监事或者聘任为高级管理人员，</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监事及高管持股及减持的规定履行持股锁定及减持义务。</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）为保证本次交易盈利预测补偿承诺的可实现性，本人</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进一步承诺，如果在前述 </w:t>
            </w:r>
            <w:r>
              <w:rPr>
                <w:rFonts w:ascii="宋体" w:hAnsi="宋体" w:cs="宋体" w:eastAsia="宋体" w:hint="default"/>
                <w:sz w:val="18"/>
                <w:szCs w:val="18"/>
              </w:rPr>
              <w:t>36</w:t>
            </w:r>
            <w:r>
              <w:rPr>
                <w:rFonts w:ascii="宋体" w:hAnsi="宋体" w:cs="宋体" w:eastAsia="宋体" w:hint="default"/>
                <w:spacing w:val="11"/>
                <w:sz w:val="18"/>
                <w:szCs w:val="18"/>
              </w:rPr>
              <w:t> </w:t>
            </w:r>
            <w:r>
              <w:rPr>
                <w:rFonts w:ascii="宋体" w:hAnsi="宋体" w:cs="宋体" w:eastAsia="宋体" w:hint="default"/>
                <w:sz w:val="18"/>
                <w:szCs w:val="18"/>
              </w:rPr>
              <w:t>个月锁定期届满后本人按照</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《发行股份及支付现金购买资产协议》约定负有股份补偿</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义务未履行的，则锁定期自动延期至本人所负股份补偿义</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务履行完毕时止。（</w:t>
            </w:r>
            <w:r>
              <w:rPr>
                <w:rFonts w:ascii="宋体" w:hAnsi="宋体" w:cs="宋体" w:eastAsia="宋体" w:hint="default"/>
                <w:spacing w:val="-3"/>
                <w:sz w:val="18"/>
                <w:szCs w:val="18"/>
              </w:rPr>
              <w:t>3</w:t>
            </w:r>
            <w:r>
              <w:rPr>
                <w:rFonts w:ascii="宋体" w:hAnsi="宋体" w:cs="宋体" w:eastAsia="宋体" w:hint="default"/>
                <w:spacing w:val="-3"/>
                <w:sz w:val="18"/>
                <w:szCs w:val="18"/>
              </w:rPr>
              <w:t>）本函第一条所述“因本次交易所取</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得的所支付股份”包括锁定期内本人依据所支付股份按照</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光一科技分配股票股利、资本公积转增股本等原因所取得</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的股份。（</w:t>
            </w:r>
            <w:r>
              <w:rPr>
                <w:rFonts w:ascii="宋体" w:hAnsi="宋体" w:cs="宋体" w:eastAsia="宋体" w:hint="default"/>
                <w:spacing w:val="-3"/>
                <w:sz w:val="18"/>
                <w:szCs w:val="18"/>
              </w:rPr>
              <w:t>4</w:t>
            </w:r>
            <w:r>
              <w:rPr>
                <w:rFonts w:ascii="宋体" w:hAnsi="宋体" w:cs="宋体" w:eastAsia="宋体" w:hint="default"/>
                <w:spacing w:val="-3"/>
                <w:sz w:val="18"/>
                <w:szCs w:val="18"/>
              </w:rPr>
              <w:t>）本人特别承诺：自本次交易所获得股份锁定</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期结束至</w:t>
            </w:r>
            <w:r>
              <w:rPr>
                <w:rFonts w:ascii="宋体" w:hAnsi="宋体" w:cs="宋体" w:eastAsia="宋体" w:hint="default"/>
                <w:spacing w:val="-46"/>
                <w:sz w:val="18"/>
                <w:szCs w:val="18"/>
              </w:rPr>
              <w:t> </w:t>
            </w: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74"/>
                <w:sz w:val="18"/>
                <w:szCs w:val="18"/>
              </w:rPr>
              <w:t>，</w:t>
            </w:r>
            <w:r>
              <w:rPr>
                <w:rFonts w:ascii="宋体" w:hAnsi="宋体" w:cs="宋体" w:eastAsia="宋体" w:hint="default"/>
                <w:sz w:val="18"/>
                <w:szCs w:val="18"/>
              </w:rPr>
              <w:t>本人每年可减持的光一科技</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5"/>
                <w:sz w:val="18"/>
                <w:szCs w:val="18"/>
              </w:rPr>
              <w:t>股份数量不超过上年末本人持有光一科技股份总数的</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25%</w:t>
            </w:r>
            <w:r>
              <w:rPr>
                <w:rFonts w:ascii="宋体" w:hAnsi="宋体" w:cs="宋体" w:eastAsia="宋体" w:hint="default"/>
                <w:spacing w:val="-3"/>
                <w:sz w:val="18"/>
                <w:szCs w:val="18"/>
              </w:rPr>
              <w:t>；在锁定期内，本人持有的光一科技股份可用于股份质</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7"/>
                <w:sz w:val="18"/>
                <w:szCs w:val="18"/>
              </w:rPr>
              <w:t>押融资的总数不超过本人持有全部光一科技股份数量的</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85%</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）如果中国证监会及或深圳证券交易所对于上述</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锁定期安排有不同意见及或要求的，本人将按照中国证监</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会及或深圳证券交易所的意见对上述锁定期安排进行修订</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并予执行。（</w:t>
            </w:r>
            <w:r>
              <w:rPr>
                <w:rFonts w:ascii="宋体" w:hAnsi="宋体" w:cs="宋体" w:eastAsia="宋体" w:hint="default"/>
                <w:spacing w:val="-3"/>
                <w:sz w:val="18"/>
                <w:szCs w:val="18"/>
              </w:rPr>
              <w:t>6</w:t>
            </w:r>
            <w:r>
              <w:rPr>
                <w:rFonts w:ascii="宋体" w:hAnsi="宋体" w:cs="宋体" w:eastAsia="宋体" w:hint="default"/>
                <w:spacing w:val="-3"/>
                <w:sz w:val="18"/>
                <w:szCs w:val="18"/>
              </w:rPr>
              <w:t>）如本人根据《发行股份及支付现金购买资</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产协议》约定负有股份补偿义务，则本人将在《专项审核</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报告》及《减值测试报告》（如有）披露后十个工作日内</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向登记结算公司发出将本人应补偿的股份划转至光一科技</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董事会设立的专门账户并对该等用于支付补偿的股份进行</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锁定的指令，并明确说明只有光一科技有权做出解除该等</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锁定的指令。光一科技应为本人办理《发行股份及支付现</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金购买资产协议》约定的补偿股份划转手续提供协助及便</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利。（</w:t>
            </w:r>
            <w:r>
              <w:rPr>
                <w:rFonts w:ascii="宋体" w:hAnsi="宋体" w:cs="宋体" w:eastAsia="宋体" w:hint="default"/>
                <w:spacing w:val="-3"/>
                <w:sz w:val="18"/>
                <w:szCs w:val="18"/>
              </w:rPr>
              <w:t>7</w:t>
            </w:r>
            <w:r>
              <w:rPr>
                <w:rFonts w:ascii="宋体" w:hAnsi="宋体" w:cs="宋体" w:eastAsia="宋体" w:hint="default"/>
                <w:spacing w:val="-3"/>
                <w:sz w:val="18"/>
                <w:szCs w:val="18"/>
              </w:rPr>
              <w:t>）本人进一步承诺，本人因本次交易所取得的所支</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付股份在转让时会同时遵守当时有效的《公司法》、《证</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券法》、《深圳证券交易所创业板股票上市规则》</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13"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法规、规章和规范性文件以及光一科技《公司章程》的相</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vMerge/>
            <w:tcBorders>
              <w:left w:val="single" w:sz="6" w:space="0" w:color="000000"/>
              <w:right w:val="single" w:sz="12" w:space="0" w:color="000000"/>
            </w:tcBorders>
          </w:tcPr>
          <w:p>
            <w:pPr/>
          </w:p>
        </w:tc>
      </w:tr>
      <w:tr>
        <w:trPr>
          <w:trHeight w:val="358"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868" w:type="dxa"/>
            <w:tcBorders>
              <w:top w:val="nil" w:sz="6" w:space="0" w:color="auto"/>
              <w:left w:val="single" w:sz="6" w:space="0" w:color="000000"/>
              <w:bottom w:val="single" w:sz="6" w:space="0" w:color="000000"/>
              <w:right w:val="single" w:sz="6" w:space="0" w:color="000000"/>
            </w:tcBorders>
          </w:tcPr>
          <w:p>
            <w:pPr/>
          </w:p>
        </w:tc>
        <w:tc>
          <w:tcPr>
            <w:tcW w:w="457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关规定。</w:t>
            </w:r>
          </w:p>
        </w:tc>
        <w:tc>
          <w:tcPr>
            <w:tcW w:w="851" w:type="dxa"/>
            <w:tcBorders>
              <w:top w:val="nil" w:sz="6" w:space="0" w:color="auto"/>
              <w:left w:val="single" w:sz="6" w:space="0" w:color="000000"/>
              <w:bottom w:val="single" w:sz="6" w:space="0" w:color="000000"/>
              <w:right w:val="single" w:sz="6" w:space="0" w:color="000000"/>
            </w:tcBorders>
          </w:tcPr>
          <w:p>
            <w:pPr/>
          </w:p>
        </w:tc>
        <w:tc>
          <w:tcPr>
            <w:tcW w:w="851" w:type="dxa"/>
            <w:tcBorders>
              <w:top w:val="nil" w:sz="6" w:space="0" w:color="auto"/>
              <w:left w:val="single" w:sz="6" w:space="0" w:color="000000"/>
              <w:bottom w:val="single" w:sz="6" w:space="0" w:color="000000"/>
              <w:right w:val="single" w:sz="6" w:space="0" w:color="000000"/>
            </w:tcBorders>
          </w:tcPr>
          <w:p>
            <w:pPr/>
          </w:p>
        </w:tc>
        <w:tc>
          <w:tcPr>
            <w:tcW w:w="777" w:type="dxa"/>
            <w:vMerge/>
            <w:tcBorders>
              <w:left w:val="single" w:sz="6" w:space="0" w:color="000000"/>
              <w:bottom w:val="single" w:sz="6" w:space="0" w:color="000000"/>
              <w:right w:val="single" w:sz="12" w:space="0" w:color="000000"/>
            </w:tcBorders>
          </w:tcPr>
          <w:p>
            <w:pPr/>
          </w:p>
        </w:tc>
      </w:tr>
      <w:tr>
        <w:trPr>
          <w:trHeight w:val="361" w:hRule="exact"/>
        </w:trPr>
        <w:tc>
          <w:tcPr>
            <w:tcW w:w="1703" w:type="dxa"/>
            <w:vMerge/>
            <w:tcBorders>
              <w:left w:val="single" w:sz="12" w:space="0" w:color="000000"/>
              <w:right w:val="single" w:sz="6" w:space="0" w:color="000000"/>
            </w:tcBorders>
            <w:shd w:val="clear" w:color="auto" w:fill="D2D2D2"/>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868" w:type="dxa"/>
            <w:tcBorders>
              <w:top w:val="single" w:sz="6" w:space="0" w:color="000000"/>
              <w:left w:val="single" w:sz="6" w:space="0" w:color="000000"/>
              <w:bottom w:val="nil" w:sz="6" w:space="0" w:color="auto"/>
              <w:right w:val="single" w:sz="6" w:space="0" w:color="000000"/>
            </w:tcBorders>
          </w:tcPr>
          <w:p>
            <w:pPr/>
          </w:p>
        </w:tc>
        <w:tc>
          <w:tcPr>
            <w:tcW w:w="457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）自股份交割之日起</w:t>
            </w:r>
            <w:r>
              <w:rPr>
                <w:rFonts w:ascii="宋体" w:hAnsi="宋体" w:cs="宋体" w:eastAsia="宋体" w:hint="default"/>
                <w:spacing w:val="-37"/>
                <w:sz w:val="18"/>
                <w:szCs w:val="18"/>
              </w:rPr>
              <w:t> </w:t>
            </w:r>
            <w:r>
              <w:rPr>
                <w:rFonts w:ascii="宋体" w:hAnsi="宋体" w:cs="宋体" w:eastAsia="宋体" w:hint="default"/>
                <w:sz w:val="18"/>
                <w:szCs w:val="18"/>
              </w:rPr>
              <w:t>36</w:t>
            </w:r>
            <w:r>
              <w:rPr>
                <w:rFonts w:ascii="宋体" w:hAnsi="宋体" w:cs="宋体" w:eastAsia="宋体" w:hint="default"/>
                <w:spacing w:val="-38"/>
                <w:sz w:val="18"/>
                <w:szCs w:val="18"/>
              </w:rPr>
              <w:t> </w:t>
            </w:r>
            <w:r>
              <w:rPr>
                <w:rFonts w:ascii="宋体" w:hAnsi="宋体" w:cs="宋体" w:eastAsia="宋体" w:hint="default"/>
                <w:sz w:val="18"/>
                <w:szCs w:val="18"/>
              </w:rPr>
              <w:t>个月内不转让本公司因本次交</w:t>
            </w:r>
          </w:p>
        </w:tc>
        <w:tc>
          <w:tcPr>
            <w:tcW w:w="851"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777"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易所取得的所支付股份。（</w:t>
            </w:r>
            <w:r>
              <w:rPr>
                <w:rFonts w:ascii="宋体" w:hAnsi="宋体" w:cs="宋体" w:eastAsia="宋体" w:hint="default"/>
                <w:spacing w:val="-3"/>
                <w:sz w:val="18"/>
                <w:szCs w:val="18"/>
              </w:rPr>
              <w:t>2</w:t>
            </w:r>
            <w:r>
              <w:rPr>
                <w:rFonts w:ascii="宋体" w:hAnsi="宋体" w:cs="宋体" w:eastAsia="宋体" w:hint="default"/>
                <w:spacing w:val="-3"/>
                <w:sz w:val="18"/>
                <w:szCs w:val="18"/>
              </w:rPr>
              <w:t>）为保证本次交易盈利预测补</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偿承诺的可实现性，本公司进一步承诺，如果在前述</w:t>
            </w:r>
            <w:r>
              <w:rPr>
                <w:rFonts w:ascii="宋体" w:hAnsi="宋体" w:cs="宋体" w:eastAsia="宋体" w:hint="default"/>
                <w:spacing w:val="23"/>
                <w:sz w:val="18"/>
                <w:szCs w:val="18"/>
              </w:rPr>
              <w:t> </w:t>
            </w:r>
            <w:r>
              <w:rPr>
                <w:rFonts w:ascii="宋体" w:hAnsi="宋体" w:cs="宋体" w:eastAsia="宋体" w:hint="default"/>
                <w:sz w:val="18"/>
                <w:szCs w:val="18"/>
              </w:rPr>
              <w:t>36</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个月锁定期届满后本公司按照《发行股份及支付现金购买</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资产协议》约定负有股份补偿义务未履行的，则锁定期自</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936"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316" w:lineRule="auto" w:before="147"/>
              <w:ind w:left="99" w:right="101"/>
              <w:jc w:val="left"/>
              <w:rPr>
                <w:rFonts w:ascii="宋体" w:hAnsi="宋体" w:cs="宋体" w:eastAsia="宋体" w:hint="default"/>
                <w:sz w:val="18"/>
                <w:szCs w:val="18"/>
              </w:rPr>
            </w:pPr>
            <w:r>
              <w:rPr>
                <w:rFonts w:ascii="宋体" w:hAnsi="宋体" w:cs="宋体" w:eastAsia="宋体" w:hint="default"/>
                <w:sz w:val="18"/>
                <w:szCs w:val="18"/>
              </w:rPr>
              <w:t>湖北乾瀚投 资有限公司</w:t>
            </w:r>
          </w:p>
        </w:tc>
        <w:tc>
          <w:tcPr>
            <w:tcW w:w="868" w:type="dxa"/>
            <w:tcBorders>
              <w:top w:val="nil" w:sz="6" w:space="0" w:color="auto"/>
              <w:left w:val="single" w:sz="6" w:space="0" w:color="000000"/>
              <w:bottom w:val="nil" w:sz="6" w:space="0" w:color="auto"/>
              <w:right w:val="single" w:sz="6" w:space="0" w:color="000000"/>
            </w:tcBorders>
          </w:tcPr>
          <w:p>
            <w:pPr>
              <w:pStyle w:val="TableParagraph"/>
              <w:spacing w:line="316" w:lineRule="auto" w:before="147"/>
              <w:ind w:left="20" w:right="110"/>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1" w:right="19"/>
              <w:jc w:val="both"/>
              <w:rPr>
                <w:rFonts w:ascii="宋体" w:hAnsi="宋体" w:cs="宋体" w:eastAsia="宋体" w:hint="default"/>
                <w:sz w:val="18"/>
                <w:szCs w:val="18"/>
              </w:rPr>
            </w:pPr>
            <w:r>
              <w:rPr>
                <w:rFonts w:ascii="宋体" w:hAnsi="宋体" w:cs="宋体" w:eastAsia="宋体" w:hint="default"/>
                <w:spacing w:val="-4"/>
                <w:sz w:val="18"/>
                <w:szCs w:val="18"/>
              </w:rPr>
              <w:t>动延期至本公司所负股份补偿义务履行完毕时止。（</w:t>
            </w:r>
            <w:r>
              <w:rPr>
                <w:rFonts w:ascii="宋体" w:hAnsi="宋体" w:cs="宋体" w:eastAsia="宋体" w:hint="default"/>
                <w:spacing w:val="-4"/>
                <w:sz w:val="18"/>
                <w:szCs w:val="18"/>
              </w:rPr>
              <w:t>3</w:t>
            </w:r>
            <w:r>
              <w:rPr>
                <w:rFonts w:ascii="宋体" w:hAnsi="宋体" w:cs="宋体" w:eastAsia="宋体" w:hint="default"/>
                <w:spacing w:val="-4"/>
                <w:sz w:val="18"/>
                <w:szCs w:val="18"/>
              </w:rPr>
              <w:t>）本</w:t>
            </w:r>
            <w:r>
              <w:rPr>
                <w:rFonts w:ascii="宋体" w:hAnsi="宋体" w:cs="宋体" w:eastAsia="宋体" w:hint="default"/>
                <w:spacing w:val="-85"/>
                <w:sz w:val="18"/>
                <w:szCs w:val="18"/>
              </w:rPr>
              <w:t> </w:t>
            </w:r>
            <w:r>
              <w:rPr>
                <w:rFonts w:ascii="宋体" w:hAnsi="宋体" w:cs="宋体" w:eastAsia="宋体" w:hint="default"/>
                <w:sz w:val="18"/>
                <w:szCs w:val="18"/>
              </w:rPr>
              <w:t>函第一条所述“因本次交易所取得的所支付股份”包括锁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7"/>
                <w:sz w:val="18"/>
                <w:szCs w:val="18"/>
              </w:rPr>
              <w:t>定期内本公司依据所支付股份按照光一科技分配股票股</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47"/>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47"/>
              <w:ind w:left="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77" w:type="dxa"/>
            <w:tcBorders>
              <w:top w:val="nil" w:sz="6" w:space="0" w:color="auto"/>
              <w:left w:val="single" w:sz="6" w:space="0" w:color="000000"/>
              <w:bottom w:val="nil" w:sz="6" w:space="0" w:color="auto"/>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利、资本公积转增股本等原因所取得的股份。（</w:t>
            </w:r>
            <w:r>
              <w:rPr>
                <w:rFonts w:ascii="宋体" w:hAnsi="宋体" w:cs="宋体" w:eastAsia="宋体" w:hint="default"/>
                <w:spacing w:val="-3"/>
                <w:sz w:val="18"/>
                <w:szCs w:val="18"/>
              </w:rPr>
              <w:t>4</w:t>
            </w:r>
            <w:r>
              <w:rPr>
                <w:rFonts w:ascii="宋体" w:hAnsi="宋体" w:cs="宋体" w:eastAsia="宋体" w:hint="default"/>
                <w:spacing w:val="-3"/>
                <w:sz w:val="18"/>
                <w:szCs w:val="18"/>
              </w:rPr>
              <w:t>）本公司</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特别承诺：自本次交易所获得股份锁定期结束至 </w:t>
            </w:r>
            <w:r>
              <w:rPr>
                <w:rFonts w:ascii="宋体" w:hAnsi="宋体" w:cs="宋体" w:eastAsia="宋体" w:hint="default"/>
                <w:sz w:val="18"/>
                <w:szCs w:val="18"/>
              </w:rPr>
              <w:t>2020</w:t>
            </w:r>
            <w:r>
              <w:rPr>
                <w:rFonts w:ascii="宋体" w:hAnsi="宋体" w:cs="宋体" w:eastAsia="宋体" w:hint="default"/>
                <w:spacing w:val="14"/>
                <w:sz w:val="18"/>
                <w:szCs w:val="18"/>
              </w:rPr>
              <w:t> </w:t>
            </w:r>
            <w:r>
              <w:rPr>
                <w:rFonts w:ascii="宋体" w:hAnsi="宋体" w:cs="宋体" w:eastAsia="宋体" w:hint="default"/>
                <w:sz w:val="18"/>
                <w:szCs w:val="18"/>
              </w:rPr>
              <w:t>年</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6"/>
                <w:sz w:val="18"/>
                <w:szCs w:val="18"/>
              </w:rPr>
              <w:t> </w:t>
            </w:r>
            <w:r>
              <w:rPr>
                <w:rFonts w:ascii="宋体" w:hAnsi="宋体" w:cs="宋体" w:eastAsia="宋体" w:hint="default"/>
                <w:sz w:val="18"/>
                <w:szCs w:val="18"/>
              </w:rPr>
              <w:t>月</w:t>
            </w:r>
            <w:r>
              <w:rPr>
                <w:rFonts w:ascii="宋体" w:hAnsi="宋体" w:cs="宋体" w:eastAsia="宋体" w:hint="default"/>
                <w:spacing w:val="-26"/>
                <w:sz w:val="18"/>
                <w:szCs w:val="18"/>
              </w:rPr>
              <w:t> </w:t>
            </w:r>
            <w:r>
              <w:rPr>
                <w:rFonts w:ascii="宋体" w:hAnsi="宋体" w:cs="宋体" w:eastAsia="宋体" w:hint="default"/>
                <w:sz w:val="18"/>
                <w:szCs w:val="18"/>
              </w:rPr>
              <w:t>31</w:t>
            </w:r>
            <w:r>
              <w:rPr>
                <w:rFonts w:ascii="宋体" w:hAnsi="宋体" w:cs="宋体" w:eastAsia="宋体" w:hint="default"/>
                <w:spacing w:val="-25"/>
                <w:sz w:val="18"/>
                <w:szCs w:val="18"/>
              </w:rPr>
              <w:t> </w:t>
            </w:r>
            <w:r>
              <w:rPr>
                <w:rFonts w:ascii="宋体" w:hAnsi="宋体" w:cs="宋体" w:eastAsia="宋体" w:hint="default"/>
                <w:sz w:val="18"/>
                <w:szCs w:val="18"/>
              </w:rPr>
              <w:t>日，本公司每年可减持的光一科技股份数量不超</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过上年末本人持有光一科技股份总数的</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27" w:hRule="exact"/>
        </w:trPr>
        <w:tc>
          <w:tcPr>
            <w:tcW w:w="1703" w:type="dxa"/>
            <w:vMerge/>
            <w:tcBorders>
              <w:left w:val="single" w:sz="12" w:space="0" w:color="000000"/>
              <w:bottom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single" w:sz="12" w:space="0" w:color="000000"/>
              <w:right w:val="single" w:sz="6" w:space="0" w:color="000000"/>
            </w:tcBorders>
          </w:tcPr>
          <w:p>
            <w:pPr/>
          </w:p>
        </w:tc>
        <w:tc>
          <w:tcPr>
            <w:tcW w:w="868" w:type="dxa"/>
            <w:tcBorders>
              <w:top w:val="nil" w:sz="6" w:space="0" w:color="auto"/>
              <w:left w:val="single" w:sz="6" w:space="0" w:color="000000"/>
              <w:bottom w:val="single" w:sz="12" w:space="0" w:color="000000"/>
              <w:right w:val="single" w:sz="6" w:space="0" w:color="000000"/>
            </w:tcBorders>
          </w:tcPr>
          <w:p>
            <w:pPr/>
          </w:p>
        </w:tc>
        <w:tc>
          <w:tcPr>
            <w:tcW w:w="457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本公司持有的光一科技股份可用于股份质押融资的总数不</w:t>
            </w:r>
          </w:p>
        </w:tc>
        <w:tc>
          <w:tcPr>
            <w:tcW w:w="851" w:type="dxa"/>
            <w:tcBorders>
              <w:top w:val="nil" w:sz="6" w:space="0" w:color="auto"/>
              <w:left w:val="single" w:sz="6" w:space="0" w:color="000000"/>
              <w:bottom w:val="single" w:sz="12" w:space="0" w:color="000000"/>
              <w:right w:val="single" w:sz="6" w:space="0" w:color="000000"/>
            </w:tcBorders>
          </w:tcPr>
          <w:p>
            <w:pPr/>
          </w:p>
        </w:tc>
        <w:tc>
          <w:tcPr>
            <w:tcW w:w="851" w:type="dxa"/>
            <w:tcBorders>
              <w:top w:val="nil" w:sz="6" w:space="0" w:color="auto"/>
              <w:left w:val="single" w:sz="6" w:space="0" w:color="000000"/>
              <w:bottom w:val="single" w:sz="12" w:space="0" w:color="000000"/>
              <w:right w:val="single" w:sz="6" w:space="0" w:color="000000"/>
            </w:tcBorders>
          </w:tcPr>
          <w:p>
            <w:pPr/>
          </w:p>
        </w:tc>
        <w:tc>
          <w:tcPr>
            <w:tcW w:w="777"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91.21402pt;margin-top:73.499985pt;width:93.15pt;height:251.6pt;mso-position-horizontal-relative:page;mso-position-vertical-relative:page;z-index:-9181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8"/>
                    <w:ind w:left="119" w:right="0" w:firstLine="0"/>
                    <w:jc w:val="center"/>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spacing w:before="0"/>
                    <w:ind w:left="117" w:right="0" w:firstLine="0"/>
                    <w:jc w:val="center"/>
                    <w:rPr>
                      <w:rFonts w:ascii="宋体" w:hAnsi="宋体" w:cs="宋体" w:eastAsia="宋体" w:hint="default"/>
                      <w:sz w:val="18"/>
                      <w:szCs w:val="18"/>
                    </w:rPr>
                  </w:pPr>
                  <w:r>
                    <w:rPr>
                      <w:rFonts w:ascii="宋体" w:hAnsi="宋体" w:cs="宋体" w:eastAsia="宋体" w:hint="default"/>
                      <w:sz w:val="18"/>
                      <w:szCs w:val="18"/>
                    </w:rPr>
                    <w:t>）</w:t>
                  </w:r>
                </w:p>
                <w:p>
                  <w:pPr>
                    <w:spacing w:line="626" w:lineRule="exact" w:before="98"/>
                    <w:ind w:left="0" w:right="777" w:firstLine="902"/>
                    <w:jc w:val="left"/>
                    <w:rPr>
                      <w:rFonts w:ascii="宋体" w:hAnsi="宋体" w:cs="宋体" w:eastAsia="宋体" w:hint="default"/>
                      <w:sz w:val="18"/>
                      <w:szCs w:val="18"/>
                    </w:rPr>
                  </w:pPr>
                  <w:r>
                    <w:rPr>
                      <w:rFonts w:ascii="宋体" w:hAnsi="宋体" w:cs="宋体" w:eastAsia="宋体" w:hint="default"/>
                      <w:sz w:val="18"/>
                      <w:szCs w:val="18"/>
                    </w:rPr>
                    <w:t>、 的相关规定。</w:t>
                  </w:r>
                </w:p>
              </w:txbxContent>
            </v:textbox>
            <w10:wrap type="none"/>
          </v:shape>
        </w:pict>
      </w:r>
      <w:r>
        <w:rPr/>
        <w:pict>
          <v:shape style="position:absolute;margin-left:301.222992pt;margin-top:325.879974pt;width:183.1pt;height:195.05pt;mso-position-horizontal-relative:page;mso-position-vertical-relative:page;z-index:-918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316" w:lineRule="auto" w:before="155"/>
                    <w:ind w:left="720" w:right="779" w:hanging="720"/>
                    <w:jc w:val="left"/>
                    <w:rPr>
                      <w:rFonts w:ascii="宋体" w:hAnsi="宋体" w:cs="宋体" w:eastAsia="宋体" w:hint="default"/>
                      <w:sz w:val="18"/>
                      <w:szCs w:val="18"/>
                    </w:rPr>
                  </w:pPr>
                  <w:r>
                    <w:rPr>
                      <w:rFonts w:ascii="宋体" w:hAnsi="宋体" w:cs="宋体" w:eastAsia="宋体" w:hint="default"/>
                      <w:sz w:val="18"/>
                      <w:szCs w:val="18"/>
                    </w:rPr>
                    <w:t>本人今后如被光一科技选举为董事、 则本人承诺按照关于董事、</w:t>
                  </w:r>
                </w:p>
              </w:txbxContent>
            </v:textbox>
            <w10:wrap type="none"/>
          </v:shape>
        </w:pict>
      </w:r>
      <w:r>
        <w:rPr/>
        <w:pict>
          <v:shape style="position:absolute;margin-left:409.277008pt;margin-top:556.059998pt;width:75.05pt;height:195.05pt;mso-position-horizontal-relative:page;mso-position-vertical-relative:page;z-index:-918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等法律、</w:t>
                  </w:r>
                </w:p>
              </w:txbxContent>
            </v:textbox>
            <w10:wrap type="none"/>
          </v:shape>
        </w:pict>
      </w:r>
      <w:r>
        <w:rPr/>
        <w:pict>
          <v:group style="position:absolute;margin-left:442.5pt;margin-top:73.499985pt;width:41.85pt;height:447.4pt;mso-position-horizontal-relative:page;mso-position-vertical-relative:page;z-index:-918040" coordorigin="8850,1470" coordsize="837,8948">
            <v:group style="position:absolute;left:8850;top:1470;width:837;height:5032" coordorigin="8850,1470" coordsize="837,5032">
              <v:shape style="position:absolute;left:8850;top:1470;width:837;height:5032" coordorigin="8850,1470" coordsize="837,5032" path="m8850,6502l9686,6502,9686,1470,8850,1470,8850,6502xe" filled="true" fillcolor="#ffffff" stroked="false">
                <v:path arrowok="t"/>
                <v:fill type="solid"/>
              </v:shape>
            </v:group>
            <v:group style="position:absolute;left:8850;top:6518;width:837;height:3901" coordorigin="8850,6518" coordsize="837,3901">
              <v:shape style="position:absolute;left:8850;top:6518;width:837;height:3901" coordorigin="8850,6518" coordsize="837,3901" path="m8850,10418l9686,10418,9686,6518,8850,6518,8850,10418xe" filled="true" fillcolor="#ffffff" stroked="false">
                <v:path arrowok="t"/>
                <v:fill type="solid"/>
              </v:shape>
            </v:group>
            <w10:wrap type="none"/>
          </v:group>
        </w:pict>
      </w:r>
      <w:r>
        <w:rPr/>
        <w:pict>
          <v:group style="position:absolute;margin-left:442.5pt;margin-top:556.059998pt;width:41.85pt;height:195.05pt;mso-position-horizontal-relative:page;mso-position-vertical-relative:page;z-index:-918016" coordorigin="8850,11121" coordsize="837,3901">
            <v:shape style="position:absolute;left:8850;top:11121;width:837;height:3901" coordorigin="8850,11121" coordsize="837,3901" path="m8850,15022l9686,15022,9686,11121,8850,11121,8850,15022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568" w:type="dxa"/>
        <w:tblLayout w:type="fixed"/>
        <w:tblCellMar>
          <w:top w:w="0" w:type="dxa"/>
          <w:left w:w="0" w:type="dxa"/>
          <w:bottom w:w="0" w:type="dxa"/>
          <w:right w:w="0" w:type="dxa"/>
        </w:tblCellMar>
        <w:tblLook w:val="01E0"/>
      </w:tblPr>
      <w:tblGrid>
        <w:gridCol w:w="1703"/>
        <w:gridCol w:w="1116"/>
        <w:gridCol w:w="868"/>
        <w:gridCol w:w="4573"/>
        <w:gridCol w:w="851"/>
        <w:gridCol w:w="851"/>
        <w:gridCol w:w="777"/>
      </w:tblGrid>
      <w:tr>
        <w:trPr>
          <w:trHeight w:val="327" w:hRule="exact"/>
        </w:trPr>
        <w:tc>
          <w:tcPr>
            <w:tcW w:w="1703" w:type="dxa"/>
            <w:vMerge w:val="restart"/>
            <w:tcBorders>
              <w:top w:val="single" w:sz="12" w:space="0" w:color="000000"/>
              <w:left w:val="single" w:sz="12" w:space="0" w:color="000000"/>
              <w:right w:val="single" w:sz="6" w:space="0" w:color="000000"/>
            </w:tcBorders>
            <w:shd w:val="clear" w:color="auto" w:fill="D2D2D2"/>
          </w:tcPr>
          <w:p>
            <w:pPr/>
          </w:p>
        </w:tc>
        <w:tc>
          <w:tcPr>
            <w:tcW w:w="1116" w:type="dxa"/>
            <w:vMerge w:val="restart"/>
            <w:tcBorders>
              <w:top w:val="single" w:sz="12" w:space="0" w:color="000000"/>
              <w:left w:val="single" w:sz="6" w:space="0" w:color="000000"/>
              <w:right w:val="single" w:sz="6" w:space="0" w:color="000000"/>
            </w:tcBorders>
          </w:tcPr>
          <w:p>
            <w:pPr/>
          </w:p>
        </w:tc>
        <w:tc>
          <w:tcPr>
            <w:tcW w:w="868" w:type="dxa"/>
            <w:vMerge w:val="restart"/>
            <w:tcBorders>
              <w:top w:val="single" w:sz="12" w:space="0" w:color="000000"/>
              <w:left w:val="single" w:sz="6" w:space="0" w:color="000000"/>
              <w:right w:val="single" w:sz="6" w:space="0" w:color="000000"/>
            </w:tcBorders>
          </w:tcPr>
          <w:p>
            <w:pPr/>
          </w:p>
        </w:tc>
        <w:tc>
          <w:tcPr>
            <w:tcW w:w="457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超过本公司持有全部光一科技股份数量的</w:t>
            </w:r>
            <w:r>
              <w:rPr>
                <w:rFonts w:ascii="宋体" w:hAnsi="宋体" w:cs="宋体" w:eastAsia="宋体" w:hint="default"/>
                <w:spacing w:val="-40"/>
                <w:sz w:val="18"/>
                <w:szCs w:val="18"/>
              </w:rPr>
              <w:t> </w:t>
            </w:r>
            <w:r>
              <w:rPr>
                <w:rFonts w:ascii="宋体" w:hAnsi="宋体" w:cs="宋体" w:eastAsia="宋体" w:hint="default"/>
                <w:spacing w:val="-4"/>
                <w:sz w:val="18"/>
                <w:szCs w:val="18"/>
              </w:rPr>
              <w:t>85%</w:t>
            </w:r>
            <w:r>
              <w:rPr>
                <w:rFonts w:ascii="宋体" w:hAnsi="宋体" w:cs="宋体" w:eastAsia="宋体" w:hint="default"/>
                <w:spacing w:val="-4"/>
                <w:sz w:val="18"/>
                <w:szCs w:val="18"/>
              </w:rPr>
              <w:t>。（</w:t>
            </w:r>
            <w:r>
              <w:rPr>
                <w:rFonts w:ascii="宋体" w:hAnsi="宋体" w:cs="宋体" w:eastAsia="宋体" w:hint="default"/>
                <w:spacing w:val="-4"/>
                <w:sz w:val="18"/>
                <w:szCs w:val="18"/>
              </w:rPr>
              <w:t>5</w:t>
            </w:r>
            <w:r>
              <w:rPr>
                <w:rFonts w:ascii="宋体" w:hAnsi="宋体" w:cs="宋体" w:eastAsia="宋体" w:hint="default"/>
                <w:spacing w:val="-4"/>
                <w:sz w:val="18"/>
                <w:szCs w:val="18"/>
              </w:rPr>
              <w:t>）如果</w:t>
            </w:r>
          </w:p>
        </w:tc>
        <w:tc>
          <w:tcPr>
            <w:tcW w:w="851" w:type="dxa"/>
            <w:vMerge w:val="restart"/>
            <w:tcBorders>
              <w:top w:val="single" w:sz="12" w:space="0" w:color="000000"/>
              <w:left w:val="single" w:sz="6" w:space="0" w:color="000000"/>
              <w:right w:val="single" w:sz="6" w:space="0" w:color="000000"/>
            </w:tcBorders>
          </w:tcPr>
          <w:p>
            <w:pPr/>
          </w:p>
        </w:tc>
        <w:tc>
          <w:tcPr>
            <w:tcW w:w="851" w:type="dxa"/>
            <w:vMerge w:val="restart"/>
            <w:tcBorders>
              <w:top w:val="single" w:sz="12" w:space="0" w:color="000000"/>
              <w:left w:val="single" w:sz="6" w:space="0" w:color="000000"/>
              <w:right w:val="single" w:sz="6" w:space="0" w:color="000000"/>
            </w:tcBorders>
          </w:tcPr>
          <w:p>
            <w:pPr/>
          </w:p>
        </w:tc>
        <w:tc>
          <w:tcPr>
            <w:tcW w:w="777" w:type="dxa"/>
            <w:vMerge w:val="restart"/>
            <w:tcBorders>
              <w:top w:val="single" w:sz="12" w:space="0" w:color="000000"/>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中国证监会及或深圳证券交易所对于上述锁定期安排有不</w:t>
            </w:r>
          </w:p>
        </w:tc>
        <w:tc>
          <w:tcPr>
            <w:tcW w:w="851"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同意见及或要求的，本公司将按照中国证监会及或深圳证</w:t>
            </w:r>
          </w:p>
        </w:tc>
        <w:tc>
          <w:tcPr>
            <w:tcW w:w="851"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券交易所的意见对上述锁定期安排进行修订并予执行</w:t>
            </w:r>
            <w:r>
              <w:rPr>
                <w:rFonts w:ascii="宋体" w:hAnsi="宋体" w:cs="宋体" w:eastAsia="宋体" w:hint="default"/>
                <w:spacing w:val="-164"/>
                <w:sz w:val="18"/>
                <w:szCs w:val="18"/>
              </w:rPr>
              <w:t>。</w:t>
            </w:r>
            <w:r>
              <w:rPr>
                <w:rFonts w:ascii="宋体" w:hAnsi="宋体" w:cs="宋体" w:eastAsia="宋体" w:hint="default"/>
                <w:sz w:val="18"/>
                <w:szCs w:val="18"/>
              </w:rPr>
              <w:t>（</w:t>
            </w:r>
            <w:r>
              <w:rPr>
                <w:rFonts w:ascii="宋体" w:hAnsi="宋体" w:cs="宋体" w:eastAsia="宋体" w:hint="default"/>
                <w:sz w:val="18"/>
                <w:szCs w:val="18"/>
              </w:rPr>
              <w:t>6</w:t>
            </w:r>
          </w:p>
        </w:tc>
        <w:tc>
          <w:tcPr>
            <w:tcW w:w="851"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如本公司根据《发行股份及支付现金购买资产协议》约定</w:t>
            </w:r>
          </w:p>
        </w:tc>
        <w:tc>
          <w:tcPr>
            <w:tcW w:w="851"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7"/>
                <w:sz w:val="18"/>
                <w:szCs w:val="18"/>
              </w:rPr>
              <w:t>负有股份补偿义务，则本公司将在《专项审核报告》及《减</w:t>
            </w:r>
          </w:p>
        </w:tc>
        <w:tc>
          <w:tcPr>
            <w:tcW w:w="851"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值测试报告》（如有）披露后十个工作日内向登记结算公</w:t>
            </w:r>
          </w:p>
        </w:tc>
        <w:tc>
          <w:tcPr>
            <w:tcW w:w="851"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司发出将本公司应补偿的股份划转至光一科技董事会设立</w:t>
            </w:r>
          </w:p>
        </w:tc>
        <w:tc>
          <w:tcPr>
            <w:tcW w:w="851"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7"/>
                <w:sz w:val="18"/>
                <w:szCs w:val="18"/>
              </w:rPr>
              <w:t>的专门账户并对该等用于支付补偿的股份进行锁定的指</w:t>
            </w:r>
          </w:p>
        </w:tc>
        <w:tc>
          <w:tcPr>
            <w:tcW w:w="851"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令，并明确说明只有光一科技有权做出解除该等锁定的指</w:t>
            </w:r>
          </w:p>
        </w:tc>
        <w:tc>
          <w:tcPr>
            <w:tcW w:w="851"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令。光一科技应为本公司办理《发行股份及支付现金购买</w:t>
            </w:r>
          </w:p>
        </w:tc>
        <w:tc>
          <w:tcPr>
            <w:tcW w:w="851"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资产协议</w:t>
            </w:r>
            <w:r>
              <w:rPr>
                <w:rFonts w:ascii="宋体" w:hAnsi="宋体" w:cs="宋体" w:eastAsia="宋体" w:hint="default"/>
                <w:spacing w:val="-56"/>
                <w:sz w:val="18"/>
                <w:szCs w:val="18"/>
              </w:rPr>
              <w:t>》</w:t>
            </w:r>
            <w:r>
              <w:rPr>
                <w:rFonts w:ascii="宋体" w:hAnsi="宋体" w:cs="宋体" w:eastAsia="宋体" w:hint="default"/>
                <w:sz w:val="18"/>
                <w:szCs w:val="18"/>
              </w:rPr>
              <w:t>约定的补偿股份划转手续提供协助及便利</w:t>
            </w:r>
            <w:r>
              <w:rPr>
                <w:rFonts w:ascii="宋体" w:hAnsi="宋体" w:cs="宋体" w:eastAsia="宋体" w:hint="default"/>
                <w:spacing w:val="-111"/>
                <w:sz w:val="18"/>
                <w:szCs w:val="18"/>
              </w:rPr>
              <w:t>。</w:t>
            </w:r>
            <w:r>
              <w:rPr>
                <w:rFonts w:ascii="宋体" w:hAnsi="宋体" w:cs="宋体" w:eastAsia="宋体" w:hint="default"/>
                <w:sz w:val="18"/>
                <w:szCs w:val="18"/>
              </w:rPr>
              <w:t>（</w:t>
            </w:r>
            <w:r>
              <w:rPr>
                <w:rFonts w:ascii="宋体" w:hAnsi="宋体" w:cs="宋体" w:eastAsia="宋体" w:hint="default"/>
                <w:sz w:val="18"/>
                <w:szCs w:val="18"/>
              </w:rPr>
              <w:t>7</w:t>
            </w:r>
          </w:p>
        </w:tc>
        <w:tc>
          <w:tcPr>
            <w:tcW w:w="851"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本公司进一步承诺，本公司因本次交易所取得的所支付股</w:t>
            </w:r>
          </w:p>
        </w:tc>
        <w:tc>
          <w:tcPr>
            <w:tcW w:w="851"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份在转让时会同时遵守当时有效</w:t>
            </w:r>
            <w:r>
              <w:rPr>
                <w:rFonts w:ascii="宋体" w:hAnsi="宋体" w:cs="宋体" w:eastAsia="宋体" w:hint="default"/>
                <w:spacing w:val="-51"/>
                <w:sz w:val="18"/>
                <w:szCs w:val="18"/>
              </w:rPr>
              <w:t>的</w:t>
            </w:r>
            <w:r>
              <w:rPr>
                <w:rFonts w:ascii="宋体" w:hAnsi="宋体" w:cs="宋体" w:eastAsia="宋体" w:hint="default"/>
                <w:sz w:val="18"/>
                <w:szCs w:val="18"/>
              </w:rPr>
              <w:t>《公司法</w:t>
            </w:r>
            <w:r>
              <w:rPr>
                <w:rFonts w:ascii="宋体" w:hAnsi="宋体" w:cs="宋体" w:eastAsia="宋体" w:hint="default"/>
                <w:spacing w:val="-51"/>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《证券法》</w:t>
            </w:r>
          </w:p>
        </w:tc>
        <w:tc>
          <w:tcPr>
            <w:tcW w:w="851"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3"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《深圳证券交易所创业板股票上市规则》等法律、法规、</w:t>
            </w:r>
          </w:p>
        </w:tc>
        <w:tc>
          <w:tcPr>
            <w:tcW w:w="851"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58"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bottom w:val="single" w:sz="6" w:space="0" w:color="000000"/>
              <w:right w:val="single" w:sz="6" w:space="0" w:color="000000"/>
            </w:tcBorders>
          </w:tcPr>
          <w:p>
            <w:pPr/>
          </w:p>
        </w:tc>
        <w:tc>
          <w:tcPr>
            <w:tcW w:w="868" w:type="dxa"/>
            <w:vMerge/>
            <w:tcBorders>
              <w:left w:val="single" w:sz="6" w:space="0" w:color="000000"/>
              <w:bottom w:val="single" w:sz="6" w:space="0" w:color="000000"/>
              <w:right w:val="single" w:sz="6" w:space="0" w:color="000000"/>
            </w:tcBorders>
          </w:tcPr>
          <w:p>
            <w:pPr/>
          </w:p>
        </w:tc>
        <w:tc>
          <w:tcPr>
            <w:tcW w:w="457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规章和规范性文件以及光一科技《公司章程》</w:t>
            </w:r>
          </w:p>
        </w:tc>
        <w:tc>
          <w:tcPr>
            <w:tcW w:w="851"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777" w:type="dxa"/>
            <w:vMerge/>
            <w:tcBorders>
              <w:left w:val="single" w:sz="6" w:space="0" w:color="000000"/>
              <w:bottom w:val="single" w:sz="6" w:space="0" w:color="000000"/>
              <w:right w:val="single" w:sz="12" w:space="0" w:color="000000"/>
            </w:tcBorders>
          </w:tcPr>
          <w:p>
            <w:pPr/>
          </w:p>
        </w:tc>
      </w:tr>
      <w:tr>
        <w:trPr>
          <w:trHeight w:val="361" w:hRule="exact"/>
        </w:trPr>
        <w:tc>
          <w:tcPr>
            <w:tcW w:w="1703" w:type="dxa"/>
            <w:vMerge/>
            <w:tcBorders>
              <w:left w:val="single" w:sz="12" w:space="0" w:color="000000"/>
              <w:right w:val="single" w:sz="6" w:space="0" w:color="000000"/>
            </w:tcBorders>
            <w:shd w:val="clear" w:color="auto" w:fill="D2D2D2"/>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868" w:type="dxa"/>
            <w:tcBorders>
              <w:top w:val="single" w:sz="6" w:space="0" w:color="000000"/>
              <w:left w:val="single" w:sz="6" w:space="0" w:color="000000"/>
              <w:bottom w:val="nil" w:sz="6" w:space="0" w:color="auto"/>
              <w:right w:val="single" w:sz="6" w:space="0" w:color="000000"/>
            </w:tcBorders>
          </w:tcPr>
          <w:p>
            <w:pPr/>
          </w:p>
        </w:tc>
        <w:tc>
          <w:tcPr>
            <w:tcW w:w="457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）自股份交割之日起</w:t>
            </w:r>
            <w:r>
              <w:rPr>
                <w:rFonts w:ascii="宋体" w:hAnsi="宋体" w:cs="宋体" w:eastAsia="宋体" w:hint="default"/>
                <w:spacing w:val="-37"/>
                <w:sz w:val="18"/>
                <w:szCs w:val="18"/>
              </w:rPr>
              <w:t> </w:t>
            </w:r>
            <w:r>
              <w:rPr>
                <w:rFonts w:ascii="宋体" w:hAnsi="宋体" w:cs="宋体" w:eastAsia="宋体" w:hint="default"/>
                <w:sz w:val="18"/>
                <w:szCs w:val="18"/>
              </w:rPr>
              <w:t>36</w:t>
            </w:r>
            <w:r>
              <w:rPr>
                <w:rFonts w:ascii="宋体" w:hAnsi="宋体" w:cs="宋体" w:eastAsia="宋体" w:hint="default"/>
                <w:spacing w:val="-38"/>
                <w:sz w:val="18"/>
                <w:szCs w:val="18"/>
              </w:rPr>
              <w:t> </w:t>
            </w:r>
            <w:r>
              <w:rPr>
                <w:rFonts w:ascii="宋体" w:hAnsi="宋体" w:cs="宋体" w:eastAsia="宋体" w:hint="default"/>
                <w:sz w:val="18"/>
                <w:szCs w:val="18"/>
              </w:rPr>
              <w:t>个月内不转让本人因本次交易</w:t>
            </w:r>
          </w:p>
        </w:tc>
        <w:tc>
          <w:tcPr>
            <w:tcW w:w="851"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777"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所取得的所支付股份。</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监事或者聘任为高级管理人员，</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监事及高管持股及减持的规定履行持股锁定及减持义务。</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）为保证本次交易盈利预测补偿承诺的可实现性，本人</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进一步承诺，如果在前述 </w:t>
            </w:r>
            <w:r>
              <w:rPr>
                <w:rFonts w:ascii="宋体" w:hAnsi="宋体" w:cs="宋体" w:eastAsia="宋体" w:hint="default"/>
                <w:sz w:val="18"/>
                <w:szCs w:val="18"/>
              </w:rPr>
              <w:t>36</w:t>
            </w:r>
            <w:r>
              <w:rPr>
                <w:rFonts w:ascii="宋体" w:hAnsi="宋体" w:cs="宋体" w:eastAsia="宋体" w:hint="default"/>
                <w:spacing w:val="11"/>
                <w:sz w:val="18"/>
                <w:szCs w:val="18"/>
              </w:rPr>
              <w:t> </w:t>
            </w:r>
            <w:r>
              <w:rPr>
                <w:rFonts w:ascii="宋体" w:hAnsi="宋体" w:cs="宋体" w:eastAsia="宋体" w:hint="default"/>
                <w:sz w:val="18"/>
                <w:szCs w:val="18"/>
              </w:rPr>
              <w:t>个月锁定期届满后本人按照</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《发行股份及支付现金购买资产协议》约定负有股份补偿</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义务未履行的，则锁定期自动延期至本人所负股份补偿义</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务履行完毕时止。（</w:t>
            </w:r>
            <w:r>
              <w:rPr>
                <w:rFonts w:ascii="宋体" w:hAnsi="宋体" w:cs="宋体" w:eastAsia="宋体" w:hint="default"/>
                <w:spacing w:val="-3"/>
                <w:sz w:val="18"/>
                <w:szCs w:val="18"/>
              </w:rPr>
              <w:t>3</w:t>
            </w:r>
            <w:r>
              <w:rPr>
                <w:rFonts w:ascii="宋体" w:hAnsi="宋体" w:cs="宋体" w:eastAsia="宋体" w:hint="default"/>
                <w:spacing w:val="-3"/>
                <w:sz w:val="18"/>
                <w:szCs w:val="18"/>
              </w:rPr>
              <w:t>）本函第一条所述“因本次交易所取</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得的所支付股份”包括锁定期内本人依据所支付股份按照</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光一科技分配股票股利、资本公积转增股本等原因所取得</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3"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pacing w:val="-4"/>
                <w:sz w:val="18"/>
                <w:szCs w:val="18"/>
              </w:rPr>
              <w:t>桂长钟、李善</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的股份。（</w:t>
            </w:r>
            <w:r>
              <w:rPr>
                <w:rFonts w:ascii="宋体" w:hAnsi="宋体" w:cs="宋体" w:eastAsia="宋体" w:hint="default"/>
                <w:spacing w:val="-3"/>
                <w:sz w:val="18"/>
                <w:szCs w:val="18"/>
              </w:rPr>
              <w:t>4</w:t>
            </w:r>
            <w:r>
              <w:rPr>
                <w:rFonts w:ascii="宋体" w:hAnsi="宋体" w:cs="宋体" w:eastAsia="宋体" w:hint="default"/>
                <w:spacing w:val="-3"/>
                <w:sz w:val="18"/>
                <w:szCs w:val="18"/>
              </w:rPr>
              <w:t>）如果中国证监会及或深圳证券交易所对于上</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935"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17"/>
              <w:jc w:val="both"/>
              <w:rPr>
                <w:rFonts w:ascii="宋体" w:hAnsi="宋体" w:cs="宋体" w:eastAsia="宋体" w:hint="default"/>
                <w:sz w:val="18"/>
                <w:szCs w:val="18"/>
              </w:rPr>
            </w:pPr>
            <w:r>
              <w:rPr>
                <w:rFonts w:ascii="宋体" w:hAnsi="宋体" w:cs="宋体" w:eastAsia="宋体" w:hint="default"/>
                <w:spacing w:val="-4"/>
                <w:sz w:val="18"/>
                <w:szCs w:val="18"/>
              </w:rPr>
              <w:t>元、周军、田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1"/>
                <w:sz w:val="18"/>
                <w:szCs w:val="18"/>
              </w:rPr>
              <w:t>裕树、方旭</w:t>
            </w:r>
            <w:r>
              <w:rPr>
                <w:rFonts w:ascii="宋体" w:hAnsi="宋体" w:cs="宋体" w:eastAsia="宋体" w:hint="default"/>
                <w:spacing w:val="-51"/>
                <w:sz w:val="18"/>
                <w:szCs w:val="18"/>
              </w:rPr>
              <w:t> </w:t>
            </w:r>
            <w:r>
              <w:rPr>
                <w:rFonts w:ascii="宋体" w:hAnsi="宋体" w:cs="宋体" w:eastAsia="宋体" w:hint="default"/>
                <w:spacing w:val="-4"/>
                <w:sz w:val="18"/>
                <w:szCs w:val="18"/>
              </w:rPr>
              <w:t>东、李强、徐</w:t>
            </w:r>
          </w:p>
        </w:tc>
        <w:tc>
          <w:tcPr>
            <w:tcW w:w="86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0" w:right="110"/>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1" w:right="17"/>
              <w:jc w:val="both"/>
              <w:rPr>
                <w:rFonts w:ascii="宋体" w:hAnsi="宋体" w:cs="宋体" w:eastAsia="宋体" w:hint="default"/>
                <w:sz w:val="18"/>
                <w:szCs w:val="18"/>
              </w:rPr>
            </w:pPr>
            <w:r>
              <w:rPr>
                <w:rFonts w:ascii="宋体" w:hAnsi="宋体" w:cs="宋体" w:eastAsia="宋体" w:hint="default"/>
                <w:sz w:val="18"/>
                <w:szCs w:val="18"/>
              </w:rPr>
              <w:t>述锁定期安排有不同意见及或要求的，本人将按照中国证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监会及或深圳证券交易所的意见对上述锁定期安排进行修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订并予执行。（</w:t>
            </w:r>
            <w:r>
              <w:rPr>
                <w:rFonts w:ascii="宋体" w:hAnsi="宋体" w:cs="宋体" w:eastAsia="宋体" w:hint="default"/>
                <w:spacing w:val="-3"/>
                <w:sz w:val="18"/>
                <w:szCs w:val="18"/>
              </w:rPr>
              <w:t>5</w:t>
            </w:r>
            <w:r>
              <w:rPr>
                <w:rFonts w:ascii="宋体" w:hAnsi="宋体" w:cs="宋体" w:eastAsia="宋体" w:hint="default"/>
                <w:spacing w:val="-3"/>
                <w:sz w:val="18"/>
                <w:szCs w:val="18"/>
              </w:rPr>
              <w:t>）如本人根据《发行股份及支付现金购买</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77"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3"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光涛</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资产协议》约定负有股份补偿义务，则本人将在《专项审</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1"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核报告》及《减值测试报告》（如有）披露后十个工作日</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内向登记结算公司发出将本人应补偿的股份划转至光一科</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技董事会设立的专门账户并对该等用于支付补偿的股份进</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行锁定的指令，并明确说明只有光一科技有权做出解除该</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等锁定的指令。光一科技应为本人办理《发行股份及支付</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现金购买资产协议》约定的补偿股份划转手续提供协助及</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便利。（</w:t>
            </w:r>
            <w:r>
              <w:rPr>
                <w:rFonts w:ascii="宋体" w:hAnsi="宋体" w:cs="宋体" w:eastAsia="宋体" w:hint="default"/>
                <w:spacing w:val="-3"/>
                <w:sz w:val="18"/>
                <w:szCs w:val="18"/>
              </w:rPr>
              <w:t>6</w:t>
            </w:r>
            <w:r>
              <w:rPr>
                <w:rFonts w:ascii="宋体" w:hAnsi="宋体" w:cs="宋体" w:eastAsia="宋体" w:hint="default"/>
                <w:spacing w:val="-3"/>
                <w:sz w:val="18"/>
                <w:szCs w:val="18"/>
              </w:rPr>
              <w:t>）本人进一步承诺，本人因本次交易所取得的所</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支付股份在转让时会同时遵守当时有效</w:t>
            </w:r>
            <w:r>
              <w:rPr>
                <w:rFonts w:ascii="宋体" w:hAnsi="宋体" w:cs="宋体" w:eastAsia="宋体" w:hint="default"/>
                <w:spacing w:val="-41"/>
                <w:sz w:val="18"/>
                <w:szCs w:val="18"/>
              </w:rPr>
              <w:t>的</w:t>
            </w:r>
            <w:r>
              <w:rPr>
                <w:rFonts w:ascii="宋体" w:hAnsi="宋体" w:cs="宋体" w:eastAsia="宋体" w:hint="default"/>
                <w:sz w:val="18"/>
                <w:szCs w:val="18"/>
              </w:rPr>
              <w:t>《公司法</w:t>
            </w:r>
            <w:r>
              <w:rPr>
                <w:rFonts w:ascii="宋体" w:hAnsi="宋体" w:cs="宋体" w:eastAsia="宋体" w:hint="default"/>
                <w:spacing w:val="-41"/>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《证</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券法》、《深圳证券交易所创业板股票上市规则》</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3"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法规、规章和规范性文件以及光一科技《公司章程》的相</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66" w:hRule="exact"/>
        </w:trPr>
        <w:tc>
          <w:tcPr>
            <w:tcW w:w="1703" w:type="dxa"/>
            <w:vMerge/>
            <w:tcBorders>
              <w:left w:val="single" w:sz="12" w:space="0" w:color="000000"/>
              <w:bottom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single" w:sz="12" w:space="0" w:color="000000"/>
              <w:right w:val="single" w:sz="6" w:space="0" w:color="000000"/>
            </w:tcBorders>
          </w:tcPr>
          <w:p>
            <w:pPr/>
          </w:p>
        </w:tc>
        <w:tc>
          <w:tcPr>
            <w:tcW w:w="868" w:type="dxa"/>
            <w:tcBorders>
              <w:top w:val="nil" w:sz="6" w:space="0" w:color="auto"/>
              <w:left w:val="single" w:sz="6" w:space="0" w:color="000000"/>
              <w:bottom w:val="single" w:sz="12" w:space="0" w:color="000000"/>
              <w:right w:val="single" w:sz="6" w:space="0" w:color="000000"/>
            </w:tcBorders>
          </w:tcPr>
          <w:p>
            <w:pPr/>
          </w:p>
        </w:tc>
        <w:tc>
          <w:tcPr>
            <w:tcW w:w="457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关规定。</w:t>
            </w:r>
          </w:p>
        </w:tc>
        <w:tc>
          <w:tcPr>
            <w:tcW w:w="851" w:type="dxa"/>
            <w:tcBorders>
              <w:top w:val="nil" w:sz="6" w:space="0" w:color="auto"/>
              <w:left w:val="single" w:sz="6" w:space="0" w:color="000000"/>
              <w:bottom w:val="single" w:sz="12" w:space="0" w:color="000000"/>
              <w:right w:val="single" w:sz="6" w:space="0" w:color="000000"/>
            </w:tcBorders>
          </w:tcPr>
          <w:p>
            <w:pPr/>
          </w:p>
        </w:tc>
        <w:tc>
          <w:tcPr>
            <w:tcW w:w="851" w:type="dxa"/>
            <w:tcBorders>
              <w:top w:val="nil" w:sz="6" w:space="0" w:color="auto"/>
              <w:left w:val="single" w:sz="6" w:space="0" w:color="000000"/>
              <w:bottom w:val="single" w:sz="12" w:space="0" w:color="000000"/>
              <w:right w:val="single" w:sz="6" w:space="0" w:color="000000"/>
            </w:tcBorders>
          </w:tcPr>
          <w:p>
            <w:pPr/>
          </w:p>
        </w:tc>
        <w:tc>
          <w:tcPr>
            <w:tcW w:w="777"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01.222992pt;margin-top:73.499985pt;width:183.1pt;height:93.65pt;mso-position-horizontal-relative:page;mso-position-vertical-relative:page;z-index:-9179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316" w:lineRule="auto" w:before="155"/>
                    <w:ind w:left="720" w:right="779" w:hanging="720"/>
                    <w:jc w:val="left"/>
                    <w:rPr>
                      <w:rFonts w:ascii="宋体" w:hAnsi="宋体" w:cs="宋体" w:eastAsia="宋体" w:hint="default"/>
                      <w:sz w:val="18"/>
                      <w:szCs w:val="18"/>
                    </w:rPr>
                  </w:pPr>
                  <w:r>
                    <w:rPr>
                      <w:rFonts w:ascii="宋体" w:hAnsi="宋体" w:cs="宋体" w:eastAsia="宋体" w:hint="default"/>
                      <w:sz w:val="18"/>
                      <w:szCs w:val="18"/>
                    </w:rPr>
                    <w:t>本人今后如被光一科技选举为董事、 则本人承诺按照关于董事、</w:t>
                  </w:r>
                </w:p>
              </w:txbxContent>
            </v:textbox>
            <w10:wrap type="none"/>
          </v:shape>
        </w:pict>
      </w:r>
      <w:r>
        <w:rPr/>
        <w:pict>
          <v:shape style="position:absolute;margin-left:391.21402pt;margin-top:202.339981pt;width:93.15pt;height:93.6pt;mso-position-horizontal-relative:page;mso-position-vertical-relative:page;z-index:-917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的相关规定。</w:t>
                  </w:r>
                </w:p>
              </w:txbxContent>
            </v:textbox>
            <w10:wrap type="none"/>
          </v:shape>
        </w:pict>
      </w:r>
      <w:r>
        <w:rPr/>
        <w:pict>
          <v:group style="position:absolute;margin-left:442.5pt;margin-top:73.499985pt;width:41.85pt;height:93.65pt;mso-position-horizontal-relative:page;mso-position-vertical-relative:page;z-index:-917944" coordorigin="8850,1470" coordsize="837,1873">
            <v:shape style="position:absolute;left:8850;top:1470;width:837;height:1873" coordorigin="8850,1470" coordsize="837,1873" path="m8850,3342l9686,3342,9686,1470,8850,1470,8850,3342xe" filled="true" fillcolor="#ffffff" stroked="false">
              <v:path arrowok="t"/>
              <v:fill type="solid"/>
            </v:shape>
            <w10:wrap type="none"/>
          </v:group>
        </w:pict>
      </w:r>
      <w:r>
        <w:rPr/>
        <w:pict>
          <v:group style="position:absolute;margin-left:442.5pt;margin-top:202.339981pt;width:41.85pt;height:93.6pt;mso-position-horizontal-relative:page;mso-position-vertical-relative:page;z-index:-917920" coordorigin="8850,4047" coordsize="837,1872">
            <v:shape style="position:absolute;left:8850;top:4047;width:837;height:1872" coordorigin="8850,4047" coordsize="837,1872" path="m8850,5919l9686,5919,9686,4047,8850,4047,8850,5919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568" w:type="dxa"/>
        <w:tblLayout w:type="fixed"/>
        <w:tblCellMar>
          <w:top w:w="0" w:type="dxa"/>
          <w:left w:w="0" w:type="dxa"/>
          <w:bottom w:w="0" w:type="dxa"/>
          <w:right w:w="0" w:type="dxa"/>
        </w:tblCellMar>
        <w:tblLook w:val="01E0"/>
      </w:tblPr>
      <w:tblGrid>
        <w:gridCol w:w="1703"/>
        <w:gridCol w:w="1116"/>
        <w:gridCol w:w="868"/>
        <w:gridCol w:w="4573"/>
        <w:gridCol w:w="851"/>
        <w:gridCol w:w="851"/>
        <w:gridCol w:w="777"/>
      </w:tblGrid>
      <w:tr>
        <w:trPr>
          <w:trHeight w:val="367" w:hRule="exact"/>
        </w:trPr>
        <w:tc>
          <w:tcPr>
            <w:tcW w:w="1703" w:type="dxa"/>
            <w:vMerge w:val="restart"/>
            <w:tcBorders>
              <w:top w:val="single" w:sz="12" w:space="0" w:color="000000"/>
              <w:left w:val="single" w:sz="12" w:space="0" w:color="000000"/>
              <w:right w:val="single" w:sz="6" w:space="0" w:color="000000"/>
            </w:tcBorders>
            <w:shd w:val="clear" w:color="auto" w:fill="D2D2D2"/>
          </w:tcPr>
          <w:p>
            <w:pPr/>
          </w:p>
        </w:tc>
        <w:tc>
          <w:tcPr>
            <w:tcW w:w="1116" w:type="dxa"/>
            <w:tcBorders>
              <w:top w:val="single" w:sz="12" w:space="0" w:color="000000"/>
              <w:left w:val="single" w:sz="6" w:space="0" w:color="000000"/>
              <w:bottom w:val="nil" w:sz="6" w:space="0" w:color="auto"/>
              <w:right w:val="single" w:sz="6" w:space="0" w:color="000000"/>
            </w:tcBorders>
          </w:tcPr>
          <w:p>
            <w:pPr/>
          </w:p>
        </w:tc>
        <w:tc>
          <w:tcPr>
            <w:tcW w:w="868" w:type="dxa"/>
            <w:tcBorders>
              <w:top w:val="single" w:sz="12" w:space="0" w:color="000000"/>
              <w:left w:val="single" w:sz="6" w:space="0" w:color="000000"/>
              <w:bottom w:val="nil" w:sz="6" w:space="0" w:color="auto"/>
              <w:right w:val="single" w:sz="6" w:space="0" w:color="000000"/>
            </w:tcBorders>
          </w:tcPr>
          <w:p>
            <w:pPr/>
          </w:p>
        </w:tc>
        <w:tc>
          <w:tcPr>
            <w:tcW w:w="457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）自股份交割之日起</w:t>
            </w:r>
            <w:r>
              <w:rPr>
                <w:rFonts w:ascii="宋体" w:hAnsi="宋体" w:cs="宋体" w:eastAsia="宋体" w:hint="default"/>
                <w:spacing w:val="-37"/>
                <w:sz w:val="18"/>
                <w:szCs w:val="18"/>
              </w:rPr>
              <w:t> </w:t>
            </w:r>
            <w:r>
              <w:rPr>
                <w:rFonts w:ascii="宋体" w:hAnsi="宋体" w:cs="宋体" w:eastAsia="宋体" w:hint="default"/>
                <w:sz w:val="18"/>
                <w:szCs w:val="18"/>
              </w:rPr>
              <w:t>12</w:t>
            </w:r>
            <w:r>
              <w:rPr>
                <w:rFonts w:ascii="宋体" w:hAnsi="宋体" w:cs="宋体" w:eastAsia="宋体" w:hint="default"/>
                <w:spacing w:val="-38"/>
                <w:sz w:val="18"/>
                <w:szCs w:val="18"/>
              </w:rPr>
              <w:t> </w:t>
            </w:r>
            <w:r>
              <w:rPr>
                <w:rFonts w:ascii="宋体" w:hAnsi="宋体" w:cs="宋体" w:eastAsia="宋体" w:hint="default"/>
                <w:sz w:val="18"/>
                <w:szCs w:val="18"/>
              </w:rPr>
              <w:t>个月内不转让本人因本次交易</w:t>
            </w:r>
          </w:p>
        </w:tc>
        <w:tc>
          <w:tcPr>
            <w:tcW w:w="851" w:type="dxa"/>
            <w:tcBorders>
              <w:top w:val="single" w:sz="12" w:space="0" w:color="000000"/>
              <w:left w:val="single" w:sz="6" w:space="0" w:color="000000"/>
              <w:bottom w:val="nil" w:sz="6" w:space="0" w:color="auto"/>
              <w:right w:val="single" w:sz="6" w:space="0" w:color="000000"/>
            </w:tcBorders>
          </w:tcPr>
          <w:p>
            <w:pPr/>
          </w:p>
        </w:tc>
        <w:tc>
          <w:tcPr>
            <w:tcW w:w="851" w:type="dxa"/>
            <w:tcBorders>
              <w:top w:val="single" w:sz="12" w:space="0" w:color="000000"/>
              <w:left w:val="single" w:sz="6" w:space="0" w:color="000000"/>
              <w:bottom w:val="nil" w:sz="6" w:space="0" w:color="auto"/>
              <w:right w:val="single" w:sz="6" w:space="0" w:color="000000"/>
            </w:tcBorders>
          </w:tcPr>
          <w:p>
            <w:pPr/>
          </w:p>
        </w:tc>
        <w:tc>
          <w:tcPr>
            <w:tcW w:w="777" w:type="dxa"/>
            <w:tcBorders>
              <w:top w:val="single" w:sz="12" w:space="0" w:color="000000"/>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pacing w:val="-4"/>
                <w:sz w:val="18"/>
                <w:szCs w:val="18"/>
              </w:rPr>
              <w:t>魏法旭、郑丽</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所取得的所支付股份。</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1"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蓉、邓丽萍、</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监事或者聘任为高级管理人员，</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17"/>
              <w:jc w:val="left"/>
              <w:rPr>
                <w:rFonts w:ascii="宋体" w:hAnsi="宋体" w:cs="宋体" w:eastAsia="宋体" w:hint="default"/>
                <w:sz w:val="18"/>
                <w:szCs w:val="18"/>
              </w:rPr>
            </w:pPr>
            <w:r>
              <w:rPr>
                <w:rFonts w:ascii="宋体" w:hAnsi="宋体" w:cs="宋体" w:eastAsia="宋体" w:hint="default"/>
                <w:spacing w:val="31"/>
                <w:sz w:val="18"/>
                <w:szCs w:val="18"/>
              </w:rPr>
              <w:t>赵业香、梁</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监事及高管持股及减持的规定履行持股锁定及减持义务。</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蓉、廖庆生、</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75"/>
                <w:sz w:val="18"/>
                <w:szCs w:val="18"/>
              </w:rPr>
              <w:t>）</w:t>
            </w:r>
            <w:r>
              <w:rPr>
                <w:rFonts w:ascii="宋体" w:hAnsi="宋体" w:cs="宋体" w:eastAsia="宋体" w:hint="default"/>
                <w:sz w:val="18"/>
                <w:szCs w:val="18"/>
              </w:rPr>
              <w:t>本函第一条所述“因本次交易所取得的所支付股份”</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郑立筠、张天</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包括锁定期内本人依据所支付股份按照光一科技分配股票</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625"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17"/>
              <w:jc w:val="left"/>
              <w:rPr>
                <w:rFonts w:ascii="宋体" w:hAnsi="宋体" w:cs="宋体" w:eastAsia="宋体" w:hint="default"/>
                <w:sz w:val="18"/>
                <w:szCs w:val="18"/>
              </w:rPr>
            </w:pPr>
            <w:r>
              <w:rPr>
                <w:rFonts w:ascii="宋体" w:hAnsi="宋体" w:cs="宋体" w:eastAsia="宋体" w:hint="default"/>
                <w:spacing w:val="-4"/>
                <w:sz w:val="18"/>
                <w:szCs w:val="18"/>
              </w:rPr>
              <w:t>祯、王平、何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1"/>
                <w:sz w:val="18"/>
                <w:szCs w:val="18"/>
              </w:rPr>
              <w:t>传柏、郭明</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20" w:right="110"/>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1" w:right="17"/>
              <w:jc w:val="left"/>
              <w:rPr>
                <w:rFonts w:ascii="宋体" w:hAnsi="宋体" w:cs="宋体" w:eastAsia="宋体" w:hint="default"/>
                <w:sz w:val="18"/>
                <w:szCs w:val="18"/>
              </w:rPr>
            </w:pPr>
            <w:r>
              <w:rPr>
                <w:rFonts w:ascii="宋体" w:hAnsi="宋体" w:cs="宋体" w:eastAsia="宋体" w:hint="default"/>
                <w:spacing w:val="-3"/>
                <w:sz w:val="18"/>
                <w:szCs w:val="18"/>
              </w:rPr>
              <w:t>股利、资本公积转增股本等原因所取得的股份。（</w:t>
            </w:r>
            <w:r>
              <w:rPr>
                <w:rFonts w:ascii="宋体" w:hAnsi="宋体" w:cs="宋体" w:eastAsia="宋体" w:hint="default"/>
                <w:spacing w:val="-3"/>
                <w:sz w:val="18"/>
                <w:szCs w:val="18"/>
              </w:rPr>
              <w:t>3</w:t>
            </w:r>
            <w:r>
              <w:rPr>
                <w:rFonts w:ascii="宋体" w:hAnsi="宋体" w:cs="宋体" w:eastAsia="宋体" w:hint="default"/>
                <w:spacing w:val="-3"/>
                <w:sz w:val="18"/>
                <w:szCs w:val="18"/>
              </w:rPr>
              <w:t>）如果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中国证监会及或深圳证券交易所对于上述锁定期安排有不</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77" w:type="dxa"/>
            <w:tcBorders>
              <w:top w:val="nil" w:sz="6" w:space="0" w:color="auto"/>
              <w:left w:val="single" w:sz="6" w:space="0" w:color="000000"/>
              <w:bottom w:val="nil" w:sz="6" w:space="0" w:color="auto"/>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11"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亮、毛为国、</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同意见及或要求的，本人将按照中国证监会及或深圳证券</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17"/>
              <w:jc w:val="left"/>
              <w:rPr>
                <w:rFonts w:ascii="宋体" w:hAnsi="宋体" w:cs="宋体" w:eastAsia="宋体" w:hint="default"/>
                <w:sz w:val="18"/>
                <w:szCs w:val="18"/>
              </w:rPr>
            </w:pPr>
            <w:r>
              <w:rPr>
                <w:rFonts w:ascii="宋体" w:hAnsi="宋体" w:cs="宋体" w:eastAsia="宋体" w:hint="default"/>
                <w:spacing w:val="31"/>
                <w:sz w:val="18"/>
                <w:szCs w:val="18"/>
              </w:rPr>
              <w:t>门崇喜、文</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交易所的意见对上述锁定期安排进行修订并予执行。（</w:t>
            </w:r>
            <w:r>
              <w:rPr>
                <w:rFonts w:ascii="宋体" w:hAnsi="宋体" w:cs="宋体" w:eastAsia="宋体" w:hint="default"/>
                <w:sz w:val="18"/>
                <w:szCs w:val="18"/>
              </w:rPr>
              <w:t>4</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涛、罗丹、彭</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本人进一步承诺，本人因本次交易所取得的所支付股份在</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娥昌、张红、</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转让时会同时遵守当时有效的《公司法》、《证券法》、</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3"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陈世勇</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《深圳证券交易所创业板股票上市规则》等法律、法规、</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59"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868" w:type="dxa"/>
            <w:tcBorders>
              <w:top w:val="nil" w:sz="6" w:space="0" w:color="auto"/>
              <w:left w:val="single" w:sz="6" w:space="0" w:color="000000"/>
              <w:bottom w:val="single" w:sz="6" w:space="0" w:color="000000"/>
              <w:right w:val="single" w:sz="6" w:space="0" w:color="000000"/>
            </w:tcBorders>
          </w:tcPr>
          <w:p>
            <w:pPr/>
          </w:p>
        </w:tc>
        <w:tc>
          <w:tcPr>
            <w:tcW w:w="457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规章和规范性文件以及光一科技《公司章程》</w:t>
            </w:r>
          </w:p>
        </w:tc>
        <w:tc>
          <w:tcPr>
            <w:tcW w:w="851" w:type="dxa"/>
            <w:tcBorders>
              <w:top w:val="nil" w:sz="6" w:space="0" w:color="auto"/>
              <w:left w:val="single" w:sz="6" w:space="0" w:color="000000"/>
              <w:bottom w:val="single" w:sz="6" w:space="0" w:color="000000"/>
              <w:right w:val="single" w:sz="6" w:space="0" w:color="000000"/>
            </w:tcBorders>
          </w:tcPr>
          <w:p>
            <w:pPr/>
          </w:p>
        </w:tc>
        <w:tc>
          <w:tcPr>
            <w:tcW w:w="851" w:type="dxa"/>
            <w:tcBorders>
              <w:top w:val="nil" w:sz="6" w:space="0" w:color="auto"/>
              <w:left w:val="single" w:sz="6" w:space="0" w:color="000000"/>
              <w:bottom w:val="single" w:sz="6" w:space="0" w:color="000000"/>
              <w:right w:val="single" w:sz="6" w:space="0" w:color="000000"/>
            </w:tcBorders>
          </w:tcPr>
          <w:p>
            <w:pPr/>
          </w:p>
        </w:tc>
        <w:tc>
          <w:tcPr>
            <w:tcW w:w="777" w:type="dxa"/>
            <w:tcBorders>
              <w:top w:val="nil" w:sz="6" w:space="0" w:color="auto"/>
              <w:left w:val="single" w:sz="6" w:space="0" w:color="000000"/>
              <w:bottom w:val="single" w:sz="6" w:space="0" w:color="000000"/>
              <w:right w:val="single" w:sz="12" w:space="0" w:color="000000"/>
            </w:tcBorders>
          </w:tcPr>
          <w:p>
            <w:pPr/>
          </w:p>
        </w:tc>
      </w:tr>
      <w:tr>
        <w:trPr>
          <w:trHeight w:val="360" w:hRule="exact"/>
        </w:trPr>
        <w:tc>
          <w:tcPr>
            <w:tcW w:w="1703" w:type="dxa"/>
            <w:vMerge/>
            <w:tcBorders>
              <w:left w:val="single" w:sz="12" w:space="0" w:color="000000"/>
              <w:right w:val="single" w:sz="6" w:space="0" w:color="000000"/>
            </w:tcBorders>
            <w:shd w:val="clear" w:color="auto" w:fill="D2D2D2"/>
          </w:tcPr>
          <w:p>
            <w:pPr/>
          </w:p>
        </w:tc>
        <w:tc>
          <w:tcPr>
            <w:tcW w:w="111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1"/>
              <w:ind w:left="20" w:right="-17"/>
              <w:jc w:val="left"/>
              <w:rPr>
                <w:rFonts w:ascii="宋体" w:hAnsi="宋体" w:cs="宋体" w:eastAsia="宋体" w:hint="default"/>
                <w:sz w:val="18"/>
                <w:szCs w:val="18"/>
              </w:rPr>
            </w:pPr>
            <w:r>
              <w:rPr>
                <w:rFonts w:ascii="宋体" w:hAnsi="宋体" w:cs="宋体" w:eastAsia="宋体" w:hint="default"/>
                <w:spacing w:val="31"/>
                <w:sz w:val="18"/>
                <w:szCs w:val="18"/>
              </w:rPr>
              <w:t>公安县鑫旺</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single" w:sz="6" w:space="0" w:color="000000"/>
              <w:left w:val="single" w:sz="6" w:space="0" w:color="000000"/>
              <w:bottom w:val="nil" w:sz="6" w:space="0" w:color="auto"/>
              <w:right w:val="single" w:sz="6" w:space="0" w:color="000000"/>
            </w:tcBorders>
          </w:tcPr>
          <w:p>
            <w:pPr/>
          </w:p>
        </w:tc>
        <w:tc>
          <w:tcPr>
            <w:tcW w:w="4573"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777"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17"/>
              <w:jc w:val="left"/>
              <w:rPr>
                <w:rFonts w:ascii="宋体" w:hAnsi="宋体" w:cs="宋体" w:eastAsia="宋体" w:hint="default"/>
                <w:sz w:val="18"/>
                <w:szCs w:val="18"/>
              </w:rPr>
            </w:pPr>
            <w:r>
              <w:rPr>
                <w:rFonts w:ascii="宋体" w:hAnsi="宋体" w:cs="宋体" w:eastAsia="宋体" w:hint="default"/>
                <w:spacing w:val="31"/>
                <w:sz w:val="18"/>
                <w:szCs w:val="18"/>
              </w:rPr>
              <w:t>投资有限公</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）自股份交割之日起</w:t>
            </w:r>
            <w:r>
              <w:rPr>
                <w:rFonts w:ascii="宋体" w:hAnsi="宋体" w:cs="宋体" w:eastAsia="宋体" w:hint="default"/>
                <w:spacing w:val="-37"/>
                <w:sz w:val="18"/>
                <w:szCs w:val="18"/>
              </w:rPr>
              <w:t> </w:t>
            </w:r>
            <w:r>
              <w:rPr>
                <w:rFonts w:ascii="宋体" w:hAnsi="宋体" w:cs="宋体" w:eastAsia="宋体" w:hint="default"/>
                <w:sz w:val="18"/>
                <w:szCs w:val="18"/>
              </w:rPr>
              <w:t>12</w:t>
            </w:r>
            <w:r>
              <w:rPr>
                <w:rFonts w:ascii="宋体" w:hAnsi="宋体" w:cs="宋体" w:eastAsia="宋体" w:hint="default"/>
                <w:spacing w:val="-38"/>
                <w:sz w:val="18"/>
                <w:szCs w:val="18"/>
              </w:rPr>
              <w:t> </w:t>
            </w:r>
            <w:r>
              <w:rPr>
                <w:rFonts w:ascii="宋体" w:hAnsi="宋体" w:cs="宋体" w:eastAsia="宋体" w:hint="default"/>
                <w:sz w:val="18"/>
                <w:szCs w:val="18"/>
              </w:rPr>
              <w:t>个月内不转让本公司因本次交</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1"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司、深圳市创</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易所取得的所支付股份。（</w:t>
            </w:r>
            <w:r>
              <w:rPr>
                <w:rFonts w:ascii="宋体" w:hAnsi="宋体" w:cs="宋体" w:eastAsia="宋体" w:hint="default"/>
                <w:spacing w:val="-3"/>
                <w:sz w:val="18"/>
                <w:szCs w:val="18"/>
              </w:rPr>
              <w:t>2</w:t>
            </w:r>
            <w:r>
              <w:rPr>
                <w:rFonts w:ascii="宋体" w:hAnsi="宋体" w:cs="宋体" w:eastAsia="宋体" w:hint="default"/>
                <w:spacing w:val="-3"/>
                <w:sz w:val="18"/>
                <w:szCs w:val="18"/>
              </w:rPr>
              <w:t>）本函第一条所述“因本次交</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17"/>
              <w:jc w:val="left"/>
              <w:rPr>
                <w:rFonts w:ascii="宋体" w:hAnsi="宋体" w:cs="宋体" w:eastAsia="宋体" w:hint="default"/>
                <w:sz w:val="18"/>
                <w:szCs w:val="18"/>
              </w:rPr>
            </w:pPr>
            <w:r>
              <w:rPr>
                <w:rFonts w:ascii="宋体" w:hAnsi="宋体" w:cs="宋体" w:eastAsia="宋体" w:hint="default"/>
                <w:spacing w:val="31"/>
                <w:sz w:val="18"/>
                <w:szCs w:val="18"/>
              </w:rPr>
              <w:t>新投资集团</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易所取得的所支付股份”包括锁定期内本公司依据所支付</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有限公司、北</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股份按照光一科技分配股票股利、资本公积转增股本等原</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17"/>
              <w:jc w:val="left"/>
              <w:rPr>
                <w:rFonts w:ascii="宋体" w:hAnsi="宋体" w:cs="宋体" w:eastAsia="宋体" w:hint="default"/>
                <w:sz w:val="18"/>
                <w:szCs w:val="18"/>
              </w:rPr>
            </w:pPr>
            <w:r>
              <w:rPr>
                <w:rFonts w:ascii="宋体" w:hAnsi="宋体" w:cs="宋体" w:eastAsia="宋体" w:hint="default"/>
                <w:spacing w:val="31"/>
                <w:sz w:val="18"/>
                <w:szCs w:val="18"/>
              </w:rPr>
              <w:t>京红土鑫洲</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因所取得的股份。（</w:t>
            </w:r>
            <w:r>
              <w:rPr>
                <w:rFonts w:ascii="宋体" w:hAnsi="宋体" w:cs="宋体" w:eastAsia="宋体" w:hint="default"/>
                <w:spacing w:val="-3"/>
                <w:sz w:val="18"/>
                <w:szCs w:val="18"/>
              </w:rPr>
              <w:t>3</w:t>
            </w:r>
            <w:r>
              <w:rPr>
                <w:rFonts w:ascii="宋体" w:hAnsi="宋体" w:cs="宋体" w:eastAsia="宋体" w:hint="default"/>
                <w:spacing w:val="-3"/>
                <w:sz w:val="18"/>
                <w:szCs w:val="18"/>
              </w:rPr>
              <w:t>）如果中国证监会及或深圳证券交易</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625"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17"/>
              <w:jc w:val="left"/>
              <w:rPr>
                <w:rFonts w:ascii="宋体" w:hAnsi="宋体" w:cs="宋体" w:eastAsia="宋体" w:hint="default"/>
                <w:sz w:val="18"/>
                <w:szCs w:val="18"/>
              </w:rPr>
            </w:pPr>
            <w:r>
              <w:rPr>
                <w:rFonts w:ascii="宋体" w:hAnsi="宋体" w:cs="宋体" w:eastAsia="宋体" w:hint="default"/>
                <w:spacing w:val="31"/>
                <w:sz w:val="18"/>
                <w:szCs w:val="18"/>
              </w:rPr>
              <w:t>创业投资中</w:t>
            </w:r>
            <w:r>
              <w:rPr>
                <w:rFonts w:ascii="宋体" w:hAnsi="宋体" w:cs="宋体" w:eastAsia="宋体" w:hint="default"/>
                <w:spacing w:val="-51"/>
                <w:sz w:val="18"/>
                <w:szCs w:val="18"/>
              </w:rPr>
              <w:t> </w:t>
            </w:r>
            <w:r>
              <w:rPr>
                <w:rFonts w:ascii="宋体" w:hAnsi="宋体" w:cs="宋体" w:eastAsia="宋体" w:hint="default"/>
                <w:spacing w:val="31"/>
                <w:sz w:val="18"/>
                <w:szCs w:val="18"/>
              </w:rPr>
              <w:t>心（有限合</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20" w:right="110"/>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1" w:right="21"/>
              <w:jc w:val="left"/>
              <w:rPr>
                <w:rFonts w:ascii="宋体" w:hAnsi="宋体" w:cs="宋体" w:eastAsia="宋体" w:hint="default"/>
                <w:sz w:val="18"/>
                <w:szCs w:val="18"/>
              </w:rPr>
            </w:pPr>
            <w:r>
              <w:rPr>
                <w:rFonts w:ascii="宋体" w:hAnsi="宋体" w:cs="宋体" w:eastAsia="宋体" w:hint="default"/>
                <w:sz w:val="18"/>
                <w:szCs w:val="18"/>
              </w:rPr>
              <w:t>所对于上述锁定期安排有不同意见及或要求的，本公司将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按照中国证监会及或深圳证券交易所的意见对上述锁定期</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77" w:type="dxa"/>
            <w:tcBorders>
              <w:top w:val="nil" w:sz="6" w:space="0" w:color="auto"/>
              <w:left w:val="single" w:sz="6" w:space="0" w:color="000000"/>
              <w:bottom w:val="nil" w:sz="6" w:space="0" w:color="auto"/>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伙）、南昌红</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安排进行修订并予执行。（</w:t>
            </w:r>
            <w:r>
              <w:rPr>
                <w:rFonts w:ascii="宋体" w:hAnsi="宋体" w:cs="宋体" w:eastAsia="宋体" w:hint="default"/>
                <w:spacing w:val="-3"/>
                <w:sz w:val="18"/>
                <w:szCs w:val="18"/>
              </w:rPr>
              <w:t>4</w:t>
            </w:r>
            <w:r>
              <w:rPr>
                <w:rFonts w:ascii="宋体" w:hAnsi="宋体" w:cs="宋体" w:eastAsia="宋体" w:hint="default"/>
                <w:spacing w:val="-3"/>
                <w:sz w:val="18"/>
                <w:szCs w:val="18"/>
              </w:rPr>
              <w:t>）本公司进一步承诺，本公司</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17"/>
              <w:jc w:val="left"/>
              <w:rPr>
                <w:rFonts w:ascii="宋体" w:hAnsi="宋体" w:cs="宋体" w:eastAsia="宋体" w:hint="default"/>
                <w:sz w:val="18"/>
                <w:szCs w:val="18"/>
              </w:rPr>
            </w:pPr>
            <w:r>
              <w:rPr>
                <w:rFonts w:ascii="宋体" w:hAnsi="宋体" w:cs="宋体" w:eastAsia="宋体" w:hint="default"/>
                <w:spacing w:val="31"/>
                <w:sz w:val="18"/>
                <w:szCs w:val="18"/>
              </w:rPr>
              <w:t>土创新资本</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因本次交易所取得的所支付股份在转让时会同时遵守当时</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17"/>
              <w:jc w:val="left"/>
              <w:rPr>
                <w:rFonts w:ascii="宋体" w:hAnsi="宋体" w:cs="宋体" w:eastAsia="宋体" w:hint="default"/>
                <w:sz w:val="18"/>
                <w:szCs w:val="18"/>
              </w:rPr>
            </w:pPr>
            <w:r>
              <w:rPr>
                <w:rFonts w:ascii="宋体" w:hAnsi="宋体" w:cs="宋体" w:eastAsia="宋体" w:hint="default"/>
                <w:spacing w:val="31"/>
                <w:sz w:val="18"/>
                <w:szCs w:val="18"/>
              </w:rPr>
              <w:t>创业投资有</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有效的《公司法》、《证券法》、《深圳证券交易所创业</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限公司、湖北</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板股票上市规则》等法律、法规、规章和规范性文件以及</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3"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17"/>
              <w:jc w:val="left"/>
              <w:rPr>
                <w:rFonts w:ascii="宋体" w:hAnsi="宋体" w:cs="宋体" w:eastAsia="宋体" w:hint="default"/>
                <w:sz w:val="18"/>
                <w:szCs w:val="18"/>
              </w:rPr>
            </w:pPr>
            <w:r>
              <w:rPr>
                <w:rFonts w:ascii="宋体" w:hAnsi="宋体" w:cs="宋体" w:eastAsia="宋体" w:hint="default"/>
                <w:spacing w:val="31"/>
                <w:sz w:val="18"/>
                <w:szCs w:val="18"/>
              </w:rPr>
              <w:t>红土创业投</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光一科技《公司章程》的相关规定。</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59"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868" w:type="dxa"/>
            <w:tcBorders>
              <w:top w:val="nil" w:sz="6" w:space="0" w:color="auto"/>
              <w:left w:val="single" w:sz="6" w:space="0" w:color="000000"/>
              <w:bottom w:val="single" w:sz="6" w:space="0" w:color="000000"/>
              <w:right w:val="single" w:sz="6" w:space="0" w:color="000000"/>
            </w:tcBorders>
          </w:tcPr>
          <w:p>
            <w:pPr/>
          </w:p>
        </w:tc>
        <w:tc>
          <w:tcPr>
            <w:tcW w:w="4573" w:type="dxa"/>
            <w:tcBorders>
              <w:top w:val="nil" w:sz="6" w:space="0" w:color="auto"/>
              <w:left w:val="single" w:sz="6" w:space="0" w:color="000000"/>
              <w:bottom w:val="single" w:sz="6" w:space="0" w:color="000000"/>
              <w:right w:val="single" w:sz="6" w:space="0" w:color="000000"/>
            </w:tcBorders>
          </w:tcPr>
          <w:p>
            <w:pPr/>
          </w:p>
        </w:tc>
        <w:tc>
          <w:tcPr>
            <w:tcW w:w="851" w:type="dxa"/>
            <w:tcBorders>
              <w:top w:val="nil" w:sz="6" w:space="0" w:color="auto"/>
              <w:left w:val="single" w:sz="6" w:space="0" w:color="000000"/>
              <w:bottom w:val="single" w:sz="6" w:space="0" w:color="000000"/>
              <w:right w:val="single" w:sz="6" w:space="0" w:color="000000"/>
            </w:tcBorders>
          </w:tcPr>
          <w:p>
            <w:pPr/>
          </w:p>
        </w:tc>
        <w:tc>
          <w:tcPr>
            <w:tcW w:w="851" w:type="dxa"/>
            <w:tcBorders>
              <w:top w:val="nil" w:sz="6" w:space="0" w:color="auto"/>
              <w:left w:val="single" w:sz="6" w:space="0" w:color="000000"/>
              <w:bottom w:val="single" w:sz="6" w:space="0" w:color="000000"/>
              <w:right w:val="single" w:sz="6" w:space="0" w:color="000000"/>
            </w:tcBorders>
          </w:tcPr>
          <w:p>
            <w:pPr/>
          </w:p>
        </w:tc>
        <w:tc>
          <w:tcPr>
            <w:tcW w:w="777" w:type="dxa"/>
            <w:tcBorders>
              <w:top w:val="nil" w:sz="6" w:space="0" w:color="auto"/>
              <w:left w:val="single" w:sz="6" w:space="0" w:color="000000"/>
              <w:bottom w:val="single" w:sz="6" w:space="0" w:color="000000"/>
              <w:right w:val="single" w:sz="12" w:space="0" w:color="000000"/>
            </w:tcBorders>
          </w:tcPr>
          <w:p>
            <w:pPr/>
          </w:p>
        </w:tc>
      </w:tr>
      <w:tr>
        <w:trPr>
          <w:trHeight w:val="360" w:hRule="exact"/>
        </w:trPr>
        <w:tc>
          <w:tcPr>
            <w:tcW w:w="1703" w:type="dxa"/>
            <w:vMerge/>
            <w:tcBorders>
              <w:left w:val="single" w:sz="12" w:space="0" w:color="000000"/>
              <w:right w:val="single" w:sz="6" w:space="0" w:color="000000"/>
            </w:tcBorders>
            <w:shd w:val="clear" w:color="auto" w:fill="D2D2D2"/>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868" w:type="dxa"/>
            <w:tcBorders>
              <w:top w:val="single" w:sz="6" w:space="0" w:color="000000"/>
              <w:left w:val="single" w:sz="6" w:space="0" w:color="000000"/>
              <w:bottom w:val="nil" w:sz="6" w:space="0" w:color="auto"/>
              <w:right w:val="single" w:sz="6" w:space="0" w:color="000000"/>
            </w:tcBorders>
          </w:tcPr>
          <w:p>
            <w:pPr/>
          </w:p>
        </w:tc>
        <w:tc>
          <w:tcPr>
            <w:tcW w:w="457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索瑞电气管理层股东任昌兆、任晶晶、桂长钟、李善元、</w:t>
            </w:r>
          </w:p>
        </w:tc>
        <w:tc>
          <w:tcPr>
            <w:tcW w:w="851"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777"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周军、田裕树、方旭东、李强、徐光涛及湖北乾瀚投资有</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限公司签署的《盈利承诺及补偿协议》、《盈利承诺及补</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69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310" w:lineRule="atLeast" w:before="72"/>
              <w:ind w:left="20" w:right="1"/>
              <w:jc w:val="left"/>
              <w:rPr>
                <w:rFonts w:ascii="宋体" w:hAnsi="宋体" w:cs="宋体" w:eastAsia="宋体" w:hint="default"/>
                <w:sz w:val="18"/>
                <w:szCs w:val="18"/>
              </w:rPr>
            </w:pPr>
            <w:r>
              <w:rPr>
                <w:rFonts w:ascii="宋体" w:hAnsi="宋体" w:cs="宋体" w:eastAsia="宋体" w:hint="default"/>
                <w:spacing w:val="-4"/>
                <w:sz w:val="18"/>
                <w:szCs w:val="18"/>
              </w:rPr>
              <w:t>任昌兆、任晶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晶、桂长钟、</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1" w:right="17"/>
              <w:jc w:val="left"/>
              <w:rPr>
                <w:rFonts w:ascii="宋体" w:hAnsi="宋体" w:cs="宋体" w:eastAsia="宋体" w:hint="default"/>
                <w:sz w:val="18"/>
                <w:szCs w:val="18"/>
              </w:rPr>
            </w:pPr>
            <w:r>
              <w:rPr>
                <w:rFonts w:ascii="宋体" w:hAnsi="宋体" w:cs="宋体" w:eastAsia="宋体" w:hint="default"/>
                <w:sz w:val="18"/>
                <w:szCs w:val="18"/>
              </w:rPr>
              <w:t>偿之补充协议》，上述管理层股东及湖北乾瀚投资有限公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司承诺索瑞电气</w:t>
            </w:r>
            <w:r>
              <w:rPr>
                <w:rFonts w:ascii="宋体" w:hAnsi="宋体" w:cs="宋体" w:eastAsia="宋体" w:hint="default"/>
                <w:spacing w:val="-41"/>
                <w:sz w:val="18"/>
                <w:szCs w:val="18"/>
              </w:rPr>
              <w:t> </w:t>
            </w:r>
            <w:r>
              <w:rPr>
                <w:rFonts w:ascii="宋体" w:hAnsi="宋体" w:cs="宋体" w:eastAsia="宋体" w:hint="default"/>
                <w:sz w:val="18"/>
                <w:szCs w:val="18"/>
              </w:rPr>
              <w:t>2014</w:t>
            </w:r>
            <w:r>
              <w:rPr>
                <w:rFonts w:ascii="宋体" w:hAnsi="宋体" w:cs="宋体" w:eastAsia="宋体" w:hint="default"/>
                <w:spacing w:val="-41"/>
                <w:sz w:val="18"/>
                <w:szCs w:val="18"/>
              </w:rPr>
              <w:t> </w:t>
            </w:r>
            <w:r>
              <w:rPr>
                <w:rFonts w:ascii="宋体" w:hAnsi="宋体" w:cs="宋体" w:eastAsia="宋体" w:hint="default"/>
                <w:sz w:val="18"/>
                <w:szCs w:val="18"/>
              </w:rPr>
              <w:t>年度、</w:t>
            </w:r>
            <w:r>
              <w:rPr>
                <w:rFonts w:ascii="宋体" w:hAnsi="宋体" w:cs="宋体" w:eastAsia="宋体" w:hint="default"/>
                <w:sz w:val="18"/>
                <w:szCs w:val="18"/>
              </w:rPr>
              <w:t>2015</w:t>
            </w:r>
            <w:r>
              <w:rPr>
                <w:rFonts w:ascii="宋体" w:hAnsi="宋体" w:cs="宋体" w:eastAsia="宋体" w:hint="default"/>
                <w:spacing w:val="-41"/>
                <w:sz w:val="18"/>
                <w:szCs w:val="18"/>
              </w:rPr>
              <w:t> </w:t>
            </w:r>
            <w:r>
              <w:rPr>
                <w:rFonts w:ascii="宋体" w:hAnsi="宋体" w:cs="宋体" w:eastAsia="宋体" w:hint="default"/>
                <w:sz w:val="18"/>
                <w:szCs w:val="18"/>
              </w:rPr>
              <w:t>年度、</w:t>
            </w:r>
            <w:r>
              <w:rPr>
                <w:rFonts w:ascii="宋体" w:hAnsi="宋体" w:cs="宋体" w:eastAsia="宋体" w:hint="default"/>
                <w:sz w:val="18"/>
                <w:szCs w:val="18"/>
              </w:rPr>
              <w:t>2016</w:t>
            </w:r>
            <w:r>
              <w:rPr>
                <w:rFonts w:ascii="宋体" w:hAnsi="宋体" w:cs="宋体" w:eastAsia="宋体" w:hint="default"/>
                <w:spacing w:val="-41"/>
                <w:sz w:val="18"/>
                <w:szCs w:val="18"/>
              </w:rPr>
              <w:t> </w:t>
            </w:r>
            <w:r>
              <w:rPr>
                <w:rFonts w:ascii="宋体" w:hAnsi="宋体" w:cs="宋体" w:eastAsia="宋体" w:hint="default"/>
                <w:sz w:val="18"/>
                <w:szCs w:val="18"/>
              </w:rPr>
              <w:t>年度实现的</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1248"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310" w:lineRule="atLeast" w:before="3"/>
              <w:ind w:left="20" w:right="-17"/>
              <w:jc w:val="both"/>
              <w:rPr>
                <w:rFonts w:ascii="宋体" w:hAnsi="宋体" w:cs="宋体" w:eastAsia="宋体" w:hint="default"/>
                <w:sz w:val="18"/>
                <w:szCs w:val="18"/>
              </w:rPr>
            </w:pPr>
            <w:r>
              <w:rPr>
                <w:rFonts w:ascii="宋体" w:hAnsi="宋体" w:cs="宋体" w:eastAsia="宋体" w:hint="default"/>
                <w:spacing w:val="31"/>
                <w:sz w:val="18"/>
                <w:szCs w:val="18"/>
              </w:rPr>
              <w:t>李善元、周</w:t>
            </w:r>
            <w:r>
              <w:rPr>
                <w:rFonts w:ascii="宋体" w:hAnsi="宋体" w:cs="宋体" w:eastAsia="宋体" w:hint="default"/>
                <w:spacing w:val="-51"/>
                <w:sz w:val="18"/>
                <w:szCs w:val="18"/>
              </w:rPr>
              <w:t> </w:t>
            </w:r>
            <w:r>
              <w:rPr>
                <w:rFonts w:ascii="宋体" w:hAnsi="宋体" w:cs="宋体" w:eastAsia="宋体" w:hint="default"/>
                <w:sz w:val="18"/>
                <w:szCs w:val="18"/>
              </w:rPr>
              <w:t>军、田裕树、</w:t>
            </w:r>
            <w:r>
              <w:rPr>
                <w:rFonts w:ascii="宋体" w:hAnsi="宋体" w:cs="宋体" w:eastAsia="宋体" w:hint="default"/>
                <w:sz w:val="18"/>
                <w:szCs w:val="18"/>
              </w:rPr>
              <w:t> </w:t>
            </w:r>
            <w:r>
              <w:rPr>
                <w:rFonts w:ascii="宋体" w:hAnsi="宋体" w:cs="宋体" w:eastAsia="宋体" w:hint="default"/>
                <w:spacing w:val="31"/>
                <w:sz w:val="18"/>
                <w:szCs w:val="18"/>
              </w:rPr>
              <w:t>方旭东、李</w:t>
            </w:r>
            <w:r>
              <w:rPr>
                <w:rFonts w:ascii="宋体" w:hAnsi="宋体" w:cs="宋体" w:eastAsia="宋体" w:hint="default"/>
                <w:spacing w:val="-51"/>
                <w:sz w:val="18"/>
                <w:szCs w:val="18"/>
              </w:rPr>
              <w:t> </w:t>
            </w:r>
            <w:r>
              <w:rPr>
                <w:rFonts w:ascii="宋体" w:hAnsi="宋体" w:cs="宋体" w:eastAsia="宋体" w:hint="default"/>
                <w:spacing w:val="-4"/>
                <w:sz w:val="18"/>
                <w:szCs w:val="18"/>
              </w:rPr>
              <w:t>强、徐光涛及</w:t>
            </w:r>
          </w:p>
        </w:tc>
        <w:tc>
          <w:tcPr>
            <w:tcW w:w="86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316" w:lineRule="auto"/>
              <w:ind w:left="20" w:right="110"/>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1" w:right="0"/>
              <w:jc w:val="left"/>
              <w:rPr>
                <w:rFonts w:ascii="宋体" w:hAnsi="宋体" w:cs="宋体" w:eastAsia="宋体" w:hint="default"/>
                <w:sz w:val="18"/>
                <w:szCs w:val="18"/>
              </w:rPr>
            </w:pPr>
            <w:r>
              <w:rPr>
                <w:rFonts w:ascii="宋体" w:hAnsi="宋体" w:cs="宋体" w:eastAsia="宋体" w:hint="default"/>
                <w:sz w:val="18"/>
                <w:szCs w:val="18"/>
              </w:rPr>
              <w:t>净利润比较扣非后的净利润按照孰低原则确定分别不低于</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7,500</w:t>
            </w:r>
            <w:r>
              <w:rPr>
                <w:rFonts w:ascii="宋体" w:hAnsi="宋体" w:cs="宋体" w:eastAsia="宋体" w:hint="default"/>
                <w:spacing w:val="-44"/>
                <w:sz w:val="18"/>
                <w:szCs w:val="18"/>
              </w:rPr>
              <w:t> </w:t>
            </w:r>
            <w:r>
              <w:rPr>
                <w:rFonts w:ascii="宋体" w:hAnsi="宋体" w:cs="宋体" w:eastAsia="宋体" w:hint="default"/>
                <w:spacing w:val="-3"/>
                <w:sz w:val="18"/>
                <w:szCs w:val="18"/>
              </w:rPr>
              <w:t>万元、</w:t>
            </w:r>
            <w:r>
              <w:rPr>
                <w:rFonts w:ascii="宋体" w:hAnsi="宋体" w:cs="宋体" w:eastAsia="宋体" w:hint="default"/>
                <w:spacing w:val="-3"/>
                <w:sz w:val="18"/>
                <w:szCs w:val="18"/>
              </w:rPr>
              <w:t>8,100</w:t>
            </w:r>
            <w:r>
              <w:rPr>
                <w:rFonts w:ascii="宋体" w:hAnsi="宋体" w:cs="宋体" w:eastAsia="宋体" w:hint="default"/>
                <w:spacing w:val="-44"/>
                <w:sz w:val="18"/>
                <w:szCs w:val="18"/>
              </w:rPr>
              <w:t> </w:t>
            </w:r>
            <w:r>
              <w:rPr>
                <w:rFonts w:ascii="宋体" w:hAnsi="宋体" w:cs="宋体" w:eastAsia="宋体" w:hint="default"/>
                <w:spacing w:val="-4"/>
                <w:sz w:val="18"/>
                <w:szCs w:val="18"/>
              </w:rPr>
              <w:t>万元、</w:t>
            </w:r>
            <w:r>
              <w:rPr>
                <w:rFonts w:ascii="宋体" w:hAnsi="宋体" w:cs="宋体" w:eastAsia="宋体" w:hint="default"/>
                <w:spacing w:val="-4"/>
                <w:sz w:val="18"/>
                <w:szCs w:val="18"/>
              </w:rPr>
              <w:t>8,400</w:t>
            </w:r>
            <w:r>
              <w:rPr>
                <w:rFonts w:ascii="宋体" w:hAnsi="宋体" w:cs="宋体" w:eastAsia="宋体" w:hint="default"/>
                <w:spacing w:val="-44"/>
                <w:sz w:val="18"/>
                <w:szCs w:val="18"/>
              </w:rPr>
              <w:t> </w:t>
            </w:r>
            <w:r>
              <w:rPr>
                <w:rFonts w:ascii="宋体" w:hAnsi="宋体" w:cs="宋体" w:eastAsia="宋体" w:hint="default"/>
                <w:spacing w:val="-3"/>
                <w:sz w:val="18"/>
                <w:szCs w:val="18"/>
              </w:rPr>
              <w:t>万元。若标的资产在</w:t>
            </w:r>
            <w:r>
              <w:rPr>
                <w:rFonts w:ascii="宋体" w:hAnsi="宋体" w:cs="宋体" w:eastAsia="宋体" w:hint="default"/>
                <w:spacing w:val="-44"/>
                <w:sz w:val="18"/>
                <w:szCs w:val="18"/>
              </w:rPr>
              <w:t> </w:t>
            </w:r>
            <w:r>
              <w:rPr>
                <w:rFonts w:ascii="宋体" w:hAnsi="宋体" w:cs="宋体" w:eastAsia="宋体" w:hint="default"/>
                <w:sz w:val="18"/>
                <w:szCs w:val="18"/>
              </w:rPr>
              <w:t>2014</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年度无法完成交割，则索瑞电气的盈利承诺期变更为</w:t>
            </w:r>
            <w:r>
              <w:rPr>
                <w:rFonts w:ascii="宋体" w:hAnsi="宋体" w:cs="宋体" w:eastAsia="宋体" w:hint="default"/>
                <w:spacing w:val="-74"/>
                <w:sz w:val="18"/>
                <w:szCs w:val="18"/>
              </w:rPr>
              <w:t> </w:t>
            </w:r>
            <w:r>
              <w:rPr>
                <w:rFonts w:ascii="宋体" w:hAnsi="宋体" w:cs="宋体" w:eastAsia="宋体" w:hint="default"/>
                <w:sz w:val="18"/>
                <w:szCs w:val="18"/>
              </w:rPr>
              <w:t>2014</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pacing w:val="-10"/>
                <w:sz w:val="18"/>
                <w:szCs w:val="18"/>
              </w:rPr>
              <w:t>年度、</w:t>
            </w:r>
            <w:r>
              <w:rPr>
                <w:rFonts w:ascii="宋体" w:hAnsi="宋体" w:cs="宋体" w:eastAsia="宋体" w:hint="default"/>
                <w:spacing w:val="-10"/>
                <w:sz w:val="18"/>
                <w:szCs w:val="18"/>
              </w:rPr>
              <w:t>2015</w:t>
            </w:r>
            <w:r>
              <w:rPr>
                <w:rFonts w:ascii="宋体" w:hAnsi="宋体" w:cs="宋体" w:eastAsia="宋体" w:hint="default"/>
                <w:spacing w:val="-46"/>
                <w:sz w:val="18"/>
                <w:szCs w:val="18"/>
              </w:rPr>
              <w:t> </w:t>
            </w:r>
            <w:r>
              <w:rPr>
                <w:rFonts w:ascii="宋体" w:hAnsi="宋体" w:cs="宋体" w:eastAsia="宋体" w:hint="default"/>
                <w:spacing w:val="-10"/>
                <w:sz w:val="18"/>
                <w:szCs w:val="18"/>
              </w:rPr>
              <w:t>年度、</w:t>
            </w:r>
            <w:r>
              <w:rPr>
                <w:rFonts w:ascii="宋体" w:hAnsi="宋体" w:cs="宋体" w:eastAsia="宋体" w:hint="default"/>
                <w:spacing w:val="-10"/>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年度以及</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pacing w:val="-10"/>
                <w:sz w:val="18"/>
                <w:szCs w:val="18"/>
              </w:rPr>
              <w:t>年度，索瑞电气</w:t>
            </w:r>
            <w:r>
              <w:rPr>
                <w:rFonts w:ascii="宋体" w:hAnsi="宋体" w:cs="宋体" w:eastAsia="宋体" w:hint="default"/>
                <w:spacing w:val="-46"/>
                <w:sz w:val="18"/>
                <w:szCs w:val="18"/>
              </w:rPr>
              <w:t> </w:t>
            </w:r>
            <w:r>
              <w:rPr>
                <w:rFonts w:ascii="宋体" w:hAnsi="宋体" w:cs="宋体" w:eastAsia="宋体" w:hint="default"/>
                <w:sz w:val="18"/>
                <w:szCs w:val="18"/>
              </w:rPr>
              <w:t>2014</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04</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77"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left="20" w:right="-17"/>
              <w:jc w:val="left"/>
              <w:rPr>
                <w:rFonts w:ascii="宋体" w:hAnsi="宋体" w:cs="宋体" w:eastAsia="宋体" w:hint="default"/>
                <w:sz w:val="18"/>
                <w:szCs w:val="18"/>
              </w:rPr>
            </w:pPr>
            <w:r>
              <w:rPr>
                <w:rFonts w:ascii="宋体" w:hAnsi="宋体" w:cs="宋体" w:eastAsia="宋体" w:hint="default"/>
                <w:spacing w:val="31"/>
                <w:sz w:val="18"/>
                <w:szCs w:val="18"/>
              </w:rPr>
              <w:t>湖北乾瀚投</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1" w:right="0"/>
              <w:jc w:val="left"/>
              <w:rPr>
                <w:rFonts w:ascii="宋体" w:hAnsi="宋体" w:cs="宋体" w:eastAsia="宋体" w:hint="default"/>
                <w:sz w:val="18"/>
                <w:szCs w:val="18"/>
              </w:rPr>
            </w:pPr>
            <w:r>
              <w:rPr>
                <w:rFonts w:ascii="宋体" w:hAnsi="宋体" w:cs="宋体" w:eastAsia="宋体" w:hint="default"/>
                <w:sz w:val="18"/>
                <w:szCs w:val="18"/>
              </w:rPr>
              <w:t>年度、</w:t>
            </w:r>
            <w:r>
              <w:rPr>
                <w:rFonts w:ascii="宋体" w:hAnsi="宋体" w:cs="宋体" w:eastAsia="宋体" w:hint="default"/>
                <w:sz w:val="18"/>
                <w:szCs w:val="18"/>
              </w:rPr>
              <w:t>2015</w:t>
            </w:r>
            <w:r>
              <w:rPr>
                <w:rFonts w:ascii="宋体" w:hAnsi="宋体" w:cs="宋体" w:eastAsia="宋体" w:hint="default"/>
                <w:spacing w:val="-41"/>
                <w:sz w:val="18"/>
                <w:szCs w:val="18"/>
              </w:rPr>
              <w:t> </w:t>
            </w:r>
            <w:r>
              <w:rPr>
                <w:rFonts w:ascii="宋体" w:hAnsi="宋体" w:cs="宋体" w:eastAsia="宋体" w:hint="default"/>
                <w:sz w:val="18"/>
                <w:szCs w:val="18"/>
              </w:rPr>
              <w:t>年度、</w:t>
            </w:r>
            <w:r>
              <w:rPr>
                <w:rFonts w:ascii="宋体" w:hAnsi="宋体" w:cs="宋体" w:eastAsia="宋体" w:hint="default"/>
                <w:sz w:val="18"/>
                <w:szCs w:val="18"/>
              </w:rPr>
              <w:t>2016</w:t>
            </w:r>
            <w:r>
              <w:rPr>
                <w:rFonts w:ascii="宋体" w:hAnsi="宋体" w:cs="宋体" w:eastAsia="宋体" w:hint="default"/>
                <w:spacing w:val="-41"/>
                <w:sz w:val="18"/>
                <w:szCs w:val="18"/>
              </w:rPr>
              <w:t> </w:t>
            </w:r>
            <w:r>
              <w:rPr>
                <w:rFonts w:ascii="宋体" w:hAnsi="宋体" w:cs="宋体" w:eastAsia="宋体" w:hint="default"/>
                <w:sz w:val="18"/>
                <w:szCs w:val="18"/>
              </w:rPr>
              <w:t>年度以及</w:t>
            </w:r>
            <w:r>
              <w:rPr>
                <w:rFonts w:ascii="宋体" w:hAnsi="宋体" w:cs="宋体" w:eastAsia="宋体" w:hint="default"/>
                <w:spacing w:val="-41"/>
                <w:sz w:val="18"/>
                <w:szCs w:val="18"/>
              </w:rPr>
              <w:t> </w:t>
            </w:r>
            <w:r>
              <w:rPr>
                <w:rFonts w:ascii="宋体" w:hAnsi="宋体" w:cs="宋体" w:eastAsia="宋体" w:hint="default"/>
                <w:sz w:val="18"/>
                <w:szCs w:val="18"/>
              </w:rPr>
              <w:t>2017</w:t>
            </w:r>
            <w:r>
              <w:rPr>
                <w:rFonts w:ascii="宋体" w:hAnsi="宋体" w:cs="宋体" w:eastAsia="宋体" w:hint="default"/>
                <w:spacing w:val="-41"/>
                <w:sz w:val="18"/>
                <w:szCs w:val="18"/>
              </w:rPr>
              <w:t> </w:t>
            </w:r>
            <w:r>
              <w:rPr>
                <w:rFonts w:ascii="宋体" w:hAnsi="宋体" w:cs="宋体" w:eastAsia="宋体" w:hint="default"/>
                <w:sz w:val="18"/>
                <w:szCs w:val="18"/>
              </w:rPr>
              <w:t>年度实现的净利润</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557"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9"/>
              <w:ind w:left="20"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1" w:right="0"/>
              <w:jc w:val="left"/>
              <w:rPr>
                <w:rFonts w:ascii="宋体" w:hAnsi="宋体" w:cs="宋体" w:eastAsia="宋体" w:hint="default"/>
                <w:sz w:val="18"/>
                <w:szCs w:val="18"/>
              </w:rPr>
            </w:pPr>
            <w:r>
              <w:rPr>
                <w:rFonts w:ascii="宋体" w:hAnsi="宋体" w:cs="宋体" w:eastAsia="宋体" w:hint="default"/>
                <w:sz w:val="18"/>
                <w:szCs w:val="18"/>
              </w:rPr>
              <w:t>比较扣非后的净利润按照孰低原则确定分别不低于</w:t>
            </w:r>
            <w:r>
              <w:rPr>
                <w:rFonts w:ascii="宋体" w:hAnsi="宋体" w:cs="宋体" w:eastAsia="宋体" w:hint="default"/>
                <w:spacing w:val="14"/>
                <w:sz w:val="18"/>
                <w:szCs w:val="18"/>
              </w:rPr>
              <w:t> </w:t>
            </w:r>
            <w:r>
              <w:rPr>
                <w:rFonts w:ascii="宋体" w:hAnsi="宋体" w:cs="宋体" w:eastAsia="宋体" w:hint="default"/>
                <w:sz w:val="18"/>
                <w:szCs w:val="18"/>
              </w:rPr>
              <w:t>7,500</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z w:val="18"/>
                <w:szCs w:val="18"/>
              </w:rPr>
              <w:t>8,100</w:t>
            </w:r>
            <w:r>
              <w:rPr>
                <w:rFonts w:ascii="宋体" w:hAnsi="宋体" w:cs="宋体" w:eastAsia="宋体" w:hint="default"/>
                <w:spacing w:val="-41"/>
                <w:sz w:val="18"/>
                <w:szCs w:val="18"/>
              </w:rPr>
              <w:t> </w:t>
            </w:r>
            <w:r>
              <w:rPr>
                <w:rFonts w:ascii="宋体" w:hAnsi="宋体" w:cs="宋体" w:eastAsia="宋体" w:hint="default"/>
                <w:sz w:val="18"/>
                <w:szCs w:val="18"/>
              </w:rPr>
              <w:t>万元、</w:t>
            </w:r>
            <w:r>
              <w:rPr>
                <w:rFonts w:ascii="宋体" w:hAnsi="宋体" w:cs="宋体" w:eastAsia="宋体" w:hint="default"/>
                <w:sz w:val="18"/>
                <w:szCs w:val="18"/>
              </w:rPr>
              <w:t>8,400</w:t>
            </w:r>
            <w:r>
              <w:rPr>
                <w:rFonts w:ascii="宋体" w:hAnsi="宋体" w:cs="宋体" w:eastAsia="宋体" w:hint="default"/>
                <w:spacing w:val="-41"/>
                <w:sz w:val="18"/>
                <w:szCs w:val="18"/>
              </w:rPr>
              <w:t> </w:t>
            </w:r>
            <w:r>
              <w:rPr>
                <w:rFonts w:ascii="宋体" w:hAnsi="宋体" w:cs="宋体" w:eastAsia="宋体" w:hint="default"/>
                <w:sz w:val="18"/>
                <w:szCs w:val="18"/>
              </w:rPr>
              <w:t>万元以及</w:t>
            </w:r>
            <w:r>
              <w:rPr>
                <w:rFonts w:ascii="宋体" w:hAnsi="宋体" w:cs="宋体" w:eastAsia="宋体" w:hint="default"/>
                <w:spacing w:val="-41"/>
                <w:sz w:val="18"/>
                <w:szCs w:val="18"/>
              </w:rPr>
              <w:t> </w:t>
            </w:r>
            <w:r>
              <w:rPr>
                <w:rFonts w:ascii="宋体" w:hAnsi="宋体" w:cs="宋体" w:eastAsia="宋体" w:hint="default"/>
                <w:sz w:val="18"/>
                <w:szCs w:val="18"/>
              </w:rPr>
              <w:t>8,700</w:t>
            </w:r>
            <w:r>
              <w:rPr>
                <w:rFonts w:ascii="宋体" w:hAnsi="宋体" w:cs="宋体" w:eastAsia="宋体" w:hint="default"/>
                <w:spacing w:val="-41"/>
                <w:sz w:val="18"/>
                <w:szCs w:val="18"/>
              </w:rPr>
              <w:t> </w:t>
            </w:r>
            <w:r>
              <w:rPr>
                <w:rFonts w:ascii="宋体" w:hAnsi="宋体" w:cs="宋体" w:eastAsia="宋体" w:hint="default"/>
                <w:sz w:val="18"/>
                <w:szCs w:val="18"/>
              </w:rPr>
              <w:t>万元。</w:t>
            </w:r>
            <w:r>
              <w:rPr>
                <w:rFonts w:ascii="宋体" w:hAnsi="宋体" w:cs="宋体" w:eastAsia="宋体" w:hint="default"/>
                <w:sz w:val="18"/>
                <w:szCs w:val="18"/>
              </w:rPr>
              <w:t>1</w:t>
            </w:r>
            <w:r>
              <w:rPr>
                <w:rFonts w:ascii="宋体" w:hAnsi="宋体" w:cs="宋体" w:eastAsia="宋体" w:hint="default"/>
                <w:sz w:val="18"/>
                <w:szCs w:val="18"/>
              </w:rPr>
              <w:t>、对盈</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利承诺的补偿如索瑞电气在盈利承诺期内未能实现承诺净</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利润</w:t>
            </w:r>
            <w:r>
              <w:rPr>
                <w:rFonts w:ascii="宋体" w:hAnsi="宋体" w:cs="宋体" w:eastAsia="宋体" w:hint="default"/>
                <w:spacing w:val="-82"/>
                <w:sz w:val="18"/>
                <w:szCs w:val="18"/>
              </w:rPr>
              <w:t>，</w:t>
            </w:r>
            <w:r>
              <w:rPr>
                <w:rFonts w:ascii="宋体" w:hAnsi="宋体" w:cs="宋体" w:eastAsia="宋体" w:hint="default"/>
                <w:sz w:val="18"/>
                <w:szCs w:val="18"/>
              </w:rPr>
              <w:t>则盈利承诺补偿义务人应在盈利承诺期内各年</w:t>
            </w:r>
            <w:r>
              <w:rPr>
                <w:rFonts w:ascii="宋体" w:hAnsi="宋体" w:cs="宋体" w:eastAsia="宋体" w:hint="default"/>
                <w:spacing w:val="-82"/>
                <w:sz w:val="18"/>
                <w:szCs w:val="18"/>
              </w:rPr>
              <w:t>度</w:t>
            </w:r>
            <w:r>
              <w:rPr>
                <w:rFonts w:ascii="宋体" w:hAnsi="宋体" w:cs="宋体" w:eastAsia="宋体" w:hint="default"/>
                <w:sz w:val="18"/>
                <w:szCs w:val="18"/>
              </w:rPr>
              <w:t>《专</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27" w:hRule="exact"/>
        </w:trPr>
        <w:tc>
          <w:tcPr>
            <w:tcW w:w="1703" w:type="dxa"/>
            <w:vMerge/>
            <w:tcBorders>
              <w:left w:val="single" w:sz="12" w:space="0" w:color="000000"/>
              <w:bottom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single" w:sz="12" w:space="0" w:color="000000"/>
              <w:right w:val="single" w:sz="6" w:space="0" w:color="000000"/>
            </w:tcBorders>
          </w:tcPr>
          <w:p>
            <w:pPr/>
          </w:p>
        </w:tc>
        <w:tc>
          <w:tcPr>
            <w:tcW w:w="868" w:type="dxa"/>
            <w:tcBorders>
              <w:top w:val="nil" w:sz="6" w:space="0" w:color="auto"/>
              <w:left w:val="single" w:sz="6" w:space="0" w:color="000000"/>
              <w:bottom w:val="single" w:sz="12" w:space="0" w:color="000000"/>
              <w:right w:val="single" w:sz="6" w:space="0" w:color="000000"/>
            </w:tcBorders>
          </w:tcPr>
          <w:p>
            <w:pPr/>
          </w:p>
        </w:tc>
        <w:tc>
          <w:tcPr>
            <w:tcW w:w="457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项审核报告》在指定媒体披露后的十个工作日内，向光一</w:t>
            </w:r>
          </w:p>
        </w:tc>
        <w:tc>
          <w:tcPr>
            <w:tcW w:w="851" w:type="dxa"/>
            <w:tcBorders>
              <w:top w:val="nil" w:sz="6" w:space="0" w:color="auto"/>
              <w:left w:val="single" w:sz="6" w:space="0" w:color="000000"/>
              <w:bottom w:val="single" w:sz="12" w:space="0" w:color="000000"/>
              <w:right w:val="single" w:sz="6" w:space="0" w:color="000000"/>
            </w:tcBorders>
          </w:tcPr>
          <w:p>
            <w:pPr/>
          </w:p>
        </w:tc>
        <w:tc>
          <w:tcPr>
            <w:tcW w:w="851" w:type="dxa"/>
            <w:tcBorders>
              <w:top w:val="nil" w:sz="6" w:space="0" w:color="auto"/>
              <w:left w:val="single" w:sz="6" w:space="0" w:color="000000"/>
              <w:bottom w:val="single" w:sz="12" w:space="0" w:color="000000"/>
              <w:right w:val="single" w:sz="6" w:space="0" w:color="000000"/>
            </w:tcBorders>
          </w:tcPr>
          <w:p>
            <w:pPr/>
          </w:p>
        </w:tc>
        <w:tc>
          <w:tcPr>
            <w:tcW w:w="777"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568" w:type="dxa"/>
        <w:tblLayout w:type="fixed"/>
        <w:tblCellMar>
          <w:top w:w="0" w:type="dxa"/>
          <w:left w:w="0" w:type="dxa"/>
          <w:bottom w:w="0" w:type="dxa"/>
          <w:right w:w="0" w:type="dxa"/>
        </w:tblCellMar>
        <w:tblLook w:val="01E0"/>
      </w:tblPr>
      <w:tblGrid>
        <w:gridCol w:w="1703"/>
        <w:gridCol w:w="1116"/>
        <w:gridCol w:w="868"/>
        <w:gridCol w:w="4573"/>
        <w:gridCol w:w="851"/>
        <w:gridCol w:w="851"/>
        <w:gridCol w:w="785"/>
      </w:tblGrid>
      <w:tr>
        <w:trPr>
          <w:trHeight w:val="13479" w:hRule="exact"/>
        </w:trPr>
        <w:tc>
          <w:tcPr>
            <w:tcW w:w="1703" w:type="dxa"/>
            <w:vMerge w:val="restart"/>
            <w:tcBorders>
              <w:top w:val="single" w:sz="12" w:space="0" w:color="000000"/>
              <w:left w:val="single" w:sz="12" w:space="0" w:color="000000"/>
              <w:right w:val="single" w:sz="6" w:space="0" w:color="000000"/>
            </w:tcBorders>
            <w:shd w:val="clear" w:color="auto" w:fill="D2D2D2"/>
          </w:tcPr>
          <w:p>
            <w:pPr/>
          </w:p>
        </w:tc>
        <w:tc>
          <w:tcPr>
            <w:tcW w:w="1116" w:type="dxa"/>
            <w:tcBorders>
              <w:top w:val="single" w:sz="12" w:space="0" w:color="000000"/>
              <w:left w:val="single" w:sz="6" w:space="0" w:color="000000"/>
              <w:bottom w:val="single" w:sz="6" w:space="0" w:color="000000"/>
              <w:right w:val="single" w:sz="6" w:space="0" w:color="000000"/>
            </w:tcBorders>
          </w:tcPr>
          <w:p>
            <w:pPr/>
          </w:p>
        </w:tc>
        <w:tc>
          <w:tcPr>
            <w:tcW w:w="868" w:type="dxa"/>
            <w:tcBorders>
              <w:top w:val="single" w:sz="12" w:space="0" w:color="000000"/>
              <w:left w:val="single" w:sz="6" w:space="0" w:color="000000"/>
              <w:bottom w:val="single" w:sz="6" w:space="0" w:color="000000"/>
              <w:right w:val="single" w:sz="6" w:space="0" w:color="000000"/>
            </w:tcBorders>
          </w:tcPr>
          <w:p>
            <w:pPr/>
          </w:p>
        </w:tc>
        <w:tc>
          <w:tcPr>
            <w:tcW w:w="4573"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21" w:right="17"/>
              <w:jc w:val="both"/>
              <w:rPr>
                <w:rFonts w:ascii="宋体" w:hAnsi="宋体" w:cs="宋体" w:eastAsia="宋体" w:hint="default"/>
                <w:sz w:val="18"/>
                <w:szCs w:val="18"/>
              </w:rPr>
            </w:pPr>
            <w:r>
              <w:rPr>
                <w:rFonts w:ascii="宋体" w:hAnsi="宋体" w:cs="宋体" w:eastAsia="宋体" w:hint="default"/>
                <w:sz w:val="18"/>
                <w:szCs w:val="18"/>
              </w:rPr>
              <w:t>科技支付补偿。当期的补偿金额按照如下方式计算：当期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应补偿金额</w:t>
            </w:r>
            <w:r>
              <w:rPr>
                <w:rFonts w:ascii="宋体" w:hAnsi="宋体" w:cs="宋体" w:eastAsia="宋体" w:hint="default"/>
                <w:spacing w:val="-3"/>
                <w:sz w:val="18"/>
                <w:szCs w:val="18"/>
              </w:rPr>
              <w:t>=</w:t>
            </w:r>
            <w:r>
              <w:rPr>
                <w:rFonts w:ascii="宋体" w:hAnsi="宋体" w:cs="宋体" w:eastAsia="宋体" w:hint="default"/>
                <w:spacing w:val="-3"/>
                <w:sz w:val="18"/>
                <w:szCs w:val="18"/>
              </w:rPr>
              <w:t>（截至当期期末累计承诺净利润数－截至当期</w:t>
            </w:r>
            <w:r>
              <w:rPr>
                <w:rFonts w:ascii="宋体" w:hAnsi="宋体" w:cs="宋体" w:eastAsia="宋体" w:hint="default"/>
                <w:spacing w:val="-87"/>
                <w:sz w:val="18"/>
                <w:szCs w:val="18"/>
              </w:rPr>
              <w:t> </w:t>
            </w:r>
            <w:r>
              <w:rPr>
                <w:rFonts w:ascii="宋体" w:hAnsi="宋体" w:cs="宋体" w:eastAsia="宋体" w:hint="default"/>
                <w:sz w:val="18"/>
                <w:szCs w:val="18"/>
              </w:rPr>
              <w:t>期末累计实际实现净利润数）÷盈利承诺期内各年度承诺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净利润之和×本次交易的总对价－已补偿金额。如索瑞电</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气在承诺期内未能实现承诺净利润，则盈利承诺补偿义务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人应以当年应补偿金额为基数按照其在本次交易中所获对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价占盈利承诺补偿义务人本次交易所获交易对价总额的比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例确定其单方应补偿金额。承诺期内，索瑞电气累计未实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现利润在</w:t>
            </w:r>
            <w:r>
              <w:rPr>
                <w:rFonts w:ascii="宋体" w:hAnsi="宋体" w:cs="宋体" w:eastAsia="宋体" w:hint="default"/>
                <w:spacing w:val="-41"/>
                <w:sz w:val="18"/>
                <w:szCs w:val="18"/>
              </w:rPr>
              <w:t> </w:t>
            </w:r>
            <w:r>
              <w:rPr>
                <w:rFonts w:ascii="宋体" w:hAnsi="宋体" w:cs="宋体" w:eastAsia="宋体" w:hint="default"/>
                <w:sz w:val="18"/>
                <w:szCs w:val="18"/>
              </w:rPr>
              <w:t>300</w:t>
            </w:r>
            <w:r>
              <w:rPr>
                <w:rFonts w:ascii="宋体" w:hAnsi="宋体" w:cs="宋体" w:eastAsia="宋体" w:hint="default"/>
                <w:spacing w:val="-41"/>
                <w:sz w:val="18"/>
                <w:szCs w:val="18"/>
              </w:rPr>
              <w:t> </w:t>
            </w:r>
            <w:r>
              <w:rPr>
                <w:rFonts w:ascii="宋体" w:hAnsi="宋体" w:cs="宋体" w:eastAsia="宋体" w:hint="default"/>
                <w:sz w:val="18"/>
                <w:szCs w:val="18"/>
              </w:rPr>
              <w:t>万元以下的（含</w:t>
            </w:r>
            <w:r>
              <w:rPr>
                <w:rFonts w:ascii="宋体" w:hAnsi="宋体" w:cs="宋体" w:eastAsia="宋体" w:hint="default"/>
                <w:spacing w:val="-41"/>
                <w:sz w:val="18"/>
                <w:szCs w:val="18"/>
              </w:rPr>
              <w:t> </w:t>
            </w:r>
            <w:r>
              <w:rPr>
                <w:rFonts w:ascii="宋体" w:hAnsi="宋体" w:cs="宋体" w:eastAsia="宋体" w:hint="default"/>
                <w:sz w:val="18"/>
                <w:szCs w:val="18"/>
              </w:rPr>
              <w:t>300</w:t>
            </w:r>
            <w:r>
              <w:rPr>
                <w:rFonts w:ascii="宋体" w:hAnsi="宋体" w:cs="宋体" w:eastAsia="宋体" w:hint="default"/>
                <w:spacing w:val="-41"/>
                <w:sz w:val="18"/>
                <w:szCs w:val="18"/>
              </w:rPr>
              <w:t> </w:t>
            </w:r>
            <w:r>
              <w:rPr>
                <w:rFonts w:ascii="宋体" w:hAnsi="宋体" w:cs="宋体" w:eastAsia="宋体" w:hint="default"/>
                <w:sz w:val="18"/>
                <w:szCs w:val="18"/>
              </w:rPr>
              <w:t>万元整），盈利承诺补</w:t>
            </w:r>
          </w:p>
          <w:p>
            <w:pPr>
              <w:pStyle w:val="TableParagraph"/>
              <w:spacing w:line="316" w:lineRule="auto" w:before="19"/>
              <w:ind w:left="21" w:right="17"/>
              <w:jc w:val="both"/>
              <w:rPr>
                <w:rFonts w:ascii="宋体" w:hAnsi="宋体" w:cs="宋体" w:eastAsia="宋体" w:hint="default"/>
                <w:sz w:val="18"/>
                <w:szCs w:val="18"/>
              </w:rPr>
            </w:pPr>
            <w:r>
              <w:rPr>
                <w:rFonts w:ascii="宋体" w:hAnsi="宋体" w:cs="宋体" w:eastAsia="宋体" w:hint="default"/>
                <w:sz w:val="18"/>
                <w:szCs w:val="18"/>
              </w:rPr>
              <w:t>偿义务人用现金进行补偿，累计未实现利润超过</w:t>
            </w:r>
            <w:r>
              <w:rPr>
                <w:rFonts w:ascii="宋体" w:hAnsi="宋体" w:cs="宋体" w:eastAsia="宋体" w:hint="default"/>
                <w:spacing w:val="-37"/>
                <w:sz w:val="18"/>
                <w:szCs w:val="18"/>
              </w:rPr>
              <w:t> </w:t>
            </w:r>
            <w:r>
              <w:rPr>
                <w:rFonts w:ascii="宋体" w:hAnsi="宋体" w:cs="宋体" w:eastAsia="宋体" w:hint="default"/>
                <w:sz w:val="18"/>
                <w:szCs w:val="18"/>
              </w:rPr>
              <w:t>300</w:t>
            </w:r>
            <w:r>
              <w:rPr>
                <w:rFonts w:ascii="宋体" w:hAnsi="宋体" w:cs="宋体" w:eastAsia="宋体" w:hint="default"/>
                <w:spacing w:val="-38"/>
                <w:sz w:val="18"/>
                <w:szCs w:val="18"/>
              </w:rPr>
              <w:t> </w:t>
            </w:r>
            <w:r>
              <w:rPr>
                <w:rFonts w:ascii="宋体" w:hAnsi="宋体" w:cs="宋体" w:eastAsia="宋体" w:hint="default"/>
                <w:sz w:val="18"/>
                <w:szCs w:val="18"/>
              </w:rPr>
              <w:t>万元 且盈利承诺补偿义务人所获得股份对价不足补偿时，各盈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利承诺补偿义务人用现金进行补偿。以股份方式补偿的具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体补偿方式如下：当期应补偿股份数量</w:t>
            </w:r>
            <w:r>
              <w:rPr>
                <w:rFonts w:ascii="宋体" w:hAnsi="宋体" w:cs="宋体" w:eastAsia="宋体" w:hint="default"/>
                <w:sz w:val="18"/>
                <w:szCs w:val="18"/>
              </w:rPr>
              <w:t>=</w:t>
            </w:r>
            <w:r>
              <w:rPr>
                <w:rFonts w:ascii="宋体" w:hAnsi="宋体" w:cs="宋体" w:eastAsia="宋体" w:hint="default"/>
                <w:sz w:val="18"/>
                <w:szCs w:val="18"/>
              </w:rPr>
              <w:t>当期应补偿金额</w:t>
            </w:r>
            <w:r>
              <w:rPr>
                <w:rFonts w:ascii="宋体" w:hAnsi="宋体" w:cs="宋体" w:eastAsia="宋体" w:hint="default"/>
                <w:sz w:val="18"/>
                <w:szCs w:val="18"/>
              </w:rPr>
              <w:t>/</w:t>
            </w:r>
            <w:r>
              <w:rPr>
                <w:rFonts w:ascii="宋体" w:hAnsi="宋体" w:cs="宋体" w:eastAsia="宋体" w:hint="default"/>
                <w:spacing w:val="-76"/>
                <w:sz w:val="18"/>
                <w:szCs w:val="18"/>
              </w:rPr>
              <w:t> </w:t>
            </w:r>
            <w:r>
              <w:rPr>
                <w:rFonts w:ascii="宋体" w:hAnsi="宋体" w:cs="宋体" w:eastAsia="宋体" w:hint="default"/>
                <w:sz w:val="18"/>
                <w:szCs w:val="18"/>
              </w:rPr>
              <w:t>本次发行股份的价格。光一科技在承诺期内实施资本公积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金转增股本或分配股票股利的，则应补偿股份数量相应调</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整为：当期应补偿股份数量（调整后）</w:t>
            </w:r>
            <w:r>
              <w:rPr>
                <w:rFonts w:ascii="宋体" w:hAnsi="宋体" w:cs="宋体" w:eastAsia="宋体" w:hint="default"/>
                <w:spacing w:val="-3"/>
                <w:sz w:val="18"/>
                <w:szCs w:val="18"/>
              </w:rPr>
              <w:t>=</w:t>
            </w:r>
            <w:r>
              <w:rPr>
                <w:rFonts w:ascii="宋体" w:hAnsi="宋体" w:cs="宋体" w:eastAsia="宋体" w:hint="default"/>
                <w:spacing w:val="-3"/>
                <w:sz w:val="18"/>
                <w:szCs w:val="18"/>
              </w:rPr>
              <w:t>当期应补偿股份数</w:t>
            </w:r>
          </w:p>
          <w:p>
            <w:pPr>
              <w:pStyle w:val="TableParagraph"/>
              <w:spacing w:line="316" w:lineRule="auto" w:before="19"/>
              <w:ind w:left="21" w:right="12"/>
              <w:jc w:val="both"/>
              <w:rPr>
                <w:rFonts w:ascii="宋体" w:hAnsi="宋体" w:cs="宋体" w:eastAsia="宋体" w:hint="default"/>
                <w:sz w:val="18"/>
                <w:szCs w:val="18"/>
              </w:rPr>
            </w:pPr>
            <w:r>
              <w:rPr>
                <w:rFonts w:ascii="宋体" w:hAnsi="宋体" w:cs="宋体" w:eastAsia="宋体" w:hint="default"/>
                <w:spacing w:val="-3"/>
                <w:sz w:val="18"/>
                <w:szCs w:val="18"/>
              </w:rPr>
              <w:t>（调整前）×（</w:t>
            </w:r>
            <w:r>
              <w:rPr>
                <w:rFonts w:ascii="宋体" w:hAnsi="宋体" w:cs="宋体" w:eastAsia="宋体" w:hint="default"/>
                <w:spacing w:val="-3"/>
                <w:sz w:val="18"/>
                <w:szCs w:val="18"/>
              </w:rPr>
              <w:t>1</w:t>
            </w:r>
            <w:r>
              <w:rPr>
                <w:rFonts w:ascii="宋体" w:hAnsi="宋体" w:cs="宋体" w:eastAsia="宋体" w:hint="default"/>
                <w:spacing w:val="-3"/>
                <w:sz w:val="18"/>
                <w:szCs w:val="18"/>
              </w:rPr>
              <w:t>＋转增或送股比例）。交易对方在盈利承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诺期内已分得的现金股利应作相应返还，计算公式为：返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还金额</w:t>
            </w:r>
            <w:r>
              <w:rPr>
                <w:rFonts w:ascii="宋体" w:hAnsi="宋体" w:cs="宋体" w:eastAsia="宋体" w:hint="default"/>
                <w:spacing w:val="-3"/>
                <w:sz w:val="18"/>
                <w:szCs w:val="18"/>
              </w:rPr>
              <w:t>=</w:t>
            </w:r>
            <w:r>
              <w:rPr>
                <w:rFonts w:ascii="宋体" w:hAnsi="宋体" w:cs="宋体" w:eastAsia="宋体" w:hint="default"/>
                <w:spacing w:val="-3"/>
                <w:sz w:val="18"/>
                <w:szCs w:val="18"/>
              </w:rPr>
              <w:t>截至补偿前每股已获得的现金股利（以税后金额为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准）×当期应补偿股份数量。盈利承诺补偿义务人应按照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协议的约定，当期应补偿的股份，由光一科技董事会负责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办理光一科技以总价 </w:t>
            </w:r>
            <w:r>
              <w:rPr>
                <w:rFonts w:ascii="宋体" w:hAnsi="宋体" w:cs="宋体" w:eastAsia="宋体" w:hint="default"/>
                <w:sz w:val="18"/>
                <w:szCs w:val="18"/>
              </w:rPr>
              <w:t>1.00</w:t>
            </w:r>
            <w:r>
              <w:rPr>
                <w:rFonts w:ascii="宋体" w:hAnsi="宋体" w:cs="宋体" w:eastAsia="宋体" w:hint="default"/>
                <w:spacing w:val="12"/>
                <w:sz w:val="18"/>
                <w:szCs w:val="18"/>
              </w:rPr>
              <w:t> </w:t>
            </w:r>
            <w:r>
              <w:rPr>
                <w:rFonts w:ascii="宋体" w:hAnsi="宋体" w:cs="宋体" w:eastAsia="宋体" w:hint="default"/>
                <w:sz w:val="18"/>
                <w:szCs w:val="18"/>
              </w:rPr>
              <w:t>元的价格向盈利承诺补偿义务 人定向回购并注销当期应补偿的股份的具体手续。若光一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科技上述应补偿股份回购并注销事宜因未获得股东大会审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议通过或因未获得相关债权人认可等原因而无法实施的，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则盈利承诺补偿义务人承诺在上述情形发生后的</w:t>
            </w:r>
            <w:r>
              <w:rPr>
                <w:rFonts w:ascii="宋体" w:hAnsi="宋体" w:cs="宋体" w:eastAsia="宋体" w:hint="default"/>
                <w:spacing w:val="13"/>
                <w:sz w:val="18"/>
                <w:szCs w:val="18"/>
              </w:rPr>
              <w:t> </w:t>
            </w:r>
            <w:r>
              <w:rPr>
                <w:rFonts w:ascii="宋体" w:hAnsi="宋体" w:cs="宋体" w:eastAsia="宋体" w:hint="default"/>
                <w:sz w:val="18"/>
                <w:szCs w:val="18"/>
              </w:rPr>
              <w:t>2</w:t>
            </w:r>
            <w:r>
              <w:rPr>
                <w:rFonts w:ascii="宋体" w:hAnsi="宋体" w:cs="宋体" w:eastAsia="宋体" w:hint="default"/>
                <w:spacing w:val="9"/>
                <w:sz w:val="18"/>
                <w:szCs w:val="18"/>
              </w:rPr>
              <w:t> </w:t>
            </w:r>
            <w:r>
              <w:rPr>
                <w:rFonts w:ascii="宋体" w:hAnsi="宋体" w:cs="宋体" w:eastAsia="宋体" w:hint="default"/>
                <w:spacing w:val="4"/>
                <w:sz w:val="18"/>
                <w:szCs w:val="18"/>
              </w:rPr>
              <w:t>个月</w:t>
            </w:r>
            <w:r>
              <w:rPr>
                <w:rFonts w:ascii="宋体" w:hAnsi="宋体" w:cs="宋体" w:eastAsia="宋体" w:hint="default"/>
                <w:spacing w:val="-88"/>
                <w:sz w:val="18"/>
                <w:szCs w:val="18"/>
              </w:rPr>
              <w:t> </w:t>
            </w:r>
            <w:r>
              <w:rPr>
                <w:rFonts w:ascii="宋体" w:hAnsi="宋体" w:cs="宋体" w:eastAsia="宋体" w:hint="default"/>
                <w:sz w:val="18"/>
                <w:szCs w:val="18"/>
              </w:rPr>
              <w:t>内，将该等股份按照本次补偿的股权登记日在册的上市公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司其他股东各自所持上市公司股份占上市公司其他股东所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持全部上市公司股份的比例赠送给上市公司其他股东。在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各年计算的应补偿金额少于或等于</w:t>
            </w:r>
            <w:r>
              <w:rPr>
                <w:rFonts w:ascii="宋体" w:hAnsi="宋体" w:cs="宋体" w:eastAsia="宋体" w:hint="default"/>
                <w:spacing w:val="-41"/>
                <w:sz w:val="18"/>
                <w:szCs w:val="18"/>
              </w:rPr>
              <w:t> </w:t>
            </w:r>
            <w:r>
              <w:rPr>
                <w:rFonts w:ascii="宋体" w:hAnsi="宋体" w:cs="宋体" w:eastAsia="宋体" w:hint="default"/>
                <w:sz w:val="18"/>
                <w:szCs w:val="18"/>
              </w:rPr>
              <w:t>0</w:t>
            </w:r>
            <w:r>
              <w:rPr>
                <w:rFonts w:ascii="宋体" w:hAnsi="宋体" w:cs="宋体" w:eastAsia="宋体" w:hint="default"/>
                <w:spacing w:val="-41"/>
                <w:sz w:val="18"/>
                <w:szCs w:val="18"/>
              </w:rPr>
              <w:t> </w:t>
            </w:r>
            <w:r>
              <w:rPr>
                <w:rFonts w:ascii="宋体" w:hAnsi="宋体" w:cs="宋体" w:eastAsia="宋体" w:hint="default"/>
                <w:sz w:val="18"/>
                <w:szCs w:val="18"/>
              </w:rPr>
              <w:t>时，按</w:t>
            </w:r>
            <w:r>
              <w:rPr>
                <w:rFonts w:ascii="宋体" w:hAnsi="宋体" w:cs="宋体" w:eastAsia="宋体" w:hint="default"/>
                <w:spacing w:val="-41"/>
                <w:sz w:val="18"/>
                <w:szCs w:val="18"/>
              </w:rPr>
              <w:t> </w:t>
            </w:r>
            <w:r>
              <w:rPr>
                <w:rFonts w:ascii="宋体" w:hAnsi="宋体" w:cs="宋体" w:eastAsia="宋体" w:hint="default"/>
                <w:sz w:val="18"/>
                <w:szCs w:val="18"/>
              </w:rPr>
              <w:t>0</w:t>
            </w:r>
            <w:r>
              <w:rPr>
                <w:rFonts w:ascii="宋体" w:hAnsi="宋体" w:cs="宋体" w:eastAsia="宋体" w:hint="default"/>
                <w:spacing w:val="-41"/>
                <w:sz w:val="18"/>
                <w:szCs w:val="18"/>
              </w:rPr>
              <w:t> </w:t>
            </w:r>
            <w:r>
              <w:rPr>
                <w:rFonts w:ascii="宋体" w:hAnsi="宋体" w:cs="宋体" w:eastAsia="宋体" w:hint="default"/>
                <w:sz w:val="18"/>
                <w:szCs w:val="18"/>
              </w:rPr>
              <w:t>取值，即已 经补偿的金额不冲回。计算结果如出现小数的，应舍去取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整。无论如何，盈利承诺补偿义务人向光一科技支付的补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偿总额不超过盈利承诺补偿义务人取得的股份对价和现金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对价之和。</w:t>
            </w:r>
            <w:r>
              <w:rPr>
                <w:rFonts w:ascii="宋体" w:hAnsi="宋体" w:cs="宋体" w:eastAsia="宋体" w:hint="default"/>
                <w:spacing w:val="-3"/>
                <w:sz w:val="18"/>
                <w:szCs w:val="18"/>
              </w:rPr>
              <w:t>2</w:t>
            </w:r>
            <w:r>
              <w:rPr>
                <w:rFonts w:ascii="宋体" w:hAnsi="宋体" w:cs="宋体" w:eastAsia="宋体" w:hint="default"/>
                <w:spacing w:val="-3"/>
                <w:sz w:val="18"/>
                <w:szCs w:val="18"/>
              </w:rPr>
              <w:t>、减值测试及补偿在盈利承诺期届满后四个月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内，光一科技聘请具有证券、期货业务资格的会计师事务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所对光一科技购买的标的股权进行减值测试，并出具《减</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值测试报告》。如：标的股权期末减值额</w:t>
            </w:r>
            <w:r>
              <w:rPr>
                <w:rFonts w:ascii="宋体" w:hAnsi="宋体" w:cs="宋体" w:eastAsia="宋体" w:hint="default"/>
                <w:spacing w:val="-3"/>
                <w:sz w:val="18"/>
                <w:szCs w:val="18"/>
              </w:rPr>
              <w:t>&gt;</w:t>
            </w:r>
            <w:r>
              <w:rPr>
                <w:rFonts w:ascii="宋体" w:hAnsi="宋体" w:cs="宋体" w:eastAsia="宋体" w:hint="default"/>
                <w:spacing w:val="-3"/>
                <w:sz w:val="18"/>
                <w:szCs w:val="18"/>
              </w:rPr>
              <w:t>盈利承诺期内已</w:t>
            </w:r>
            <w:r>
              <w:rPr>
                <w:rFonts w:ascii="宋体" w:hAnsi="宋体" w:cs="宋体" w:eastAsia="宋体" w:hint="default"/>
                <w:spacing w:val="-88"/>
                <w:sz w:val="18"/>
                <w:szCs w:val="18"/>
              </w:rPr>
              <w:t> </w:t>
            </w:r>
            <w:r>
              <w:rPr>
                <w:rFonts w:ascii="宋体" w:hAnsi="宋体" w:cs="宋体" w:eastAsia="宋体" w:hint="default"/>
                <w:sz w:val="18"/>
                <w:szCs w:val="18"/>
              </w:rPr>
              <w:t>补偿股份总数×本次发行股份价格＋盈利承诺期内已补偿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现金，则盈利承诺补偿义务人对光一科技另行补偿。补偿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时，先以盈利承诺补偿义务人因本次交易所取得的尚未出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售的股份进行补偿，不足部分以现金补偿。因标的股权减</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值应补偿金额的计算公式为：应补偿金额</w:t>
            </w:r>
            <w:r>
              <w:rPr>
                <w:rFonts w:ascii="宋体" w:hAnsi="宋体" w:cs="宋体" w:eastAsia="宋体" w:hint="default"/>
                <w:spacing w:val="-3"/>
                <w:sz w:val="18"/>
                <w:szCs w:val="18"/>
              </w:rPr>
              <w:t>=</w:t>
            </w:r>
            <w:r>
              <w:rPr>
                <w:rFonts w:ascii="宋体" w:hAnsi="宋体" w:cs="宋体" w:eastAsia="宋体" w:hint="default"/>
                <w:spacing w:val="-3"/>
                <w:sz w:val="18"/>
                <w:szCs w:val="18"/>
              </w:rPr>
              <w:t>期末减值额－盈</w:t>
            </w:r>
            <w:r>
              <w:rPr>
                <w:rFonts w:ascii="宋体" w:hAnsi="宋体" w:cs="宋体" w:eastAsia="宋体" w:hint="default"/>
                <w:spacing w:val="-87"/>
                <w:sz w:val="18"/>
                <w:szCs w:val="18"/>
              </w:rPr>
              <w:t> </w:t>
            </w:r>
            <w:r>
              <w:rPr>
                <w:rFonts w:ascii="宋体" w:hAnsi="宋体" w:cs="宋体" w:eastAsia="宋体" w:hint="default"/>
                <w:sz w:val="18"/>
                <w:szCs w:val="18"/>
              </w:rPr>
              <w:t>利承诺期内因实际利润未达到承诺利润已支付的补偿额。</w:t>
            </w:r>
          </w:p>
        </w:tc>
        <w:tc>
          <w:tcPr>
            <w:tcW w:w="851" w:type="dxa"/>
            <w:tcBorders>
              <w:top w:val="single" w:sz="12" w:space="0" w:color="000000"/>
              <w:left w:val="single" w:sz="6" w:space="0" w:color="000000"/>
              <w:bottom w:val="single" w:sz="6" w:space="0" w:color="000000"/>
              <w:right w:val="single" w:sz="6" w:space="0" w:color="000000"/>
            </w:tcBorders>
          </w:tcPr>
          <w:p>
            <w:pPr/>
          </w:p>
        </w:tc>
        <w:tc>
          <w:tcPr>
            <w:tcW w:w="851" w:type="dxa"/>
            <w:tcBorders>
              <w:top w:val="single" w:sz="12" w:space="0" w:color="000000"/>
              <w:left w:val="single" w:sz="6" w:space="0" w:color="000000"/>
              <w:bottom w:val="single" w:sz="6" w:space="0" w:color="000000"/>
              <w:right w:val="single" w:sz="6" w:space="0" w:color="000000"/>
            </w:tcBorders>
          </w:tcPr>
          <w:p>
            <w:pPr/>
          </w:p>
        </w:tc>
        <w:tc>
          <w:tcPr>
            <w:tcW w:w="785" w:type="dxa"/>
            <w:tcBorders>
              <w:top w:val="single" w:sz="12" w:space="0" w:color="000000"/>
              <w:left w:val="single" w:sz="6" w:space="0" w:color="000000"/>
              <w:bottom w:val="single" w:sz="6" w:space="0" w:color="000000"/>
              <w:right w:val="single" w:sz="12" w:space="0" w:color="000000"/>
            </w:tcBorders>
          </w:tcPr>
          <w:p>
            <w:pPr/>
          </w:p>
        </w:tc>
      </w:tr>
      <w:tr>
        <w:trPr>
          <w:trHeight w:val="415" w:hRule="exact"/>
        </w:trPr>
        <w:tc>
          <w:tcPr>
            <w:tcW w:w="1703" w:type="dxa"/>
            <w:vMerge/>
            <w:tcBorders>
              <w:left w:val="single" w:sz="12" w:space="0" w:color="000000"/>
              <w:bottom w:val="single" w:sz="12" w:space="0" w:color="000000"/>
              <w:right w:val="single" w:sz="6" w:space="0" w:color="000000"/>
            </w:tcBorders>
            <w:shd w:val="clear" w:color="auto" w:fill="D2D2D2"/>
          </w:tcPr>
          <w:p>
            <w:pPr/>
          </w:p>
        </w:tc>
        <w:tc>
          <w:tcPr>
            <w:tcW w:w="11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20" w:right="0"/>
              <w:jc w:val="left"/>
              <w:rPr>
                <w:rFonts w:ascii="宋体" w:hAnsi="宋体" w:cs="宋体" w:eastAsia="宋体" w:hint="default"/>
                <w:sz w:val="18"/>
                <w:szCs w:val="18"/>
              </w:rPr>
            </w:pPr>
            <w:r>
              <w:rPr>
                <w:rFonts w:ascii="宋体" w:hAnsi="宋体" w:cs="宋体" w:eastAsia="宋体" w:hint="default"/>
                <w:spacing w:val="-4"/>
                <w:sz w:val="18"/>
                <w:szCs w:val="18"/>
              </w:rPr>
              <w:t>任昌兆、任晶</w:t>
            </w:r>
          </w:p>
        </w:tc>
        <w:tc>
          <w:tcPr>
            <w:tcW w:w="8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21" w:right="0"/>
              <w:jc w:val="left"/>
              <w:rPr>
                <w:rFonts w:ascii="宋体" w:hAnsi="宋体" w:cs="宋体" w:eastAsia="宋体" w:hint="default"/>
                <w:sz w:val="18"/>
                <w:szCs w:val="18"/>
              </w:rPr>
            </w:pPr>
            <w:r>
              <w:rPr>
                <w:rFonts w:ascii="宋体" w:hAnsi="宋体" w:cs="宋体" w:eastAsia="宋体" w:hint="default"/>
                <w:spacing w:val="-3"/>
                <w:sz w:val="18"/>
                <w:szCs w:val="18"/>
              </w:rPr>
              <w:t>关于重大资产重组相关事项的承诺：（</w:t>
            </w:r>
            <w:r>
              <w:rPr>
                <w:rFonts w:ascii="宋体" w:hAnsi="宋体" w:cs="宋体" w:eastAsia="宋体" w:hint="default"/>
                <w:spacing w:val="-3"/>
                <w:sz w:val="18"/>
                <w:szCs w:val="18"/>
              </w:rPr>
              <w:t>1</w:t>
            </w:r>
            <w:r>
              <w:rPr>
                <w:rFonts w:ascii="宋体" w:hAnsi="宋体" w:cs="宋体" w:eastAsia="宋体" w:hint="default"/>
                <w:spacing w:val="-3"/>
                <w:sz w:val="18"/>
                <w:szCs w:val="18"/>
              </w:rPr>
              <w:t>）本人是具有完全</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37"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418.21402pt;margin-top:91.079987pt;width:66.150pt;height:436.85pt;mso-position-horizontal-relative:page;mso-position-vertical-relative:page;z-index:-9178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查封、</w:t>
                  </w:r>
                </w:p>
              </w:txbxContent>
            </v:textbox>
            <w10:wrap type="none"/>
          </v:shape>
        </w:pict>
      </w:r>
      <w:r>
        <w:rPr/>
        <w:pict>
          <v:group style="position:absolute;margin-left:442.5pt;margin-top:91.079987pt;width:41.85pt;height:436.85pt;mso-position-horizontal-relative:page;mso-position-vertical-relative:page;z-index:-917872" coordorigin="8850,1822" coordsize="837,8737">
            <v:shape style="position:absolute;left:8850;top:1822;width:837;height:8737" coordorigin="8850,1822" coordsize="837,8737" path="m8850,10558l9686,10558,9686,1822,8850,1822,8850,10558xe" filled="true" fillcolor="#ffffff" stroked="false">
              <v:path arrowok="t"/>
              <v:fill type="solid"/>
            </v:shape>
            <w10:wrap type="none"/>
          </v:group>
        </w:pict>
      </w:r>
      <w:r>
        <w:rPr/>
        <w:pict>
          <v:group style="position:absolute;margin-left:442.5pt;margin-top:664.299988pt;width:41.85pt;height:100.4pt;mso-position-horizontal-relative:page;mso-position-vertical-relative:page;z-index:-917848" coordorigin="8850,13286" coordsize="837,2008">
            <v:shape style="position:absolute;left:8850;top:13286;width:837;height:2008" coordorigin="8850,13286" coordsize="837,2008" path="m8850,15294l9686,15294,9686,13286,8850,13286,8850,15294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568" w:type="dxa"/>
        <w:tblLayout w:type="fixed"/>
        <w:tblCellMar>
          <w:top w:w="0" w:type="dxa"/>
          <w:left w:w="0" w:type="dxa"/>
          <w:bottom w:w="0" w:type="dxa"/>
          <w:right w:w="0" w:type="dxa"/>
        </w:tblCellMar>
        <w:tblLook w:val="01E0"/>
      </w:tblPr>
      <w:tblGrid>
        <w:gridCol w:w="1703"/>
        <w:gridCol w:w="1116"/>
        <w:gridCol w:w="868"/>
        <w:gridCol w:w="4573"/>
        <w:gridCol w:w="851"/>
        <w:gridCol w:w="851"/>
        <w:gridCol w:w="777"/>
      </w:tblGrid>
      <w:tr>
        <w:trPr>
          <w:trHeight w:val="328" w:hRule="exact"/>
        </w:trPr>
        <w:tc>
          <w:tcPr>
            <w:tcW w:w="1703" w:type="dxa"/>
            <w:vMerge w:val="restart"/>
            <w:tcBorders>
              <w:top w:val="single" w:sz="12" w:space="0" w:color="000000"/>
              <w:left w:val="single" w:sz="12" w:space="0" w:color="000000"/>
              <w:right w:val="single" w:sz="6" w:space="0" w:color="000000"/>
            </w:tcBorders>
            <w:shd w:val="clear" w:color="auto" w:fill="D2D2D2"/>
          </w:tcPr>
          <w:p>
            <w:pPr/>
          </w:p>
        </w:tc>
        <w:tc>
          <w:tcPr>
            <w:tcW w:w="111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晶、魏法旭、</w:t>
            </w:r>
          </w:p>
        </w:tc>
        <w:tc>
          <w:tcPr>
            <w:tcW w:w="868" w:type="dxa"/>
            <w:vMerge w:val="restart"/>
            <w:tcBorders>
              <w:top w:val="single" w:sz="12" w:space="0" w:color="000000"/>
              <w:left w:val="single" w:sz="6" w:space="0" w:color="000000"/>
              <w:right w:val="single" w:sz="6" w:space="0" w:color="000000"/>
            </w:tcBorders>
          </w:tcPr>
          <w:p>
            <w:pPr/>
          </w:p>
        </w:tc>
        <w:tc>
          <w:tcPr>
            <w:tcW w:w="457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民事行为能力的自然人。（</w:t>
            </w:r>
            <w:r>
              <w:rPr>
                <w:rFonts w:ascii="宋体" w:hAnsi="宋体" w:cs="宋体" w:eastAsia="宋体" w:hint="default"/>
                <w:spacing w:val="-3"/>
                <w:sz w:val="18"/>
                <w:szCs w:val="18"/>
              </w:rPr>
              <w:t>2</w:t>
            </w:r>
            <w:r>
              <w:rPr>
                <w:rFonts w:ascii="宋体" w:hAnsi="宋体" w:cs="宋体" w:eastAsia="宋体" w:hint="default"/>
                <w:spacing w:val="-3"/>
                <w:sz w:val="18"/>
                <w:szCs w:val="18"/>
              </w:rPr>
              <w:t>）本人已依法对索瑞电气履行</w:t>
            </w:r>
          </w:p>
        </w:tc>
        <w:tc>
          <w:tcPr>
            <w:tcW w:w="85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vMerge w:val="restart"/>
            <w:tcBorders>
              <w:top w:val="single" w:sz="12" w:space="0" w:color="000000"/>
              <w:left w:val="single" w:sz="6" w:space="0" w:color="000000"/>
              <w:right w:val="single" w:sz="6" w:space="0" w:color="000000"/>
            </w:tcBorders>
          </w:tcPr>
          <w:p>
            <w:pPr/>
          </w:p>
        </w:tc>
        <w:tc>
          <w:tcPr>
            <w:tcW w:w="777" w:type="dxa"/>
            <w:vMerge w:val="restart"/>
            <w:tcBorders>
              <w:top w:val="single" w:sz="12" w:space="0" w:color="000000"/>
              <w:left w:val="single" w:sz="6" w:space="0" w:color="000000"/>
              <w:right w:val="single" w:sz="12" w:space="0" w:color="000000"/>
            </w:tcBorders>
          </w:tcPr>
          <w:p>
            <w:pPr/>
          </w:p>
        </w:tc>
      </w:tr>
      <w:tr>
        <w:trPr>
          <w:trHeight w:val="311"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郑丽蓉、邓丽</w:t>
            </w: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了出资义务，不存在任何虚假出资、延期出资、抽逃出资</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萍、赵业香、</w:t>
            </w: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等违反本人作为索瑞电气股东所应当承担的义务及责任的</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桂长钟、李善</w:t>
            </w: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行为。（</w:t>
            </w:r>
            <w:r>
              <w:rPr>
                <w:rFonts w:ascii="宋体" w:hAnsi="宋体" w:cs="宋体" w:eastAsia="宋体" w:hint="default"/>
                <w:spacing w:val="-3"/>
                <w:sz w:val="18"/>
                <w:szCs w:val="18"/>
              </w:rPr>
              <w:t>3</w:t>
            </w:r>
            <w:r>
              <w:rPr>
                <w:rFonts w:ascii="宋体" w:hAnsi="宋体" w:cs="宋体" w:eastAsia="宋体" w:hint="default"/>
                <w:spacing w:val="-3"/>
                <w:sz w:val="18"/>
                <w:szCs w:val="18"/>
              </w:rPr>
              <w:t>）本人保证不存在以委托持股、信托持股或其他</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元、梁蓉、廖</w:t>
            </w: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类似的方式为他人代持索瑞电气股权或由他人代本人代持</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17"/>
              <w:jc w:val="left"/>
              <w:rPr>
                <w:rFonts w:ascii="宋体" w:hAnsi="宋体" w:cs="宋体" w:eastAsia="宋体" w:hint="default"/>
                <w:sz w:val="18"/>
                <w:szCs w:val="18"/>
              </w:rPr>
            </w:pPr>
            <w:r>
              <w:rPr>
                <w:rFonts w:ascii="宋体" w:hAnsi="宋体" w:cs="宋体" w:eastAsia="宋体" w:hint="default"/>
                <w:spacing w:val="31"/>
                <w:sz w:val="18"/>
                <w:szCs w:val="18"/>
              </w:rPr>
              <w:t>庆生、郑立</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索瑞电气股权的情形。本人保证合法持有且有权转让索瑞</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筠、周军、田</w:t>
            </w: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电气股权，本人所持索瑞电气股权不存在任何质押、</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17"/>
              <w:jc w:val="left"/>
              <w:rPr>
                <w:rFonts w:ascii="宋体" w:hAnsi="宋体" w:cs="宋体" w:eastAsia="宋体" w:hint="default"/>
                <w:sz w:val="18"/>
                <w:szCs w:val="18"/>
              </w:rPr>
            </w:pPr>
            <w:r>
              <w:rPr>
                <w:rFonts w:ascii="宋体" w:hAnsi="宋体" w:cs="宋体" w:eastAsia="宋体" w:hint="default"/>
                <w:spacing w:val="31"/>
                <w:sz w:val="18"/>
                <w:szCs w:val="18"/>
              </w:rPr>
              <w:t>裕树、张天</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冻结或其他任何限制转让的情形。（</w:t>
            </w:r>
            <w:r>
              <w:rPr>
                <w:rFonts w:ascii="宋体" w:hAnsi="宋体" w:cs="宋体" w:eastAsia="宋体" w:hint="default"/>
                <w:spacing w:val="-3"/>
                <w:sz w:val="18"/>
                <w:szCs w:val="18"/>
              </w:rPr>
              <w:t>4</w:t>
            </w:r>
            <w:r>
              <w:rPr>
                <w:rFonts w:ascii="宋体" w:hAnsi="宋体" w:cs="宋体" w:eastAsia="宋体" w:hint="default"/>
                <w:spacing w:val="-3"/>
                <w:sz w:val="18"/>
                <w:szCs w:val="18"/>
              </w:rPr>
              <w:t>）本次交易的标的资</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祯、王平、方</w:t>
            </w: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产权属清晰，不存在任何争议或潜在纠纷，不存在质押、</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17"/>
              <w:jc w:val="left"/>
              <w:rPr>
                <w:rFonts w:ascii="宋体" w:hAnsi="宋体" w:cs="宋体" w:eastAsia="宋体" w:hint="default"/>
                <w:sz w:val="18"/>
                <w:szCs w:val="18"/>
              </w:rPr>
            </w:pPr>
            <w:r>
              <w:rPr>
                <w:rFonts w:ascii="宋体" w:hAnsi="宋体" w:cs="宋体" w:eastAsia="宋体" w:hint="default"/>
                <w:spacing w:val="31"/>
                <w:sz w:val="18"/>
                <w:szCs w:val="18"/>
              </w:rPr>
              <w:t>旭东、何传</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查封、冻结或任何其他限制或禁止该等股权转让的情形，</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柏、郭明亮、</w:t>
            </w: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标的资产过户或转移不存在法律障碍。（</w:t>
            </w:r>
            <w:r>
              <w:rPr>
                <w:rFonts w:ascii="宋体" w:hAnsi="宋体" w:cs="宋体" w:eastAsia="宋体" w:hint="default"/>
                <w:spacing w:val="-3"/>
                <w:sz w:val="18"/>
                <w:szCs w:val="18"/>
              </w:rPr>
              <w:t>5</w:t>
            </w:r>
            <w:r>
              <w:rPr>
                <w:rFonts w:ascii="宋体" w:hAnsi="宋体" w:cs="宋体" w:eastAsia="宋体" w:hint="default"/>
                <w:spacing w:val="-3"/>
                <w:sz w:val="18"/>
                <w:szCs w:val="18"/>
              </w:rPr>
              <w:t>）截至本函出具</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毛为国、门崇</w:t>
            </w: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之日，本人及本人关系密切的近亲属（包括配偶、父母及</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喜、李强、徐</w:t>
            </w: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5"/>
                <w:sz w:val="18"/>
                <w:szCs w:val="18"/>
              </w:rPr>
              <w:t>配偶的父母、兄弟姐妹及其配偶、年满</w:t>
            </w:r>
            <w:r>
              <w:rPr>
                <w:rFonts w:ascii="宋体" w:hAnsi="宋体" w:cs="宋体" w:eastAsia="宋体" w:hint="default"/>
                <w:spacing w:val="-41"/>
                <w:sz w:val="18"/>
                <w:szCs w:val="18"/>
              </w:rPr>
              <w:t> </w:t>
            </w:r>
            <w:r>
              <w:rPr>
                <w:rFonts w:ascii="宋体" w:hAnsi="宋体" w:cs="宋体" w:eastAsia="宋体" w:hint="default"/>
                <w:sz w:val="18"/>
                <w:szCs w:val="18"/>
              </w:rPr>
              <w:t>18</w:t>
            </w:r>
            <w:r>
              <w:rPr>
                <w:rFonts w:ascii="宋体" w:hAnsi="宋体" w:cs="宋体" w:eastAsia="宋体" w:hint="default"/>
                <w:spacing w:val="-41"/>
                <w:sz w:val="18"/>
                <w:szCs w:val="18"/>
              </w:rPr>
              <w:t> </w:t>
            </w:r>
            <w:r>
              <w:rPr>
                <w:rFonts w:ascii="宋体" w:hAnsi="宋体" w:cs="宋体" w:eastAsia="宋体" w:hint="default"/>
                <w:sz w:val="18"/>
                <w:szCs w:val="18"/>
              </w:rPr>
              <w:t>周岁的子女及其</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光涛、文涛、</w:t>
            </w: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配偶、配偶的兄弟姐妹和子女配偶的父母）不存在占用索</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17"/>
              <w:jc w:val="left"/>
              <w:rPr>
                <w:rFonts w:ascii="宋体" w:hAnsi="宋体" w:cs="宋体" w:eastAsia="宋体" w:hint="default"/>
                <w:sz w:val="18"/>
                <w:szCs w:val="18"/>
              </w:rPr>
            </w:pPr>
            <w:r>
              <w:rPr>
                <w:rFonts w:ascii="宋体" w:hAnsi="宋体" w:cs="宋体" w:eastAsia="宋体" w:hint="default"/>
                <w:spacing w:val="31"/>
                <w:sz w:val="18"/>
                <w:szCs w:val="18"/>
              </w:rPr>
              <w:t>罗丹、彭娥</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瑞电气资金的情形。本人承诺本人及本人关系密切的近亲</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昌、张红、陈</w:t>
            </w: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属未来不会以任何方式向索瑞电气借款或占用索瑞电气的</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3"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世勇</w:t>
            </w: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6</w:t>
            </w:r>
            <w:r>
              <w:rPr>
                <w:rFonts w:ascii="宋体" w:hAnsi="宋体" w:cs="宋体" w:eastAsia="宋体" w:hint="default"/>
                <w:sz w:val="18"/>
                <w:szCs w:val="18"/>
              </w:rPr>
              <w:t>）在本次交易完成后，本人将按照《公司法》</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1"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《证券法》和其他有关法律法规对上市公司的要求，合法</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合规地行使股东权利并履行相应的义务，采取切实有效措</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施保证光一科技及其子公司在业务、资产、人员、机构和</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财务等方面的独立和完整，同时确保光一科技在采购、生</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产、销售、知识产权等方面保持独立，使光一科技具有完</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全和完整的独立经营能力。（</w:t>
            </w:r>
            <w:r>
              <w:rPr>
                <w:rFonts w:ascii="宋体" w:hAnsi="宋体" w:cs="宋体" w:eastAsia="宋体" w:hint="default"/>
                <w:spacing w:val="-3"/>
                <w:sz w:val="18"/>
                <w:szCs w:val="18"/>
              </w:rPr>
              <w:t>7</w:t>
            </w:r>
            <w:r>
              <w:rPr>
                <w:rFonts w:ascii="宋体" w:hAnsi="宋体" w:cs="宋体" w:eastAsia="宋体" w:hint="default"/>
                <w:spacing w:val="-3"/>
                <w:sz w:val="18"/>
                <w:szCs w:val="18"/>
              </w:rPr>
              <w:t>）本人保证为本次交易所提</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供信息的真实、准确和完整，不存在虚假记载、误导性陈</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述或者重大遗漏，并对所提供信息的真实性、准确性和完</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整性承担个别和连带的法律责任。（</w:t>
            </w:r>
            <w:r>
              <w:rPr>
                <w:rFonts w:ascii="宋体" w:hAnsi="宋体" w:cs="宋体" w:eastAsia="宋体" w:hint="default"/>
                <w:spacing w:val="-3"/>
                <w:sz w:val="18"/>
                <w:szCs w:val="18"/>
              </w:rPr>
              <w:t>8</w:t>
            </w:r>
            <w:r>
              <w:rPr>
                <w:rFonts w:ascii="宋体" w:hAnsi="宋体" w:cs="宋体" w:eastAsia="宋体" w:hint="default"/>
                <w:spacing w:val="-3"/>
                <w:sz w:val="18"/>
                <w:szCs w:val="18"/>
              </w:rPr>
              <w:t>）本承诺函自出具之</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日起具有法律效力，构成对本人具有法律约束力的法律文</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3"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件，本人保证本承诺函的内容没有任何虚假记载、误导性</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58"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868" w:type="dxa"/>
            <w:vMerge/>
            <w:tcBorders>
              <w:left w:val="single" w:sz="6" w:space="0" w:color="000000"/>
              <w:bottom w:val="single" w:sz="6" w:space="0" w:color="000000"/>
              <w:right w:val="single" w:sz="6" w:space="0" w:color="000000"/>
            </w:tcBorders>
          </w:tcPr>
          <w:p>
            <w:pPr/>
          </w:p>
        </w:tc>
        <w:tc>
          <w:tcPr>
            <w:tcW w:w="457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陈述或重大遗漏。</w:t>
            </w:r>
          </w:p>
        </w:tc>
        <w:tc>
          <w:tcPr>
            <w:tcW w:w="851" w:type="dxa"/>
            <w:tcBorders>
              <w:top w:val="nil" w:sz="6" w:space="0" w:color="auto"/>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777" w:type="dxa"/>
            <w:vMerge/>
            <w:tcBorders>
              <w:left w:val="single" w:sz="6" w:space="0" w:color="000000"/>
              <w:bottom w:val="single" w:sz="6" w:space="0" w:color="000000"/>
              <w:right w:val="single" w:sz="12" w:space="0" w:color="000000"/>
            </w:tcBorders>
          </w:tcPr>
          <w:p>
            <w:pPr/>
          </w:p>
        </w:tc>
      </w:tr>
      <w:tr>
        <w:trPr>
          <w:trHeight w:val="361" w:hRule="exact"/>
        </w:trPr>
        <w:tc>
          <w:tcPr>
            <w:tcW w:w="1703" w:type="dxa"/>
            <w:vMerge/>
            <w:tcBorders>
              <w:left w:val="single" w:sz="12" w:space="0" w:color="000000"/>
              <w:right w:val="single" w:sz="6" w:space="0" w:color="000000"/>
            </w:tcBorders>
            <w:shd w:val="clear" w:color="auto" w:fill="D2D2D2"/>
          </w:tcPr>
          <w:p>
            <w:pPr/>
          </w:p>
        </w:tc>
        <w:tc>
          <w:tcPr>
            <w:tcW w:w="111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0" w:right="-17"/>
              <w:jc w:val="left"/>
              <w:rPr>
                <w:rFonts w:ascii="宋体" w:hAnsi="宋体" w:cs="宋体" w:eastAsia="宋体" w:hint="default"/>
                <w:sz w:val="18"/>
                <w:szCs w:val="18"/>
              </w:rPr>
            </w:pPr>
            <w:r>
              <w:rPr>
                <w:rFonts w:ascii="宋体" w:hAnsi="宋体" w:cs="宋体" w:eastAsia="宋体" w:hint="default"/>
                <w:spacing w:val="31"/>
                <w:sz w:val="18"/>
                <w:szCs w:val="18"/>
              </w:rPr>
              <w:t>湖北乾瀚投</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single" w:sz="6" w:space="0" w:color="000000"/>
              <w:left w:val="single" w:sz="6" w:space="0" w:color="000000"/>
              <w:bottom w:val="nil" w:sz="6" w:space="0" w:color="auto"/>
              <w:right w:val="single" w:sz="6" w:space="0" w:color="000000"/>
            </w:tcBorders>
          </w:tcPr>
          <w:p>
            <w:pPr/>
          </w:p>
        </w:tc>
        <w:tc>
          <w:tcPr>
            <w:tcW w:w="457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pacing w:val="-3"/>
                <w:sz w:val="18"/>
                <w:szCs w:val="18"/>
              </w:rPr>
              <w:t>关于重大资产重组事项的承诺：（</w:t>
            </w:r>
            <w:r>
              <w:rPr>
                <w:rFonts w:ascii="宋体" w:hAnsi="宋体" w:cs="宋体" w:eastAsia="宋体" w:hint="default"/>
                <w:spacing w:val="-3"/>
                <w:sz w:val="18"/>
                <w:szCs w:val="18"/>
              </w:rPr>
              <w:t>1</w:t>
            </w:r>
            <w:r>
              <w:rPr>
                <w:rFonts w:ascii="宋体" w:hAnsi="宋体" w:cs="宋体" w:eastAsia="宋体" w:hint="default"/>
                <w:spacing w:val="-3"/>
                <w:sz w:val="18"/>
                <w:szCs w:val="18"/>
              </w:rPr>
              <w:t>）本公司是依法成立且</w:t>
            </w:r>
          </w:p>
        </w:tc>
        <w:tc>
          <w:tcPr>
            <w:tcW w:w="851"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777"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合法存续的有限公司。（</w:t>
            </w:r>
            <w:r>
              <w:rPr>
                <w:rFonts w:ascii="宋体" w:hAnsi="宋体" w:cs="宋体" w:eastAsia="宋体" w:hint="default"/>
                <w:spacing w:val="-3"/>
                <w:sz w:val="18"/>
                <w:szCs w:val="18"/>
              </w:rPr>
              <w:t>2</w:t>
            </w:r>
            <w:r>
              <w:rPr>
                <w:rFonts w:ascii="宋体" w:hAnsi="宋体" w:cs="宋体" w:eastAsia="宋体" w:hint="default"/>
                <w:spacing w:val="-3"/>
                <w:sz w:val="18"/>
                <w:szCs w:val="18"/>
              </w:rPr>
              <w:t>）本公司已依法对索瑞电气履行</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17"/>
              <w:jc w:val="left"/>
              <w:rPr>
                <w:rFonts w:ascii="宋体" w:hAnsi="宋体" w:cs="宋体" w:eastAsia="宋体" w:hint="default"/>
                <w:sz w:val="18"/>
                <w:szCs w:val="18"/>
              </w:rPr>
            </w:pPr>
            <w:r>
              <w:rPr>
                <w:rFonts w:ascii="宋体" w:hAnsi="宋体" w:cs="宋体" w:eastAsia="宋体" w:hint="default"/>
                <w:spacing w:val="31"/>
                <w:sz w:val="18"/>
                <w:szCs w:val="18"/>
              </w:rPr>
              <w:t>公安县鑫旺</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了出资义务，不存在任何虚假出资、延期出资、抽逃出资</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17"/>
              <w:jc w:val="left"/>
              <w:rPr>
                <w:rFonts w:ascii="宋体" w:hAnsi="宋体" w:cs="宋体" w:eastAsia="宋体" w:hint="default"/>
                <w:sz w:val="18"/>
                <w:szCs w:val="18"/>
              </w:rPr>
            </w:pPr>
            <w:r>
              <w:rPr>
                <w:rFonts w:ascii="宋体" w:hAnsi="宋体" w:cs="宋体" w:eastAsia="宋体" w:hint="default"/>
                <w:spacing w:val="31"/>
                <w:sz w:val="18"/>
                <w:szCs w:val="18"/>
              </w:rPr>
              <w:t>投资有限公</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等违反本公司作为索瑞电气股东所应当承担的义务及责任</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司、深圳市创</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的行为。（</w:t>
            </w:r>
            <w:r>
              <w:rPr>
                <w:rFonts w:ascii="宋体" w:hAnsi="宋体" w:cs="宋体" w:eastAsia="宋体" w:hint="default"/>
                <w:spacing w:val="-3"/>
                <w:sz w:val="18"/>
                <w:szCs w:val="18"/>
              </w:rPr>
              <w:t>3</w:t>
            </w:r>
            <w:r>
              <w:rPr>
                <w:rFonts w:ascii="宋体" w:hAnsi="宋体" w:cs="宋体" w:eastAsia="宋体" w:hint="default"/>
                <w:spacing w:val="-3"/>
                <w:sz w:val="18"/>
                <w:szCs w:val="18"/>
              </w:rPr>
              <w:t>）本公司保证不存在以委托持股、信托持股或</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17"/>
              <w:jc w:val="left"/>
              <w:rPr>
                <w:rFonts w:ascii="宋体" w:hAnsi="宋体" w:cs="宋体" w:eastAsia="宋体" w:hint="default"/>
                <w:sz w:val="18"/>
                <w:szCs w:val="18"/>
              </w:rPr>
            </w:pPr>
            <w:r>
              <w:rPr>
                <w:rFonts w:ascii="宋体" w:hAnsi="宋体" w:cs="宋体" w:eastAsia="宋体" w:hint="default"/>
                <w:spacing w:val="31"/>
                <w:sz w:val="18"/>
                <w:szCs w:val="18"/>
              </w:rPr>
              <w:t>新投资集团</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其他类似的方式为他人代持索瑞电气股权或由他人代本公</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936"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17"/>
              <w:jc w:val="both"/>
              <w:rPr>
                <w:rFonts w:ascii="宋体" w:hAnsi="宋体" w:cs="宋体" w:eastAsia="宋体" w:hint="default"/>
                <w:sz w:val="18"/>
                <w:szCs w:val="18"/>
              </w:rPr>
            </w:pPr>
            <w:r>
              <w:rPr>
                <w:rFonts w:ascii="宋体" w:hAnsi="宋体" w:cs="宋体" w:eastAsia="宋体" w:hint="default"/>
                <w:spacing w:val="-4"/>
                <w:sz w:val="18"/>
                <w:szCs w:val="18"/>
              </w:rPr>
              <w:t>有限公司、北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京红土鑫洲</w:t>
            </w:r>
            <w:r>
              <w:rPr>
                <w:rFonts w:ascii="宋体" w:hAnsi="宋体" w:cs="宋体" w:eastAsia="宋体" w:hint="default"/>
                <w:spacing w:val="-51"/>
                <w:sz w:val="18"/>
                <w:szCs w:val="18"/>
              </w:rPr>
              <w:t> </w:t>
            </w:r>
            <w:r>
              <w:rPr>
                <w:rFonts w:ascii="宋体" w:hAnsi="宋体" w:cs="宋体" w:eastAsia="宋体" w:hint="default"/>
                <w:spacing w:val="31"/>
                <w:sz w:val="18"/>
                <w:szCs w:val="18"/>
              </w:rPr>
              <w:t>创业投资中</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1" w:right="18"/>
              <w:jc w:val="both"/>
              <w:rPr>
                <w:rFonts w:ascii="宋体" w:hAnsi="宋体" w:cs="宋体" w:eastAsia="宋体" w:hint="default"/>
                <w:sz w:val="18"/>
                <w:szCs w:val="18"/>
              </w:rPr>
            </w:pPr>
            <w:r>
              <w:rPr>
                <w:rFonts w:ascii="宋体" w:hAnsi="宋体" w:cs="宋体" w:eastAsia="宋体" w:hint="default"/>
                <w:sz w:val="18"/>
                <w:szCs w:val="18"/>
              </w:rPr>
              <w:t>司代持索瑞电气股权的情形。本公司保证合法持有且有权</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转让索瑞电气股权，本公司所持索瑞电气股权不存在任何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质押、查封、冻结或其他任何限制转让的情形。（</w:t>
            </w:r>
            <w:r>
              <w:rPr>
                <w:rFonts w:ascii="宋体" w:hAnsi="宋体" w:cs="宋体" w:eastAsia="宋体" w:hint="default"/>
                <w:spacing w:val="-3"/>
                <w:sz w:val="18"/>
                <w:szCs w:val="18"/>
              </w:rPr>
              <w:t>4</w:t>
            </w:r>
            <w:r>
              <w:rPr>
                <w:rFonts w:ascii="宋体" w:hAnsi="宋体" w:cs="宋体" w:eastAsia="宋体" w:hint="default"/>
                <w:spacing w:val="-3"/>
                <w:sz w:val="18"/>
                <w:szCs w:val="18"/>
              </w:rPr>
              <w:t>）本次</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47"/>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7" w:type="dxa"/>
            <w:tcBorders>
              <w:top w:val="nil" w:sz="6" w:space="0" w:color="auto"/>
              <w:left w:val="single" w:sz="6" w:space="0" w:color="000000"/>
              <w:bottom w:val="nil" w:sz="6" w:space="0" w:color="auto"/>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17"/>
              <w:jc w:val="left"/>
              <w:rPr>
                <w:rFonts w:ascii="宋体" w:hAnsi="宋体" w:cs="宋体" w:eastAsia="宋体" w:hint="default"/>
                <w:sz w:val="18"/>
                <w:szCs w:val="18"/>
              </w:rPr>
            </w:pPr>
            <w:r>
              <w:rPr>
                <w:rFonts w:ascii="宋体" w:hAnsi="宋体" w:cs="宋体" w:eastAsia="宋体" w:hint="default"/>
                <w:spacing w:val="31"/>
                <w:sz w:val="18"/>
                <w:szCs w:val="18"/>
              </w:rPr>
              <w:t>心（有限合</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交易的标的资产权属清晰，不存在任何争议或潜在纠纷，</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伙）、南昌红</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不存在质押、查封、冻结或任何其他限制或禁止该等股权</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17"/>
              <w:jc w:val="left"/>
              <w:rPr>
                <w:rFonts w:ascii="宋体" w:hAnsi="宋体" w:cs="宋体" w:eastAsia="宋体" w:hint="default"/>
                <w:sz w:val="18"/>
                <w:szCs w:val="18"/>
              </w:rPr>
            </w:pPr>
            <w:r>
              <w:rPr>
                <w:rFonts w:ascii="宋体" w:hAnsi="宋体" w:cs="宋体" w:eastAsia="宋体" w:hint="default"/>
                <w:spacing w:val="31"/>
                <w:sz w:val="18"/>
                <w:szCs w:val="18"/>
              </w:rPr>
              <w:t>土创新资本</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转让的情形，标的资产过户或转移不存在法律障碍。（</w:t>
            </w:r>
            <w:r>
              <w:rPr>
                <w:rFonts w:ascii="宋体" w:hAnsi="宋体" w:cs="宋体" w:eastAsia="宋体" w:hint="default"/>
                <w:sz w:val="18"/>
                <w:szCs w:val="18"/>
              </w:rPr>
              <w:t>5</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29"/>
                <w:sz w:val="18"/>
                <w:szCs w:val="18"/>
              </w:rPr>
              <w:t>创业投资</w:t>
            </w:r>
            <w:r>
              <w:rPr>
                <w:rFonts w:ascii="宋体" w:hAnsi="宋体" w:cs="宋体" w:eastAsia="宋体" w:hint="default"/>
                <w:spacing w:val="-51"/>
                <w:sz w:val="18"/>
                <w:szCs w:val="18"/>
              </w:rPr>
              <w:t> </w:t>
            </w:r>
            <w:r>
              <w:rPr>
                <w:rFonts w:ascii="宋体" w:hAnsi="宋体" w:cs="宋体" w:eastAsia="宋体" w:hint="default"/>
                <w:sz w:val="18"/>
                <w:szCs w:val="18"/>
              </w:rPr>
              <w:t>有</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截至本函出具之日，本公司及本公司的董事、监事及高级</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限公司、湖北</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管理人员不存在占用索瑞电气资金的情形。本公司承诺本</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27" w:hRule="exact"/>
        </w:trPr>
        <w:tc>
          <w:tcPr>
            <w:tcW w:w="1703" w:type="dxa"/>
            <w:vMerge/>
            <w:tcBorders>
              <w:left w:val="single" w:sz="12" w:space="0" w:color="000000"/>
              <w:bottom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0" w:right="-17"/>
              <w:jc w:val="left"/>
              <w:rPr>
                <w:rFonts w:ascii="宋体" w:hAnsi="宋体" w:cs="宋体" w:eastAsia="宋体" w:hint="default"/>
                <w:sz w:val="18"/>
                <w:szCs w:val="18"/>
              </w:rPr>
            </w:pPr>
            <w:r>
              <w:rPr>
                <w:rFonts w:ascii="宋体" w:hAnsi="宋体" w:cs="宋体" w:eastAsia="宋体" w:hint="default"/>
                <w:spacing w:val="31"/>
                <w:sz w:val="18"/>
                <w:szCs w:val="18"/>
              </w:rPr>
              <w:t>红土创业投</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nil" w:sz="6" w:space="0" w:color="auto"/>
              <w:left w:val="single" w:sz="6" w:space="0" w:color="000000"/>
              <w:bottom w:val="single" w:sz="12" w:space="0" w:color="000000"/>
              <w:right w:val="single" w:sz="6" w:space="0" w:color="000000"/>
            </w:tcBorders>
          </w:tcPr>
          <w:p>
            <w:pPr/>
          </w:p>
        </w:tc>
        <w:tc>
          <w:tcPr>
            <w:tcW w:w="457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公司及本公司的董事、监事及高级管理人员未来不会以任</w:t>
            </w:r>
          </w:p>
        </w:tc>
        <w:tc>
          <w:tcPr>
            <w:tcW w:w="851" w:type="dxa"/>
            <w:tcBorders>
              <w:top w:val="nil" w:sz="6" w:space="0" w:color="auto"/>
              <w:left w:val="single" w:sz="6" w:space="0" w:color="000000"/>
              <w:bottom w:val="single" w:sz="12" w:space="0" w:color="000000"/>
              <w:right w:val="single" w:sz="6" w:space="0" w:color="000000"/>
            </w:tcBorders>
          </w:tcPr>
          <w:p>
            <w:pPr/>
          </w:p>
        </w:tc>
        <w:tc>
          <w:tcPr>
            <w:tcW w:w="851" w:type="dxa"/>
            <w:tcBorders>
              <w:top w:val="nil" w:sz="6" w:space="0" w:color="auto"/>
              <w:left w:val="single" w:sz="6" w:space="0" w:color="000000"/>
              <w:bottom w:val="single" w:sz="12" w:space="0" w:color="000000"/>
              <w:right w:val="single" w:sz="6" w:space="0" w:color="000000"/>
            </w:tcBorders>
          </w:tcPr>
          <w:p>
            <w:pPr/>
          </w:p>
        </w:tc>
        <w:tc>
          <w:tcPr>
            <w:tcW w:w="777"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442.5pt;margin-top:462.459991pt;width:41.85pt;height:156.8pt;mso-position-horizontal-relative:page;mso-position-vertical-relative:page;z-index:-917824" coordorigin="8850,9249" coordsize="837,3136">
            <v:group style="position:absolute;left:8850;top:9249;width:837;height:2652" coordorigin="8850,9249" coordsize="837,2652">
              <v:shape style="position:absolute;left:8850;top:9249;width:837;height:2652" coordorigin="8850,9249" coordsize="837,2652" path="m8850,11901l9686,11901,9686,9249,8850,9249,8850,11901xe" filled="true" fillcolor="#ffffff" stroked="false">
                <v:path arrowok="t"/>
                <v:fill type="solid"/>
              </v:shape>
            </v:group>
            <v:group style="position:absolute;left:8850;top:11917;width:837;height:468" coordorigin="8850,11917" coordsize="837,468">
              <v:shape style="position:absolute;left:8850;top:11917;width:837;height:468" coordorigin="8850,11917" coordsize="837,468" path="m8850,12385l9686,12385,9686,11917,8850,11917,8850,12385xe" filled="true" fillcolor="#ffffff" stroked="false">
                <v:path arrowok="t"/>
                <v:fill type="solid"/>
              </v:shape>
            </v:group>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568" w:type="dxa"/>
        <w:tblLayout w:type="fixed"/>
        <w:tblCellMar>
          <w:top w:w="0" w:type="dxa"/>
          <w:left w:w="0" w:type="dxa"/>
          <w:bottom w:w="0" w:type="dxa"/>
          <w:right w:w="0" w:type="dxa"/>
        </w:tblCellMar>
        <w:tblLook w:val="01E0"/>
      </w:tblPr>
      <w:tblGrid>
        <w:gridCol w:w="1703"/>
        <w:gridCol w:w="1116"/>
        <w:gridCol w:w="868"/>
        <w:gridCol w:w="4573"/>
        <w:gridCol w:w="851"/>
        <w:gridCol w:w="851"/>
        <w:gridCol w:w="785"/>
      </w:tblGrid>
      <w:tr>
        <w:trPr>
          <w:trHeight w:val="4430" w:hRule="exact"/>
        </w:trPr>
        <w:tc>
          <w:tcPr>
            <w:tcW w:w="1703" w:type="dxa"/>
            <w:vMerge w:val="restart"/>
            <w:tcBorders>
              <w:top w:val="single" w:sz="12" w:space="0" w:color="000000"/>
              <w:left w:val="single" w:sz="12" w:space="0" w:color="000000"/>
              <w:right w:val="single" w:sz="6" w:space="0" w:color="000000"/>
            </w:tcBorders>
            <w:shd w:val="clear" w:color="auto" w:fill="D2D2D2"/>
          </w:tcPr>
          <w:p>
            <w:pPr/>
          </w:p>
        </w:tc>
        <w:tc>
          <w:tcPr>
            <w:tcW w:w="11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868" w:type="dxa"/>
            <w:tcBorders>
              <w:top w:val="single" w:sz="12" w:space="0" w:color="000000"/>
              <w:left w:val="single" w:sz="6" w:space="0" w:color="000000"/>
              <w:bottom w:val="single" w:sz="6" w:space="0" w:color="000000"/>
              <w:right w:val="single" w:sz="6" w:space="0" w:color="000000"/>
            </w:tcBorders>
          </w:tcPr>
          <w:p>
            <w:pPr/>
          </w:p>
        </w:tc>
        <w:tc>
          <w:tcPr>
            <w:tcW w:w="4573" w:type="dxa"/>
            <w:tcBorders>
              <w:top w:val="single" w:sz="12" w:space="0" w:color="000000"/>
              <w:left w:val="single" w:sz="6" w:space="0" w:color="000000"/>
              <w:bottom w:val="single" w:sz="6" w:space="0" w:color="000000"/>
              <w:right w:val="single" w:sz="6" w:space="0" w:color="000000"/>
            </w:tcBorders>
          </w:tcPr>
          <w:p>
            <w:pPr>
              <w:pStyle w:val="TableParagraph"/>
              <w:spacing w:line="319" w:lineRule="auto" w:before="10"/>
              <w:ind w:left="21" w:right="18"/>
              <w:jc w:val="both"/>
              <w:rPr>
                <w:rFonts w:ascii="宋体" w:hAnsi="宋体" w:cs="宋体" w:eastAsia="宋体" w:hint="default"/>
                <w:sz w:val="18"/>
                <w:szCs w:val="18"/>
              </w:rPr>
            </w:pPr>
            <w:r>
              <w:rPr>
                <w:rFonts w:ascii="宋体" w:hAnsi="宋体" w:cs="宋体" w:eastAsia="宋体" w:hint="default"/>
                <w:spacing w:val="-3"/>
                <w:sz w:val="18"/>
                <w:szCs w:val="18"/>
              </w:rPr>
              <w:t>何方式向索瑞电气借款或占用索瑞电气的资金。（</w:t>
            </w:r>
            <w:r>
              <w:rPr>
                <w:rFonts w:ascii="宋体" w:hAnsi="宋体" w:cs="宋体" w:eastAsia="宋体" w:hint="default"/>
                <w:spacing w:val="-3"/>
                <w:sz w:val="18"/>
                <w:szCs w:val="18"/>
              </w:rPr>
              <w:t>6</w:t>
            </w:r>
            <w:r>
              <w:rPr>
                <w:rFonts w:ascii="宋体" w:hAnsi="宋体" w:cs="宋体" w:eastAsia="宋体" w:hint="default"/>
                <w:spacing w:val="-3"/>
                <w:sz w:val="18"/>
                <w:szCs w:val="18"/>
              </w:rPr>
              <w:t>）在本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次交易完成后，本公司将按照《公司法》、《证券法》和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其他有关法律法规对上市公司的要求，合法合规地行使股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东权利并履行相应的义务，采取切实有效措施保证光一科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技及其子公司在业务、资产、人员、机构和财务等方面的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独立和完整，同时确保光一科技在采购、生产、销售、知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识产权等方面保持独立，使光一科技具有完全和完整的独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立经营能力。（</w:t>
            </w:r>
            <w:r>
              <w:rPr>
                <w:rFonts w:ascii="宋体" w:hAnsi="宋体" w:cs="宋体" w:eastAsia="宋体" w:hint="default"/>
                <w:spacing w:val="-3"/>
                <w:sz w:val="18"/>
                <w:szCs w:val="18"/>
              </w:rPr>
              <w:t>7</w:t>
            </w:r>
            <w:r>
              <w:rPr>
                <w:rFonts w:ascii="宋体" w:hAnsi="宋体" w:cs="宋体" w:eastAsia="宋体" w:hint="default"/>
                <w:spacing w:val="-3"/>
                <w:sz w:val="18"/>
                <w:szCs w:val="18"/>
              </w:rPr>
              <w:t>）本公司保证为本次交易所提供信息的真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实、准确和完整，不存在虚假记载、误导性陈述或者重大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遗漏，并对所提供信息的真实性、准确性和完整性承担个</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别和连带的法律责任。（</w:t>
            </w:r>
            <w:r>
              <w:rPr>
                <w:rFonts w:ascii="宋体" w:hAnsi="宋体" w:cs="宋体" w:eastAsia="宋体" w:hint="default"/>
                <w:spacing w:val="-3"/>
                <w:sz w:val="18"/>
                <w:szCs w:val="18"/>
              </w:rPr>
              <w:t>8</w:t>
            </w:r>
            <w:r>
              <w:rPr>
                <w:rFonts w:ascii="宋体" w:hAnsi="宋体" w:cs="宋体" w:eastAsia="宋体" w:hint="default"/>
                <w:spacing w:val="-3"/>
                <w:sz w:val="18"/>
                <w:szCs w:val="18"/>
              </w:rPr>
              <w:t>）本承诺函自出具之日起具有法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律效力，构成对本公司具有法律约束力的法律文件，本公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司保证本承诺函的内容没有任何虚假记载、误导性陈述或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重大遗漏。</w:t>
            </w:r>
          </w:p>
        </w:tc>
        <w:tc>
          <w:tcPr>
            <w:tcW w:w="851" w:type="dxa"/>
            <w:tcBorders>
              <w:top w:val="single" w:sz="12" w:space="0" w:color="000000"/>
              <w:left w:val="single" w:sz="6" w:space="0" w:color="000000"/>
              <w:bottom w:val="single" w:sz="6" w:space="0" w:color="000000"/>
              <w:right w:val="single" w:sz="6" w:space="0" w:color="000000"/>
            </w:tcBorders>
          </w:tcPr>
          <w:p>
            <w:pPr/>
          </w:p>
        </w:tc>
        <w:tc>
          <w:tcPr>
            <w:tcW w:w="851" w:type="dxa"/>
            <w:tcBorders>
              <w:top w:val="single" w:sz="12" w:space="0" w:color="000000"/>
              <w:left w:val="single" w:sz="6" w:space="0" w:color="000000"/>
              <w:bottom w:val="single" w:sz="6" w:space="0" w:color="000000"/>
              <w:right w:val="single" w:sz="6" w:space="0" w:color="000000"/>
            </w:tcBorders>
          </w:tcPr>
          <w:p>
            <w:pPr/>
          </w:p>
        </w:tc>
        <w:tc>
          <w:tcPr>
            <w:tcW w:w="785" w:type="dxa"/>
            <w:tcBorders>
              <w:top w:val="single" w:sz="12" w:space="0" w:color="000000"/>
              <w:left w:val="single" w:sz="6" w:space="0" w:color="000000"/>
              <w:bottom w:val="single" w:sz="6" w:space="0" w:color="000000"/>
              <w:right w:val="single" w:sz="12" w:space="0" w:color="000000"/>
            </w:tcBorders>
          </w:tcPr>
          <w:p>
            <w:pPr/>
          </w:p>
        </w:tc>
      </w:tr>
      <w:tr>
        <w:trPr>
          <w:trHeight w:val="6023" w:hRule="exact"/>
        </w:trPr>
        <w:tc>
          <w:tcPr>
            <w:tcW w:w="1703" w:type="dxa"/>
            <w:vMerge/>
            <w:tcBorders>
              <w:left w:val="single" w:sz="12" w:space="0" w:color="000000"/>
              <w:right w:val="single" w:sz="6" w:space="0" w:color="000000"/>
            </w:tcBorders>
            <w:shd w:val="clear" w:color="auto" w:fill="D2D2D2"/>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任昌兆</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20"/>
              <w:jc w:val="left"/>
              <w:rPr>
                <w:rFonts w:ascii="宋体" w:hAnsi="宋体" w:cs="宋体" w:eastAsia="宋体" w:hint="default"/>
                <w:sz w:val="18"/>
                <w:szCs w:val="18"/>
              </w:rPr>
            </w:pPr>
            <w:r>
              <w:rPr>
                <w:rFonts w:ascii="宋体" w:hAnsi="宋体" w:cs="宋体" w:eastAsia="宋体" w:hint="default"/>
                <w:sz w:val="18"/>
                <w:szCs w:val="18"/>
              </w:rPr>
              <w:t>关于湖北索瑞电气有限公司租赁使用房屋及厂房有关补偿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安排的承诺及保证函：本人（任昌兆）为湖北索瑞电气有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限公司（以下简称“索瑞电气”）的实际控制人，索瑞电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气及子公司、办事处因生产经营需要，租赁使用了部分房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屋及厂房，因部分租赁房屋尚未取得房屋所有权证书，且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所有租赁的房屋均未在当地房屋管理部门办理房屋登记备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案手续，存在生产经营不稳定的风险。对于索瑞电气租赁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使用该等房屋及厂房因国家法律、法规规定，以及地方政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府规划导致该等房屋及厂房占用土地被征用、该等厂房被</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拆除以及出租方提前解除租赁合同等原因影响索瑞电气正</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常生产经营的，本人不可撤销地承诺及保证如下：（</w:t>
            </w:r>
            <w:r>
              <w:rPr>
                <w:rFonts w:ascii="宋体" w:hAnsi="宋体" w:cs="宋体" w:eastAsia="宋体" w:hint="default"/>
                <w:spacing w:val="-4"/>
                <w:sz w:val="18"/>
                <w:szCs w:val="18"/>
              </w:rPr>
              <w:t>1</w:t>
            </w:r>
            <w:r>
              <w:rPr>
                <w:rFonts w:ascii="宋体" w:hAnsi="宋体" w:cs="宋体" w:eastAsia="宋体" w:hint="default"/>
                <w:spacing w:val="-4"/>
                <w:sz w:val="18"/>
                <w:szCs w:val="18"/>
              </w:rPr>
              <w:t>）无</w:t>
            </w:r>
            <w:r>
              <w:rPr>
                <w:rFonts w:ascii="宋体" w:hAnsi="宋体" w:cs="宋体" w:eastAsia="宋体" w:hint="default"/>
                <w:spacing w:val="-80"/>
                <w:sz w:val="18"/>
                <w:szCs w:val="18"/>
              </w:rPr>
              <w:t> </w:t>
            </w:r>
            <w:r>
              <w:rPr>
                <w:rFonts w:ascii="宋体" w:hAnsi="宋体" w:cs="宋体" w:eastAsia="宋体" w:hint="default"/>
                <w:sz w:val="18"/>
                <w:szCs w:val="18"/>
              </w:rPr>
              <w:t>论何种原因导致索瑞电气在租赁合同约定有效期内租赁使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用的房屋或厂房被拆除或出租方提前解除租赁合同，对于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索瑞电气搬迁支付的全部费用，以及因搬迁停产造成的损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失由本人全额补偿。（</w:t>
            </w:r>
            <w:r>
              <w:rPr>
                <w:rFonts w:ascii="宋体" w:hAnsi="宋体" w:cs="宋体" w:eastAsia="宋体" w:hint="default"/>
                <w:sz w:val="18"/>
                <w:szCs w:val="18"/>
              </w:rPr>
              <w:t>2</w:t>
            </w:r>
            <w:r>
              <w:rPr>
                <w:rFonts w:ascii="宋体" w:hAnsi="宋体" w:cs="宋体" w:eastAsia="宋体" w:hint="default"/>
                <w:sz w:val="18"/>
                <w:szCs w:val="18"/>
              </w:rPr>
              <w:t>）本函出具之日即发生法律效力 于任何时候均对本人具有不可撤销的法律约束力。如因本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人未履行本函所述承诺及保证义务的，索瑞电气及按照国</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家法律法规及索瑞电气章程享有诉讼代表权利的股东等均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有权依据本函依法提起诉讼。</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656" w:hRule="exact"/>
        </w:trPr>
        <w:tc>
          <w:tcPr>
            <w:tcW w:w="1703" w:type="dxa"/>
            <w:vMerge/>
            <w:tcBorders>
              <w:left w:val="single" w:sz="12" w:space="0" w:color="000000"/>
              <w:right w:val="single" w:sz="6" w:space="0" w:color="000000"/>
            </w:tcBorders>
            <w:shd w:val="clear" w:color="auto" w:fill="D2D2D2"/>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周军</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73" w:type="dxa"/>
            <w:tcBorders>
              <w:top w:val="single" w:sz="6" w:space="0" w:color="000000"/>
              <w:left w:val="single" w:sz="6" w:space="0" w:color="000000"/>
              <w:bottom w:val="single" w:sz="6" w:space="0" w:color="000000"/>
              <w:right w:val="single" w:sz="14" w:space="0" w:color="FFFFFF"/>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关于重大资产重组事项的承诺</w:t>
            </w:r>
            <w:r>
              <w:rPr>
                <w:rFonts w:ascii="宋体" w:hAnsi="宋体" w:cs="宋体" w:eastAsia="宋体" w:hint="default"/>
                <w:spacing w:val="-75"/>
                <w:sz w:val="18"/>
                <w:szCs w:val="18"/>
              </w:rPr>
              <w:t>：</w:t>
            </w:r>
            <w:r>
              <w:rPr>
                <w:rFonts w:ascii="宋体" w:hAnsi="宋体" w:cs="宋体" w:eastAsia="宋体" w:hint="default"/>
                <w:sz w:val="18"/>
                <w:szCs w:val="18"/>
              </w:rPr>
              <w:t>本人于</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1"/>
                <w:sz w:val="18"/>
                <w:szCs w:val="18"/>
              </w:rPr>
              <w:t>0</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月从湖北</w:t>
            </w:r>
          </w:p>
          <w:p>
            <w:pPr>
              <w:pStyle w:val="TableParagraph"/>
              <w:spacing w:line="319" w:lineRule="auto" w:before="75"/>
              <w:ind w:left="21" w:right="11"/>
              <w:jc w:val="left"/>
              <w:rPr>
                <w:rFonts w:ascii="宋体" w:hAnsi="宋体" w:cs="宋体" w:eastAsia="宋体" w:hint="default"/>
                <w:sz w:val="18"/>
                <w:szCs w:val="18"/>
              </w:rPr>
            </w:pPr>
            <w:r>
              <w:rPr>
                <w:rFonts w:ascii="宋体" w:hAnsi="宋体" w:cs="宋体" w:eastAsia="宋体" w:hint="default"/>
                <w:sz w:val="18"/>
                <w:szCs w:val="18"/>
              </w:rPr>
              <w:t>省公安电业有限责任公司处受让索瑞电气</w:t>
            </w:r>
            <w:r>
              <w:rPr>
                <w:rFonts w:ascii="宋体" w:hAnsi="宋体" w:cs="宋体" w:eastAsia="宋体" w:hint="default"/>
                <w:spacing w:val="-46"/>
                <w:sz w:val="18"/>
                <w:szCs w:val="18"/>
              </w:rPr>
              <w:t> </w:t>
            </w:r>
            <w:r>
              <w:rPr>
                <w:rFonts w:ascii="宋体" w:hAnsi="宋体" w:cs="宋体" w:eastAsia="宋体" w:hint="default"/>
                <w:sz w:val="18"/>
                <w:szCs w:val="18"/>
              </w:rPr>
              <w:t>80</w:t>
            </w:r>
            <w:r>
              <w:rPr>
                <w:rFonts w:ascii="宋体" w:hAnsi="宋体" w:cs="宋体" w:eastAsia="宋体" w:hint="default"/>
                <w:spacing w:val="-46"/>
                <w:sz w:val="18"/>
                <w:szCs w:val="18"/>
              </w:rPr>
              <w:t> </w:t>
            </w:r>
            <w:r>
              <w:rPr>
                <w:rFonts w:ascii="宋体" w:hAnsi="宋体" w:cs="宋体" w:eastAsia="宋体" w:hint="default"/>
                <w:sz w:val="18"/>
                <w:szCs w:val="18"/>
              </w:rPr>
              <w:t>万元出资额 若因上述股权与与湖北省公安电业有限责任公司之间出现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纠纷或争议从而给索瑞电气或者光一科技带来损失，本人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将全额承担相应的损失。</w:t>
            </w:r>
          </w:p>
        </w:tc>
        <w:tc>
          <w:tcPr>
            <w:tcW w:w="851" w:type="dxa"/>
            <w:tcBorders>
              <w:top w:val="single" w:sz="6" w:space="0" w:color="000000"/>
              <w:left w:val="single" w:sz="14" w:space="0" w:color="FFFFFF"/>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before="156"/>
              <w:ind w:left="-15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622" w:hRule="exact"/>
        </w:trPr>
        <w:tc>
          <w:tcPr>
            <w:tcW w:w="1703" w:type="dxa"/>
            <w:vMerge/>
            <w:tcBorders>
              <w:left w:val="single" w:sz="12" w:space="0" w:color="000000"/>
              <w:bottom w:val="single" w:sz="12" w:space="0" w:color="000000"/>
              <w:right w:val="single" w:sz="6" w:space="0" w:color="000000"/>
            </w:tcBorders>
            <w:shd w:val="clear" w:color="auto" w:fill="D2D2D2"/>
          </w:tcPr>
          <w:p>
            <w:pPr/>
          </w:p>
        </w:tc>
        <w:tc>
          <w:tcPr>
            <w:tcW w:w="11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任昌兆</w:t>
            </w:r>
          </w:p>
        </w:tc>
        <w:tc>
          <w:tcPr>
            <w:tcW w:w="8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7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1"/>
              <w:ind w:left="21" w:right="17"/>
              <w:jc w:val="both"/>
              <w:rPr>
                <w:rFonts w:ascii="宋体" w:hAnsi="宋体" w:cs="宋体" w:eastAsia="宋体" w:hint="default"/>
                <w:sz w:val="18"/>
                <w:szCs w:val="18"/>
              </w:rPr>
            </w:pPr>
            <w:r>
              <w:rPr>
                <w:rFonts w:ascii="宋体" w:hAnsi="宋体" w:cs="宋体" w:eastAsia="宋体" w:hint="default"/>
                <w:sz w:val="18"/>
                <w:szCs w:val="18"/>
              </w:rPr>
              <w:t>关于盈利承诺期内索瑞电气与陕西福星电网设备有限责任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公司交易价格公允性的承诺：（</w:t>
            </w:r>
            <w:r>
              <w:rPr>
                <w:rFonts w:ascii="宋体" w:hAnsi="宋体" w:cs="宋体" w:eastAsia="宋体" w:hint="default"/>
                <w:spacing w:val="-3"/>
                <w:sz w:val="18"/>
                <w:szCs w:val="18"/>
              </w:rPr>
              <w:t>1</w:t>
            </w:r>
            <w:r>
              <w:rPr>
                <w:rFonts w:ascii="宋体" w:hAnsi="宋体" w:cs="宋体" w:eastAsia="宋体" w:hint="default"/>
                <w:spacing w:val="-3"/>
                <w:sz w:val="18"/>
                <w:szCs w:val="18"/>
              </w:rPr>
              <w:t>）盈利承诺期内，索瑞电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气向陕西福星销售电能计量箱的毛利率与索瑞电气对陕西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福星以外的其他客户销售电能计量箱毛利率基本一致，毛</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利率绝对值相差不超过</w:t>
            </w:r>
            <w:r>
              <w:rPr>
                <w:rFonts w:ascii="宋体" w:hAnsi="宋体" w:cs="宋体" w:eastAsia="宋体" w:hint="default"/>
                <w:spacing w:val="15"/>
                <w:sz w:val="18"/>
                <w:szCs w:val="18"/>
              </w:rPr>
              <w:t>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）自本承诺作出之日起，</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04</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442.5pt;margin-top:169.87999pt;width:41.85pt;height:279.8pt;mso-position-horizontal-relative:page;mso-position-vertical-relative:page;z-index:-917800" coordorigin="8850,3398" coordsize="837,5596">
            <v:shape style="position:absolute;left:8850;top:3398;width:837;height:5596" coordorigin="8850,3398" coordsize="837,5596" path="m8850,8994l9686,8994,9686,3398,8850,3398,8850,8994xe" filled="true" fillcolor="#ffffff" stroked="false">
              <v:path arrowok="t"/>
              <v:fill type="solid"/>
            </v:shape>
            <w10:wrap type="none"/>
          </v:group>
        </w:pict>
      </w:r>
      <w:r>
        <w:rPr/>
        <w:pict>
          <v:group style="position:absolute;margin-left:442.5pt;margin-top:484.899994pt;width:41.85pt;height:279.8pt;mso-position-horizontal-relative:page;mso-position-vertical-relative:page;z-index:-917776" coordorigin="8850,9698" coordsize="837,5596">
            <v:shape style="position:absolute;left:8850;top:9698;width:837;height:5596" coordorigin="8850,9698" coordsize="837,5596" path="m8850,15294l9686,15294,9686,9698,8850,9698,8850,15294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568" w:type="dxa"/>
        <w:tblLayout w:type="fixed"/>
        <w:tblCellMar>
          <w:top w:w="0" w:type="dxa"/>
          <w:left w:w="0" w:type="dxa"/>
          <w:bottom w:w="0" w:type="dxa"/>
          <w:right w:w="0" w:type="dxa"/>
        </w:tblCellMar>
        <w:tblLook w:val="01E0"/>
      </w:tblPr>
      <w:tblGrid>
        <w:gridCol w:w="1703"/>
        <w:gridCol w:w="1116"/>
        <w:gridCol w:w="868"/>
        <w:gridCol w:w="4573"/>
        <w:gridCol w:w="851"/>
        <w:gridCol w:w="851"/>
        <w:gridCol w:w="777"/>
      </w:tblGrid>
      <w:tr>
        <w:trPr>
          <w:trHeight w:val="327" w:hRule="exact"/>
        </w:trPr>
        <w:tc>
          <w:tcPr>
            <w:tcW w:w="1703" w:type="dxa"/>
            <w:vMerge w:val="restart"/>
            <w:tcBorders>
              <w:top w:val="single" w:sz="12" w:space="0" w:color="000000"/>
              <w:left w:val="single" w:sz="12" w:space="0" w:color="000000"/>
              <w:right w:val="single" w:sz="6" w:space="0" w:color="000000"/>
            </w:tcBorders>
            <w:shd w:val="clear" w:color="auto" w:fill="D2D2D2"/>
          </w:tcPr>
          <w:p>
            <w:pPr/>
          </w:p>
        </w:tc>
        <w:tc>
          <w:tcPr>
            <w:tcW w:w="1116" w:type="dxa"/>
            <w:vMerge w:val="restart"/>
            <w:tcBorders>
              <w:top w:val="single" w:sz="12" w:space="0" w:color="000000"/>
              <w:left w:val="single" w:sz="6" w:space="0" w:color="000000"/>
              <w:right w:val="single" w:sz="6" w:space="0" w:color="000000"/>
            </w:tcBorders>
          </w:tcPr>
          <w:p>
            <w:pPr/>
          </w:p>
        </w:tc>
        <w:tc>
          <w:tcPr>
            <w:tcW w:w="868" w:type="dxa"/>
            <w:vMerge w:val="restart"/>
            <w:tcBorders>
              <w:top w:val="single" w:sz="12" w:space="0" w:color="000000"/>
              <w:left w:val="single" w:sz="6" w:space="0" w:color="000000"/>
              <w:right w:val="single" w:sz="6" w:space="0" w:color="000000"/>
            </w:tcBorders>
          </w:tcPr>
          <w:p>
            <w:pPr/>
          </w:p>
        </w:tc>
        <w:tc>
          <w:tcPr>
            <w:tcW w:w="457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盈利承诺期内，索瑞电气不再从陕西福星采购任何产品。</w:t>
            </w:r>
          </w:p>
        </w:tc>
        <w:tc>
          <w:tcPr>
            <w:tcW w:w="851" w:type="dxa"/>
            <w:vMerge w:val="restart"/>
            <w:tcBorders>
              <w:top w:val="single" w:sz="12" w:space="0" w:color="000000"/>
              <w:left w:val="single" w:sz="6" w:space="0" w:color="000000"/>
              <w:right w:val="single" w:sz="6" w:space="0" w:color="000000"/>
            </w:tcBorders>
          </w:tcPr>
          <w:p>
            <w:pPr/>
          </w:p>
        </w:tc>
        <w:tc>
          <w:tcPr>
            <w:tcW w:w="851" w:type="dxa"/>
            <w:vMerge w:val="restart"/>
            <w:tcBorders>
              <w:top w:val="single" w:sz="12" w:space="0" w:color="000000"/>
              <w:left w:val="single" w:sz="6" w:space="0" w:color="000000"/>
              <w:right w:val="single" w:sz="6" w:space="0" w:color="000000"/>
            </w:tcBorders>
          </w:tcPr>
          <w:p>
            <w:pPr/>
          </w:p>
        </w:tc>
        <w:tc>
          <w:tcPr>
            <w:tcW w:w="777" w:type="dxa"/>
            <w:vMerge w:val="restart"/>
            <w:tcBorders>
              <w:top w:val="single" w:sz="12" w:space="0" w:color="000000"/>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75"/>
                <w:sz w:val="18"/>
                <w:szCs w:val="18"/>
              </w:rPr>
              <w:t>）</w:t>
            </w:r>
            <w:r>
              <w:rPr>
                <w:rFonts w:ascii="宋体" w:hAnsi="宋体" w:cs="宋体" w:eastAsia="宋体" w:hint="default"/>
                <w:sz w:val="18"/>
                <w:szCs w:val="18"/>
              </w:rPr>
              <w:t>索瑞电气与陕西福星之间的交易遵循交易市场价格交</w:t>
            </w:r>
          </w:p>
        </w:tc>
        <w:tc>
          <w:tcPr>
            <w:tcW w:w="851"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易的原则，不会利用索瑞电气与陕西福星之间的交易损害</w:t>
            </w:r>
          </w:p>
        </w:tc>
        <w:tc>
          <w:tcPr>
            <w:tcW w:w="851"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上市公司的利益。（</w:t>
            </w:r>
            <w:r>
              <w:rPr>
                <w:rFonts w:ascii="宋体" w:hAnsi="宋体" w:cs="宋体" w:eastAsia="宋体" w:hint="default"/>
                <w:spacing w:val="-3"/>
                <w:sz w:val="18"/>
                <w:szCs w:val="18"/>
              </w:rPr>
              <w:t>4</w:t>
            </w:r>
            <w:r>
              <w:rPr>
                <w:rFonts w:ascii="宋体" w:hAnsi="宋体" w:cs="宋体" w:eastAsia="宋体" w:hint="default"/>
                <w:spacing w:val="-3"/>
                <w:sz w:val="18"/>
                <w:szCs w:val="18"/>
              </w:rPr>
              <w:t>）若索瑞电气与陕西福星之间的交易</w:t>
            </w:r>
          </w:p>
        </w:tc>
        <w:tc>
          <w:tcPr>
            <w:tcW w:w="851"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3"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情况与上述承诺事项不符，任昌兆先生愿意承诺相应的法</w:t>
            </w:r>
          </w:p>
        </w:tc>
        <w:tc>
          <w:tcPr>
            <w:tcW w:w="851"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58"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bottom w:val="single" w:sz="6" w:space="0" w:color="000000"/>
              <w:right w:val="single" w:sz="6" w:space="0" w:color="000000"/>
            </w:tcBorders>
          </w:tcPr>
          <w:p>
            <w:pPr/>
          </w:p>
        </w:tc>
        <w:tc>
          <w:tcPr>
            <w:tcW w:w="868" w:type="dxa"/>
            <w:vMerge/>
            <w:tcBorders>
              <w:left w:val="single" w:sz="6" w:space="0" w:color="000000"/>
              <w:bottom w:val="single" w:sz="6" w:space="0" w:color="000000"/>
              <w:right w:val="single" w:sz="6" w:space="0" w:color="000000"/>
            </w:tcBorders>
          </w:tcPr>
          <w:p>
            <w:pPr/>
          </w:p>
        </w:tc>
        <w:tc>
          <w:tcPr>
            <w:tcW w:w="457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律责任。</w:t>
            </w:r>
          </w:p>
        </w:tc>
        <w:tc>
          <w:tcPr>
            <w:tcW w:w="851"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777" w:type="dxa"/>
            <w:vMerge/>
            <w:tcBorders>
              <w:left w:val="single" w:sz="6" w:space="0" w:color="000000"/>
              <w:bottom w:val="single" w:sz="6" w:space="0" w:color="000000"/>
              <w:right w:val="single" w:sz="12" w:space="0" w:color="000000"/>
            </w:tcBorders>
          </w:tcPr>
          <w:p>
            <w:pPr/>
          </w:p>
        </w:tc>
      </w:tr>
      <w:tr>
        <w:trPr>
          <w:trHeight w:val="361" w:hRule="exact"/>
        </w:trPr>
        <w:tc>
          <w:tcPr>
            <w:tcW w:w="1703" w:type="dxa"/>
            <w:vMerge/>
            <w:tcBorders>
              <w:left w:val="single" w:sz="12" w:space="0" w:color="000000"/>
              <w:right w:val="single" w:sz="6" w:space="0" w:color="000000"/>
            </w:tcBorders>
            <w:shd w:val="clear" w:color="auto" w:fill="D2D2D2"/>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868" w:type="dxa"/>
            <w:tcBorders>
              <w:top w:val="single" w:sz="6" w:space="0" w:color="000000"/>
              <w:left w:val="single" w:sz="6" w:space="0" w:color="000000"/>
              <w:bottom w:val="nil" w:sz="6" w:space="0" w:color="auto"/>
              <w:right w:val="single" w:sz="6" w:space="0" w:color="000000"/>
            </w:tcBorders>
          </w:tcPr>
          <w:p>
            <w:pPr/>
          </w:p>
        </w:tc>
        <w:tc>
          <w:tcPr>
            <w:tcW w:w="457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公司控股股东江苏光一投资管理有限责任公司、实际控制</w:t>
            </w:r>
          </w:p>
        </w:tc>
        <w:tc>
          <w:tcPr>
            <w:tcW w:w="851"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777"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人龙昌明先生就公司发行股份及支付现金购买湖北索瑞电</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气有限公司</w:t>
            </w:r>
            <w:r>
              <w:rPr>
                <w:rFonts w:ascii="宋体" w:hAnsi="宋体" w:cs="宋体" w:eastAsia="宋体" w:hint="default"/>
                <w:spacing w:val="-46"/>
                <w:sz w:val="18"/>
                <w:szCs w:val="18"/>
              </w:rPr>
              <w:t> </w:t>
            </w:r>
            <w:r>
              <w:rPr>
                <w:rFonts w:ascii="宋体" w:hAnsi="宋体" w:cs="宋体" w:eastAsia="宋体" w:hint="default"/>
                <w:sz w:val="18"/>
                <w:szCs w:val="18"/>
              </w:rPr>
              <w:t>84.82%</w:t>
            </w:r>
            <w:r>
              <w:rPr>
                <w:rFonts w:ascii="宋体" w:hAnsi="宋体" w:cs="宋体" w:eastAsia="宋体" w:hint="default"/>
                <w:sz w:val="18"/>
                <w:szCs w:val="18"/>
              </w:rPr>
              <w:t>股权事项</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75"/>
                <w:sz w:val="18"/>
                <w:szCs w:val="18"/>
              </w:rPr>
              <w:t>、</w:t>
            </w:r>
            <w:r>
              <w:rPr>
                <w:rFonts w:ascii="宋体" w:hAnsi="宋体" w:cs="宋体" w:eastAsia="宋体" w:hint="default"/>
                <w:sz w:val="18"/>
                <w:szCs w:val="18"/>
              </w:rPr>
              <w:t>关于避免同业竞争的承诺</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）本次交易完成后，在作为光一科技股东期间，本公司</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本人及控制的其他企业不会直接或间接从事任何与光一</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科技及其下属公司主要经营业务构成同业竞争或潜在同业</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竞争关系的生产与经营业务，亦不会投资任何与光一科技</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及其下属公司主要经营业务构成同业竞争或潜在同业竞争</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关系的其他企业。（</w:t>
            </w:r>
            <w:r>
              <w:rPr>
                <w:rFonts w:ascii="宋体" w:hAnsi="宋体" w:cs="宋体" w:eastAsia="宋体" w:hint="default"/>
                <w:sz w:val="18"/>
                <w:szCs w:val="18"/>
              </w:rPr>
              <w:t>2</w:t>
            </w:r>
            <w:r>
              <w:rPr>
                <w:rFonts w:ascii="宋体" w:hAnsi="宋体" w:cs="宋体" w:eastAsia="宋体" w:hint="default"/>
                <w:sz w:val="18"/>
                <w:szCs w:val="18"/>
              </w:rPr>
              <w:t>）在上述期间，如本公司</w:t>
            </w:r>
            <w:r>
              <w:rPr>
                <w:rFonts w:ascii="宋体" w:hAnsi="宋体" w:cs="宋体" w:eastAsia="宋体" w:hint="default"/>
                <w:sz w:val="18"/>
                <w:szCs w:val="18"/>
              </w:rPr>
              <w:t>/</w:t>
            </w:r>
            <w:r>
              <w:rPr>
                <w:rFonts w:ascii="宋体" w:hAnsi="宋体" w:cs="宋体" w:eastAsia="宋体" w:hint="default"/>
                <w:sz w:val="18"/>
                <w:szCs w:val="18"/>
              </w:rPr>
              <w:t>本人及控</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制的企业的现有业务或该等企业为进一步拓展业务范围，</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与光一科技及其下属公司经营的业务产生竞争</w:t>
            </w:r>
            <w:r>
              <w:rPr>
                <w:rFonts w:ascii="宋体" w:hAnsi="宋体" w:cs="宋体" w:eastAsia="宋体" w:hint="default"/>
                <w:spacing w:val="-75"/>
                <w:sz w:val="18"/>
                <w:szCs w:val="18"/>
              </w:rPr>
              <w:t>，</w:t>
            </w:r>
            <w:r>
              <w:rPr>
                <w:rFonts w:ascii="宋体" w:hAnsi="宋体" w:cs="宋体" w:eastAsia="宋体" w:hint="default"/>
                <w:sz w:val="18"/>
                <w:szCs w:val="18"/>
              </w:rPr>
              <w:t>则本公司</w:t>
            </w:r>
            <w:r>
              <w:rPr>
                <w:rFonts w:ascii="宋体" w:hAnsi="宋体" w:cs="宋体" w:eastAsia="宋体" w:hint="default"/>
                <w:sz w:val="18"/>
                <w:szCs w:val="18"/>
              </w:rPr>
              <w:t>/</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7"/>
                <w:sz w:val="18"/>
                <w:szCs w:val="18"/>
              </w:rPr>
              <w:t>本人及控制的企业将采取停止经营产生竞争的业务的方</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式，或者采取将产生竞争的业务纳入光一科技的方式，或</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者采取将产生竞争的业务转让给无关联关系第三方等的合</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法方式</w:t>
            </w:r>
            <w:r>
              <w:rPr>
                <w:rFonts w:ascii="宋体" w:hAnsi="宋体" w:cs="宋体" w:eastAsia="宋体" w:hint="default"/>
                <w:spacing w:val="-75"/>
                <w:sz w:val="18"/>
                <w:szCs w:val="18"/>
              </w:rPr>
              <w:t>，</w:t>
            </w:r>
            <w:r>
              <w:rPr>
                <w:rFonts w:ascii="宋体" w:hAnsi="宋体" w:cs="宋体" w:eastAsia="宋体" w:hint="default"/>
                <w:sz w:val="18"/>
                <w:szCs w:val="18"/>
              </w:rPr>
              <w:t>使本公司</w:t>
            </w:r>
            <w:r>
              <w:rPr>
                <w:rFonts w:ascii="宋体" w:hAnsi="宋体" w:cs="宋体" w:eastAsia="宋体" w:hint="default"/>
                <w:sz w:val="18"/>
                <w:szCs w:val="18"/>
              </w:rPr>
              <w:t>/</w:t>
            </w:r>
            <w:r>
              <w:rPr>
                <w:rFonts w:ascii="宋体" w:hAnsi="宋体" w:cs="宋体" w:eastAsia="宋体" w:hint="default"/>
                <w:sz w:val="18"/>
                <w:szCs w:val="18"/>
              </w:rPr>
              <w:t>本人及控制的企业不再从事与光一科技</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主营业务相同或类似的业务。（</w:t>
            </w:r>
            <w:r>
              <w:rPr>
                <w:rFonts w:ascii="宋体" w:hAnsi="宋体" w:cs="宋体" w:eastAsia="宋体" w:hint="default"/>
                <w:spacing w:val="-3"/>
                <w:sz w:val="18"/>
                <w:szCs w:val="18"/>
              </w:rPr>
              <w:t>3</w:t>
            </w:r>
            <w:r>
              <w:rPr>
                <w:rFonts w:ascii="宋体" w:hAnsi="宋体" w:cs="宋体" w:eastAsia="宋体" w:hint="default"/>
                <w:spacing w:val="-3"/>
                <w:sz w:val="18"/>
                <w:szCs w:val="18"/>
              </w:rPr>
              <w:t>）本函自签署出具之日起</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187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0" w:right="-17"/>
              <w:jc w:val="both"/>
              <w:rPr>
                <w:rFonts w:ascii="宋体" w:hAnsi="宋体" w:cs="宋体" w:eastAsia="宋体" w:hint="default"/>
                <w:sz w:val="18"/>
                <w:szCs w:val="18"/>
              </w:rPr>
            </w:pPr>
            <w:r>
              <w:rPr>
                <w:rFonts w:ascii="宋体" w:hAnsi="宋体" w:cs="宋体" w:eastAsia="宋体" w:hint="default"/>
                <w:spacing w:val="31"/>
                <w:sz w:val="18"/>
                <w:szCs w:val="18"/>
              </w:rPr>
              <w:t>江苏光一投</w:t>
            </w:r>
            <w:r>
              <w:rPr>
                <w:rFonts w:ascii="宋体" w:hAnsi="宋体" w:cs="宋体" w:eastAsia="宋体" w:hint="default"/>
                <w:spacing w:val="-51"/>
                <w:sz w:val="18"/>
                <w:szCs w:val="18"/>
              </w:rPr>
              <w:t> </w:t>
            </w:r>
            <w:r>
              <w:rPr>
                <w:rFonts w:ascii="宋体" w:hAnsi="宋体" w:cs="宋体" w:eastAsia="宋体" w:hint="default"/>
                <w:spacing w:val="31"/>
                <w:sz w:val="18"/>
                <w:szCs w:val="18"/>
              </w:rPr>
              <w:t>资管理有限</w:t>
            </w:r>
            <w:r>
              <w:rPr>
                <w:rFonts w:ascii="宋体" w:hAnsi="宋体" w:cs="宋体" w:eastAsia="宋体" w:hint="default"/>
                <w:spacing w:val="-51"/>
                <w:sz w:val="18"/>
                <w:szCs w:val="18"/>
              </w:rPr>
              <w:t> </w:t>
            </w:r>
            <w:r>
              <w:rPr>
                <w:rFonts w:ascii="宋体" w:hAnsi="宋体" w:cs="宋体" w:eastAsia="宋体" w:hint="default"/>
                <w:spacing w:val="-4"/>
                <w:sz w:val="18"/>
                <w:szCs w:val="18"/>
              </w:rPr>
              <w:t>责任公司、龙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昌明</w:t>
            </w:r>
          </w:p>
        </w:tc>
        <w:tc>
          <w:tcPr>
            <w:tcW w:w="868" w:type="dxa"/>
            <w:tcBorders>
              <w:top w:val="nil" w:sz="6" w:space="0" w:color="auto"/>
              <w:left w:val="single" w:sz="6" w:space="0" w:color="000000"/>
              <w:bottom w:val="nil" w:sz="6" w:space="0" w:color="auto"/>
              <w:right w:val="single" w:sz="6" w:space="0" w:color="000000"/>
            </w:tcBorders>
          </w:tcPr>
          <w:p>
            <w:pPr>
              <w:pStyle w:val="TableParagraph"/>
              <w:spacing w:line="316" w:lineRule="auto" w:before="147"/>
              <w:ind w:left="20" w:right="-13"/>
              <w:jc w:val="both"/>
              <w:rPr>
                <w:rFonts w:ascii="宋体" w:hAnsi="宋体" w:cs="宋体" w:eastAsia="宋体" w:hint="default"/>
                <w:sz w:val="18"/>
                <w:szCs w:val="18"/>
              </w:rPr>
            </w:pPr>
            <w:r>
              <w:rPr>
                <w:rFonts w:ascii="宋体" w:hAnsi="宋体" w:cs="宋体" w:eastAsia="宋体" w:hint="default"/>
                <w:spacing w:val="23"/>
                <w:sz w:val="18"/>
                <w:szCs w:val="18"/>
              </w:rPr>
              <w:t>关于同业</w:t>
            </w:r>
            <w:r>
              <w:rPr>
                <w:rFonts w:ascii="宋体" w:hAnsi="宋体" w:cs="宋体" w:eastAsia="宋体" w:hint="default"/>
                <w:spacing w:val="-59"/>
                <w:sz w:val="18"/>
                <w:szCs w:val="18"/>
              </w:rPr>
              <w:t> </w:t>
            </w:r>
            <w:r>
              <w:rPr>
                <w:rFonts w:ascii="宋体" w:hAnsi="宋体" w:cs="宋体" w:eastAsia="宋体" w:hint="default"/>
                <w:spacing w:val="-18"/>
                <w:sz w:val="18"/>
                <w:szCs w:val="18"/>
              </w:rPr>
              <w:t>竞争、关联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8"/>
                <w:sz w:val="18"/>
                <w:szCs w:val="18"/>
              </w:rPr>
              <w:t>交易、资金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3"/>
                <w:sz w:val="18"/>
                <w:szCs w:val="18"/>
              </w:rPr>
              <w:t>占用方面</w:t>
            </w:r>
            <w:r>
              <w:rPr>
                <w:rFonts w:ascii="宋体" w:hAnsi="宋体" w:cs="宋体" w:eastAsia="宋体" w:hint="default"/>
                <w:spacing w:val="-59"/>
                <w:sz w:val="18"/>
                <w:szCs w:val="18"/>
              </w:rPr>
              <w:t> </w:t>
            </w:r>
            <w:r>
              <w:rPr>
                <w:rFonts w:ascii="宋体" w:hAnsi="宋体" w:cs="宋体" w:eastAsia="宋体" w:hint="default"/>
                <w:sz w:val="18"/>
                <w:szCs w:val="18"/>
              </w:rPr>
              <w:t>的承诺</w:t>
            </w: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1" w:right="17"/>
              <w:jc w:val="both"/>
              <w:rPr>
                <w:rFonts w:ascii="宋体" w:hAnsi="宋体" w:cs="宋体" w:eastAsia="宋体" w:hint="default"/>
                <w:sz w:val="18"/>
                <w:szCs w:val="18"/>
              </w:rPr>
            </w:pPr>
            <w:r>
              <w:rPr>
                <w:rFonts w:ascii="宋体" w:hAnsi="宋体" w:cs="宋体" w:eastAsia="宋体" w:hint="default"/>
                <w:spacing w:val="-3"/>
                <w:sz w:val="18"/>
                <w:szCs w:val="18"/>
              </w:rPr>
              <w:t>立即生效，即对本公司</w:t>
            </w:r>
            <w:r>
              <w:rPr>
                <w:rFonts w:ascii="宋体" w:hAnsi="宋体" w:cs="宋体" w:eastAsia="宋体" w:hint="default"/>
                <w:spacing w:val="-3"/>
                <w:sz w:val="18"/>
                <w:szCs w:val="18"/>
              </w:rPr>
              <w:t>/</w:t>
            </w:r>
            <w:r>
              <w:rPr>
                <w:rFonts w:ascii="宋体" w:hAnsi="宋体" w:cs="宋体" w:eastAsia="宋体" w:hint="default"/>
                <w:spacing w:val="-3"/>
                <w:sz w:val="18"/>
                <w:szCs w:val="18"/>
              </w:rPr>
              <w:t>本人具有法律约束力。自本函生效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至本公司</w:t>
            </w:r>
            <w:r>
              <w:rPr>
                <w:rFonts w:ascii="宋体" w:hAnsi="宋体" w:cs="宋体" w:eastAsia="宋体" w:hint="default"/>
                <w:sz w:val="18"/>
                <w:szCs w:val="18"/>
              </w:rPr>
              <w:t>/</w:t>
            </w:r>
            <w:r>
              <w:rPr>
                <w:rFonts w:ascii="宋体" w:hAnsi="宋体" w:cs="宋体" w:eastAsia="宋体" w:hint="default"/>
                <w:sz w:val="18"/>
                <w:szCs w:val="18"/>
              </w:rPr>
              <w:t>本人作为光一科技股东的任何时候，本公司</w:t>
            </w:r>
            <w:r>
              <w:rPr>
                <w:rFonts w:ascii="宋体" w:hAnsi="宋体" w:cs="宋体" w:eastAsia="宋体" w:hint="default"/>
                <w:sz w:val="18"/>
                <w:szCs w:val="18"/>
              </w:rPr>
              <w:t>/</w:t>
            </w:r>
            <w:r>
              <w:rPr>
                <w:rFonts w:ascii="宋体" w:hAnsi="宋体" w:cs="宋体" w:eastAsia="宋体" w:hint="default"/>
                <w:sz w:val="18"/>
                <w:szCs w:val="18"/>
              </w:rPr>
              <w:t>本</w:t>
            </w:r>
            <w:r>
              <w:rPr>
                <w:rFonts w:ascii="宋体" w:hAnsi="宋体" w:cs="宋体" w:eastAsia="宋体" w:hint="default"/>
                <w:spacing w:val="-76"/>
                <w:sz w:val="18"/>
                <w:szCs w:val="18"/>
              </w:rPr>
              <w:t> </w:t>
            </w:r>
            <w:r>
              <w:rPr>
                <w:rFonts w:ascii="宋体" w:hAnsi="宋体" w:cs="宋体" w:eastAsia="宋体" w:hint="default"/>
                <w:sz w:val="18"/>
                <w:szCs w:val="18"/>
              </w:rPr>
              <w:t>人将严格遵守并履行本函所作的承诺及保证义务；对于违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反本函承诺及保证义务的，本公司</w:t>
            </w:r>
            <w:r>
              <w:rPr>
                <w:rFonts w:ascii="宋体" w:hAnsi="宋体" w:cs="宋体" w:eastAsia="宋体" w:hint="default"/>
                <w:spacing w:val="-3"/>
                <w:sz w:val="18"/>
                <w:szCs w:val="18"/>
              </w:rPr>
              <w:t>/</w:t>
            </w:r>
            <w:r>
              <w:rPr>
                <w:rFonts w:ascii="宋体" w:hAnsi="宋体" w:cs="宋体" w:eastAsia="宋体" w:hint="default"/>
                <w:spacing w:val="-3"/>
                <w:sz w:val="18"/>
                <w:szCs w:val="18"/>
              </w:rPr>
              <w:t>本人承诺采取一切必要</w:t>
            </w:r>
            <w:r>
              <w:rPr>
                <w:rFonts w:ascii="宋体" w:hAnsi="宋体" w:cs="宋体" w:eastAsia="宋体" w:hint="default"/>
                <w:spacing w:val="-87"/>
                <w:sz w:val="18"/>
                <w:szCs w:val="18"/>
              </w:rPr>
              <w:t> </w:t>
            </w:r>
            <w:r>
              <w:rPr>
                <w:rFonts w:ascii="宋体" w:hAnsi="宋体" w:cs="宋体" w:eastAsia="宋体" w:hint="default"/>
                <w:spacing w:val="7"/>
                <w:sz w:val="18"/>
                <w:szCs w:val="18"/>
              </w:rPr>
              <w:t>且有效的措施及时纠正消除由此造成光一科技的不利影</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响，并对造成光一科技直接和间接损失承担赔偿责任。</w:t>
            </w:r>
            <w:r>
              <w:rPr>
                <w:rFonts w:ascii="宋体" w:hAnsi="宋体" w:cs="宋体" w:eastAsia="宋体" w:hint="default"/>
                <w:sz w:val="18"/>
                <w:szCs w:val="18"/>
              </w:rPr>
              <w:t>2</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7"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7"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关于减少和规范关联交易的承诺：（</w:t>
            </w:r>
            <w:r>
              <w:rPr>
                <w:rFonts w:ascii="宋体" w:hAnsi="宋体" w:cs="宋体" w:eastAsia="宋体" w:hint="default"/>
                <w:sz w:val="18"/>
                <w:szCs w:val="18"/>
              </w:rPr>
              <w:t>1</w:t>
            </w:r>
            <w:r>
              <w:rPr>
                <w:rFonts w:ascii="宋体" w:hAnsi="宋体" w:cs="宋体" w:eastAsia="宋体" w:hint="default"/>
                <w:sz w:val="18"/>
                <w:szCs w:val="18"/>
              </w:rPr>
              <w:t>）本次交易完成后</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本公司</w:t>
            </w:r>
            <w:r>
              <w:rPr>
                <w:rFonts w:ascii="宋体" w:hAnsi="宋体" w:cs="宋体" w:eastAsia="宋体" w:hint="default"/>
                <w:spacing w:val="3"/>
                <w:sz w:val="18"/>
                <w:szCs w:val="18"/>
              </w:rPr>
              <w:t>/</w:t>
            </w:r>
            <w:r>
              <w:rPr>
                <w:rFonts w:ascii="宋体" w:hAnsi="宋体" w:cs="宋体" w:eastAsia="宋体" w:hint="default"/>
                <w:spacing w:val="3"/>
                <w:sz w:val="18"/>
                <w:szCs w:val="18"/>
              </w:rPr>
              <w:t>本人及直接或间接控制或影响的企业与重组后的</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7"/>
                <w:sz w:val="18"/>
                <w:szCs w:val="18"/>
              </w:rPr>
              <w:t>光一科技及其控股企业之间将减少并尽可能避免关联交</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易。对于无法避免或者有合理原因而发生的关联交易，本</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公司</w:t>
            </w:r>
            <w:r>
              <w:rPr>
                <w:rFonts w:ascii="宋体" w:hAnsi="宋体" w:cs="宋体" w:eastAsia="宋体" w:hint="default"/>
                <w:spacing w:val="-3"/>
                <w:sz w:val="18"/>
                <w:szCs w:val="18"/>
              </w:rPr>
              <w:t>/</w:t>
            </w:r>
            <w:r>
              <w:rPr>
                <w:rFonts w:ascii="宋体" w:hAnsi="宋体" w:cs="宋体" w:eastAsia="宋体" w:hint="default"/>
                <w:spacing w:val="-3"/>
                <w:sz w:val="18"/>
                <w:szCs w:val="18"/>
              </w:rPr>
              <w:t>本人承诺将按照公平、公允、等价有偿等原则依法签</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订协议，履行合法程序，并将按照有关法律、法规、其他</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规范性文件以及光一科技公司章程等的规定，依法履行相</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关内部决策批准程序并及时履行信息披露义务，保证不以</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与市场价格相比显失公允的条件与光一科技进行交易，保</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证不利用关联交易非法转移光一科技的资金、利润，亦不</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利用该类交易从事任何损害光一科技及其他股东合法权益</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的行为。（</w:t>
            </w:r>
            <w:r>
              <w:rPr>
                <w:rFonts w:ascii="宋体" w:hAnsi="宋体" w:cs="宋体" w:eastAsia="宋体" w:hint="default"/>
                <w:sz w:val="18"/>
                <w:szCs w:val="18"/>
              </w:rPr>
              <w:t>2</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本人及直接或间接控制或影响的企</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业将严格避免向光一科技及其控股和参股公司拆借、占用</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光一科技及其控股和参股公司资金或采取由光一科技及其</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控股和参股公司代垫款、代偿债务等方式侵占光一科技资</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27" w:hRule="exact"/>
        </w:trPr>
        <w:tc>
          <w:tcPr>
            <w:tcW w:w="1703" w:type="dxa"/>
            <w:vMerge/>
            <w:tcBorders>
              <w:left w:val="single" w:sz="12" w:space="0" w:color="000000"/>
              <w:bottom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single" w:sz="12" w:space="0" w:color="000000"/>
              <w:right w:val="single" w:sz="6" w:space="0" w:color="000000"/>
            </w:tcBorders>
          </w:tcPr>
          <w:p>
            <w:pPr/>
          </w:p>
        </w:tc>
        <w:tc>
          <w:tcPr>
            <w:tcW w:w="868" w:type="dxa"/>
            <w:tcBorders>
              <w:top w:val="nil" w:sz="6" w:space="0" w:color="auto"/>
              <w:left w:val="single" w:sz="6" w:space="0" w:color="000000"/>
              <w:bottom w:val="single" w:sz="12" w:space="0" w:color="000000"/>
              <w:right w:val="single" w:sz="6" w:space="0" w:color="000000"/>
            </w:tcBorders>
          </w:tcPr>
          <w:p>
            <w:pPr/>
          </w:p>
        </w:tc>
        <w:tc>
          <w:tcPr>
            <w:tcW w:w="457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z w:val="18"/>
                <w:szCs w:val="18"/>
              </w:rPr>
              <w:t>3</w:t>
            </w:r>
            <w:r>
              <w:rPr>
                <w:rFonts w:ascii="宋体" w:hAnsi="宋体" w:cs="宋体" w:eastAsia="宋体" w:hint="default"/>
                <w:sz w:val="18"/>
                <w:szCs w:val="18"/>
              </w:rPr>
              <w:t>）本次交易完成后本公司</w:t>
            </w:r>
            <w:r>
              <w:rPr>
                <w:rFonts w:ascii="宋体" w:hAnsi="宋体" w:cs="宋体" w:eastAsia="宋体" w:hint="default"/>
                <w:sz w:val="18"/>
                <w:szCs w:val="18"/>
              </w:rPr>
              <w:t>/</w:t>
            </w:r>
            <w:r>
              <w:rPr>
                <w:rFonts w:ascii="宋体" w:hAnsi="宋体" w:cs="宋体" w:eastAsia="宋体" w:hint="default"/>
                <w:sz w:val="18"/>
                <w:szCs w:val="18"/>
              </w:rPr>
              <w:t>本人将继续严格按照有</w:t>
            </w:r>
          </w:p>
        </w:tc>
        <w:tc>
          <w:tcPr>
            <w:tcW w:w="851" w:type="dxa"/>
            <w:tcBorders>
              <w:top w:val="nil" w:sz="6" w:space="0" w:color="auto"/>
              <w:left w:val="single" w:sz="6" w:space="0" w:color="000000"/>
              <w:bottom w:val="single" w:sz="12" w:space="0" w:color="000000"/>
              <w:right w:val="single" w:sz="6" w:space="0" w:color="000000"/>
            </w:tcBorders>
          </w:tcPr>
          <w:p>
            <w:pPr/>
          </w:p>
        </w:tc>
        <w:tc>
          <w:tcPr>
            <w:tcW w:w="851" w:type="dxa"/>
            <w:tcBorders>
              <w:top w:val="nil" w:sz="6" w:space="0" w:color="auto"/>
              <w:left w:val="single" w:sz="6" w:space="0" w:color="000000"/>
              <w:bottom w:val="single" w:sz="12" w:space="0" w:color="000000"/>
              <w:right w:val="single" w:sz="6" w:space="0" w:color="000000"/>
            </w:tcBorders>
          </w:tcPr>
          <w:p>
            <w:pPr/>
          </w:p>
        </w:tc>
        <w:tc>
          <w:tcPr>
            <w:tcW w:w="777"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409.205017pt;margin-top:216.679977pt;width:75.150pt;height:256.4pt;mso-position-horizontal-relative:page;mso-position-vertical-relative:page;z-index:-9177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sz w:val="18"/>
                      <w:szCs w:val="18"/>
                    </w:rPr>
                    <w:t>何传柏、</w:t>
                  </w:r>
                </w:p>
              </w:txbxContent>
            </v:textbox>
            <w10:wrap type="none"/>
          </v:shape>
        </w:pict>
      </w:r>
      <w:r>
        <w:rPr/>
        <w:pict>
          <v:shape style="position:absolute;margin-left:319.21402pt;margin-top:508.299988pt;width:165.15pt;height:256.4pt;mso-position-horizontal-relative:page;mso-position-vertical-relative:page;z-index:-9177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spacing w:before="0"/>
                    <w:ind w:left="0" w:right="0" w:firstLine="180"/>
                    <w:jc w:val="left"/>
                    <w:rPr>
                      <w:rFonts w:ascii="宋体" w:hAnsi="宋体" w:cs="宋体" w:eastAsia="宋体" w:hint="default"/>
                      <w:sz w:val="18"/>
                      <w:szCs w:val="18"/>
                    </w:rPr>
                  </w:pPr>
                  <w:r>
                    <w:rPr>
                      <w:rFonts w:ascii="宋体" w:hAnsi="宋体" w:cs="宋体" w:eastAsia="宋体" w:hint="default"/>
                      <w:sz w:val="18"/>
                      <w:szCs w:val="18"/>
                    </w:rPr>
                    <w:t>减少和规范关联交易的承诺：</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等价有偿等原则依法签订协议，</w:t>
                  </w:r>
                </w:p>
              </w:txbxContent>
            </v:textbox>
            <w10:wrap type="none"/>
          </v:shape>
        </w:pict>
      </w:r>
      <w:r>
        <w:rPr/>
        <w:pict>
          <v:group style="position:absolute;margin-left:442.5pt;margin-top:73.499985pt;width:41.85pt;height:399.6pt;mso-position-horizontal-relative:page;mso-position-vertical-relative:page;z-index:-917704" coordorigin="8850,1470" coordsize="837,7992">
            <v:group style="position:absolute;left:8850;top:1470;width:837;height:2848" coordorigin="8850,1470" coordsize="837,2848">
              <v:shape style="position:absolute;left:8850;top:1470;width:837;height:2848" coordorigin="8850,1470" coordsize="837,2848" path="m8850,4318l9686,4318,9686,1470,8850,1470,8850,4318xe" filled="true" fillcolor="#ffffff" stroked="false">
                <v:path arrowok="t"/>
                <v:fill type="solid"/>
              </v:shape>
            </v:group>
            <v:group style="position:absolute;left:8850;top:4334;width:837;height:5128" coordorigin="8850,4334" coordsize="837,5128">
              <v:shape style="position:absolute;left:8850;top:4334;width:837;height:5128" coordorigin="8850,4334" coordsize="837,5128" path="m8850,9462l9686,9462,9686,4334,8850,4334,8850,9462xe" filled="true" fillcolor="#ffffff" stroked="false">
                <v:path arrowok="t"/>
                <v:fill type="solid"/>
              </v:shape>
            </v:group>
            <w10:wrap type="none"/>
          </v:group>
        </w:pict>
      </w:r>
      <w:r>
        <w:rPr/>
        <w:pict>
          <v:group style="position:absolute;margin-left:442.5pt;margin-top:508.299988pt;width:41.85pt;height:256.4pt;mso-position-horizontal-relative:page;mso-position-vertical-relative:page;z-index:-917680" coordorigin="8850,10166" coordsize="837,5128">
            <v:shape style="position:absolute;left:8850;top:10166;width:837;height:5128" coordorigin="8850,10166" coordsize="837,5128" path="m8850,15294l9686,15294,9686,10166,8850,10166,8850,15294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568" w:type="dxa"/>
        <w:tblLayout w:type="fixed"/>
        <w:tblCellMar>
          <w:top w:w="0" w:type="dxa"/>
          <w:left w:w="0" w:type="dxa"/>
          <w:bottom w:w="0" w:type="dxa"/>
          <w:right w:w="0" w:type="dxa"/>
        </w:tblCellMar>
        <w:tblLook w:val="01E0"/>
      </w:tblPr>
      <w:tblGrid>
        <w:gridCol w:w="1703"/>
        <w:gridCol w:w="1116"/>
        <w:gridCol w:w="868"/>
        <w:gridCol w:w="4573"/>
        <w:gridCol w:w="851"/>
        <w:gridCol w:w="851"/>
        <w:gridCol w:w="777"/>
      </w:tblGrid>
      <w:tr>
        <w:trPr>
          <w:trHeight w:val="327" w:hRule="exact"/>
        </w:trPr>
        <w:tc>
          <w:tcPr>
            <w:tcW w:w="1703" w:type="dxa"/>
            <w:vMerge w:val="restart"/>
            <w:tcBorders>
              <w:top w:val="single" w:sz="12" w:space="0" w:color="000000"/>
              <w:left w:val="single" w:sz="12" w:space="0" w:color="000000"/>
              <w:right w:val="single" w:sz="6" w:space="0" w:color="000000"/>
            </w:tcBorders>
            <w:shd w:val="clear" w:color="auto" w:fill="D2D2D2"/>
          </w:tcPr>
          <w:p>
            <w:pPr/>
          </w:p>
        </w:tc>
        <w:tc>
          <w:tcPr>
            <w:tcW w:w="1116" w:type="dxa"/>
            <w:vMerge w:val="restart"/>
            <w:tcBorders>
              <w:top w:val="single" w:sz="12" w:space="0" w:color="000000"/>
              <w:left w:val="single" w:sz="6" w:space="0" w:color="000000"/>
              <w:right w:val="single" w:sz="6" w:space="0" w:color="000000"/>
            </w:tcBorders>
          </w:tcPr>
          <w:p>
            <w:pPr/>
          </w:p>
        </w:tc>
        <w:tc>
          <w:tcPr>
            <w:tcW w:w="868" w:type="dxa"/>
            <w:vMerge w:val="restart"/>
            <w:tcBorders>
              <w:top w:val="single" w:sz="12" w:space="0" w:color="000000"/>
              <w:left w:val="single" w:sz="6" w:space="0" w:color="000000"/>
              <w:right w:val="single" w:sz="6" w:space="0" w:color="000000"/>
            </w:tcBorders>
          </w:tcPr>
          <w:p>
            <w:pPr/>
          </w:p>
        </w:tc>
        <w:tc>
          <w:tcPr>
            <w:tcW w:w="457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关法律法规、规范性文件以及光一科技公司章程的有关规</w:t>
            </w:r>
          </w:p>
        </w:tc>
        <w:tc>
          <w:tcPr>
            <w:tcW w:w="851" w:type="dxa"/>
            <w:tcBorders>
              <w:top w:val="single" w:sz="12" w:space="0" w:color="000000"/>
              <w:left w:val="single" w:sz="6" w:space="0" w:color="000000"/>
              <w:bottom w:val="nil" w:sz="6" w:space="0" w:color="auto"/>
              <w:right w:val="single" w:sz="6" w:space="0" w:color="000000"/>
            </w:tcBorders>
          </w:tcPr>
          <w:p>
            <w:pPr/>
          </w:p>
        </w:tc>
        <w:tc>
          <w:tcPr>
            <w:tcW w:w="851" w:type="dxa"/>
            <w:vMerge w:val="restart"/>
            <w:tcBorders>
              <w:top w:val="single" w:sz="12" w:space="0" w:color="000000"/>
              <w:left w:val="single" w:sz="6" w:space="0" w:color="000000"/>
              <w:right w:val="single" w:sz="6" w:space="0" w:color="000000"/>
            </w:tcBorders>
          </w:tcPr>
          <w:p>
            <w:pPr/>
          </w:p>
        </w:tc>
        <w:tc>
          <w:tcPr>
            <w:tcW w:w="777" w:type="dxa"/>
            <w:vMerge w:val="restart"/>
            <w:tcBorders>
              <w:top w:val="single" w:sz="12" w:space="0" w:color="000000"/>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定行使股东权利；在光一科技股东大会对有关涉及本人的</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关联交易进行表决时，履行回避表决的义务。（</w:t>
            </w:r>
            <w:r>
              <w:rPr>
                <w:rFonts w:ascii="宋体" w:hAnsi="宋体" w:cs="宋体" w:eastAsia="宋体" w:hint="default"/>
                <w:spacing w:val="-3"/>
                <w:sz w:val="18"/>
                <w:szCs w:val="18"/>
              </w:rPr>
              <w:t>4</w:t>
            </w:r>
            <w:r>
              <w:rPr>
                <w:rFonts w:ascii="宋体" w:hAnsi="宋体" w:cs="宋体" w:eastAsia="宋体" w:hint="default"/>
                <w:spacing w:val="-3"/>
                <w:sz w:val="18"/>
                <w:szCs w:val="18"/>
              </w:rPr>
              <w:t>）本公司</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本人保证不通过关联交易取得任何不正当的利益或使光</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一科技及其控股和参股公司承担任何不正当的义务。（</w:t>
            </w:r>
            <w:r>
              <w:rPr>
                <w:rFonts w:ascii="宋体" w:hAnsi="宋体" w:cs="宋体" w:eastAsia="宋体" w:hint="default"/>
                <w:sz w:val="18"/>
                <w:szCs w:val="18"/>
              </w:rPr>
              <w:t>5</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如果因违反上述承诺导致光一科技或其控股和参股公司损</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失或利用关联交易侵占光一科技或其控股和参股公司利益</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13"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right w:val="single" w:sz="6" w:space="0" w:color="000000"/>
            </w:tcBorders>
          </w:tcPr>
          <w:p>
            <w:pPr/>
          </w:p>
        </w:tc>
        <w:tc>
          <w:tcPr>
            <w:tcW w:w="868" w:type="dxa"/>
            <w:vMerge/>
            <w:tcBorders>
              <w:left w:val="single" w:sz="6" w:space="0" w:color="000000"/>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75"/>
                <w:sz w:val="18"/>
                <w:szCs w:val="18"/>
              </w:rPr>
              <w:t>，</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本人依法承担光一科技或其控股和参股公司的</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777" w:type="dxa"/>
            <w:vMerge/>
            <w:tcBorders>
              <w:left w:val="single" w:sz="6" w:space="0" w:color="000000"/>
              <w:right w:val="single" w:sz="12" w:space="0" w:color="000000"/>
            </w:tcBorders>
          </w:tcPr>
          <w:p>
            <w:pPr/>
          </w:p>
        </w:tc>
      </w:tr>
      <w:tr>
        <w:trPr>
          <w:trHeight w:val="358" w:hRule="exact"/>
        </w:trPr>
        <w:tc>
          <w:tcPr>
            <w:tcW w:w="1703" w:type="dxa"/>
            <w:vMerge/>
            <w:tcBorders>
              <w:left w:val="single" w:sz="12" w:space="0" w:color="000000"/>
              <w:right w:val="single" w:sz="6" w:space="0" w:color="000000"/>
            </w:tcBorders>
            <w:shd w:val="clear" w:color="auto" w:fill="D2D2D2"/>
          </w:tcPr>
          <w:p>
            <w:pPr/>
          </w:p>
        </w:tc>
        <w:tc>
          <w:tcPr>
            <w:tcW w:w="1116" w:type="dxa"/>
            <w:vMerge/>
            <w:tcBorders>
              <w:left w:val="single" w:sz="6" w:space="0" w:color="000000"/>
              <w:bottom w:val="single" w:sz="6" w:space="0" w:color="000000"/>
              <w:right w:val="single" w:sz="6" w:space="0" w:color="000000"/>
            </w:tcBorders>
          </w:tcPr>
          <w:p>
            <w:pPr/>
          </w:p>
        </w:tc>
        <w:tc>
          <w:tcPr>
            <w:tcW w:w="868" w:type="dxa"/>
            <w:vMerge/>
            <w:tcBorders>
              <w:left w:val="single" w:sz="6" w:space="0" w:color="000000"/>
              <w:bottom w:val="single" w:sz="6" w:space="0" w:color="000000"/>
              <w:right w:val="single" w:sz="6" w:space="0" w:color="000000"/>
            </w:tcBorders>
          </w:tcPr>
          <w:p>
            <w:pPr/>
          </w:p>
        </w:tc>
        <w:tc>
          <w:tcPr>
            <w:tcW w:w="457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851" w:type="dxa"/>
            <w:tcBorders>
              <w:top w:val="nil" w:sz="6" w:space="0" w:color="auto"/>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777" w:type="dxa"/>
            <w:vMerge/>
            <w:tcBorders>
              <w:left w:val="single" w:sz="6" w:space="0" w:color="000000"/>
              <w:bottom w:val="single" w:sz="6" w:space="0" w:color="000000"/>
              <w:right w:val="single" w:sz="12" w:space="0" w:color="000000"/>
            </w:tcBorders>
          </w:tcPr>
          <w:p>
            <w:pPr/>
          </w:p>
        </w:tc>
      </w:tr>
      <w:tr>
        <w:trPr>
          <w:trHeight w:val="361" w:hRule="exact"/>
        </w:trPr>
        <w:tc>
          <w:tcPr>
            <w:tcW w:w="1703" w:type="dxa"/>
            <w:vMerge/>
            <w:tcBorders>
              <w:left w:val="single" w:sz="12" w:space="0" w:color="000000"/>
              <w:right w:val="single" w:sz="6" w:space="0" w:color="000000"/>
            </w:tcBorders>
            <w:shd w:val="clear" w:color="auto" w:fill="D2D2D2"/>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868" w:type="dxa"/>
            <w:tcBorders>
              <w:top w:val="single" w:sz="6" w:space="0" w:color="000000"/>
              <w:left w:val="single" w:sz="6" w:space="0" w:color="000000"/>
              <w:bottom w:val="nil" w:sz="6" w:space="0" w:color="auto"/>
              <w:right w:val="single" w:sz="6" w:space="0" w:color="000000"/>
            </w:tcBorders>
          </w:tcPr>
          <w:p>
            <w:pPr/>
          </w:p>
        </w:tc>
        <w:tc>
          <w:tcPr>
            <w:tcW w:w="457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pacing w:val="11"/>
                <w:sz w:val="18"/>
                <w:szCs w:val="18"/>
              </w:rPr>
              <w:t>"</w:t>
            </w:r>
            <w:r>
              <w:rPr>
                <w:rFonts w:ascii="宋体" w:hAnsi="宋体" w:cs="宋体" w:eastAsia="宋体" w:hint="default"/>
                <w:spacing w:val="11"/>
                <w:sz w:val="18"/>
                <w:szCs w:val="18"/>
              </w:rPr>
              <w:t>公司发行股份及支付现金购买湖北索瑞电气有限公司</w:t>
            </w:r>
          </w:p>
        </w:tc>
        <w:tc>
          <w:tcPr>
            <w:tcW w:w="851"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777"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84.82%</w:t>
            </w:r>
            <w:r>
              <w:rPr>
                <w:rFonts w:ascii="宋体" w:hAnsi="宋体" w:cs="宋体" w:eastAsia="宋体" w:hint="default"/>
                <w:sz w:val="18"/>
                <w:szCs w:val="18"/>
              </w:rPr>
              <w:t>股权事项的被收购人任昌兆、任晶晶、魏法旭、郑</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4"/>
                <w:sz w:val="18"/>
                <w:szCs w:val="18"/>
              </w:rPr>
              <w:t>丽蓉、邓丽萍、赵业香、桂长钟、李善元、梁蓉、廖庆生</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4"/>
                <w:sz w:val="18"/>
                <w:szCs w:val="18"/>
              </w:rPr>
              <w:t>郑立筠、周军、田裕树、张天祯、王平、方旭东、</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郭明亮、毛为国、门崇喜、李强、徐光涛、文涛、罗丹、</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彭娥昌、张红、陈世勇等</w:t>
            </w:r>
            <w:r>
              <w:rPr>
                <w:rFonts w:ascii="宋体" w:hAnsi="宋体" w:cs="宋体" w:eastAsia="宋体" w:hint="default"/>
                <w:spacing w:val="-37"/>
                <w:sz w:val="18"/>
                <w:szCs w:val="18"/>
              </w:rPr>
              <w:t> </w:t>
            </w:r>
            <w:r>
              <w:rPr>
                <w:rFonts w:ascii="宋体" w:hAnsi="宋体" w:cs="宋体" w:eastAsia="宋体" w:hint="default"/>
                <w:sz w:val="18"/>
                <w:szCs w:val="18"/>
              </w:rPr>
              <w:t>27</w:t>
            </w:r>
            <w:r>
              <w:rPr>
                <w:rFonts w:ascii="宋体" w:hAnsi="宋体" w:cs="宋体" w:eastAsia="宋体" w:hint="default"/>
                <w:spacing w:val="-38"/>
                <w:sz w:val="18"/>
                <w:szCs w:val="18"/>
              </w:rPr>
              <w:t> </w:t>
            </w:r>
            <w:r>
              <w:rPr>
                <w:rFonts w:ascii="宋体" w:hAnsi="宋体" w:cs="宋体" w:eastAsia="宋体" w:hint="default"/>
                <w:sz w:val="18"/>
                <w:szCs w:val="18"/>
              </w:rPr>
              <w:t>名自然人承诺：</w:t>
            </w:r>
            <w:r>
              <w:rPr>
                <w:rFonts w:ascii="宋体" w:hAnsi="宋体" w:cs="宋体" w:eastAsia="宋体" w:hint="default"/>
                <w:sz w:val="18"/>
                <w:szCs w:val="18"/>
              </w:rPr>
              <w:t>1</w:t>
            </w:r>
            <w:r>
              <w:rPr>
                <w:rFonts w:ascii="宋体" w:hAnsi="宋体" w:cs="宋体" w:eastAsia="宋体" w:hint="default"/>
                <w:sz w:val="18"/>
                <w:szCs w:val="18"/>
              </w:rPr>
              <w:t>、关于避免</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同业竞争的承诺：（</w:t>
            </w:r>
            <w:r>
              <w:rPr>
                <w:rFonts w:ascii="宋体" w:hAnsi="宋体" w:cs="宋体" w:eastAsia="宋体" w:hint="default"/>
                <w:spacing w:val="-3"/>
                <w:sz w:val="18"/>
                <w:szCs w:val="18"/>
              </w:rPr>
              <w:t>1</w:t>
            </w:r>
            <w:r>
              <w:rPr>
                <w:rFonts w:ascii="宋体" w:hAnsi="宋体" w:cs="宋体" w:eastAsia="宋体" w:hint="default"/>
                <w:spacing w:val="-3"/>
                <w:sz w:val="18"/>
                <w:szCs w:val="18"/>
              </w:rPr>
              <w:t>）本次交易完成后，在作为光一科技</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股东期间，本人或本人近亲属及本人或本人近亲属控制的</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69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310" w:lineRule="atLeast" w:before="73"/>
              <w:ind w:left="20" w:right="1"/>
              <w:jc w:val="left"/>
              <w:rPr>
                <w:rFonts w:ascii="宋体" w:hAnsi="宋体" w:cs="宋体" w:eastAsia="宋体" w:hint="default"/>
                <w:sz w:val="18"/>
                <w:szCs w:val="18"/>
              </w:rPr>
            </w:pPr>
            <w:r>
              <w:rPr>
                <w:rFonts w:ascii="宋体" w:hAnsi="宋体" w:cs="宋体" w:eastAsia="宋体" w:hint="default"/>
                <w:spacing w:val="-4"/>
                <w:sz w:val="18"/>
                <w:szCs w:val="18"/>
              </w:rPr>
              <w:t>任昌兆、任晶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晶、魏法旭、</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1" w:right="21"/>
              <w:jc w:val="left"/>
              <w:rPr>
                <w:rFonts w:ascii="宋体" w:hAnsi="宋体" w:cs="宋体" w:eastAsia="宋体" w:hint="default"/>
                <w:sz w:val="18"/>
                <w:szCs w:val="18"/>
              </w:rPr>
            </w:pPr>
            <w:r>
              <w:rPr>
                <w:rFonts w:ascii="宋体" w:hAnsi="宋体" w:cs="宋体" w:eastAsia="宋体" w:hint="default"/>
                <w:sz w:val="18"/>
                <w:szCs w:val="18"/>
              </w:rPr>
              <w:t>其他企业不会直接或间接从事任何与光一科技及其下属公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司主要经营业务构成同业竞争或潜在同业竞争关系的生产</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left="20" w:right="0"/>
              <w:jc w:val="left"/>
              <w:rPr>
                <w:rFonts w:ascii="宋体" w:hAnsi="宋体" w:cs="宋体" w:eastAsia="宋体" w:hint="default"/>
                <w:sz w:val="18"/>
                <w:szCs w:val="18"/>
              </w:rPr>
            </w:pPr>
            <w:r>
              <w:rPr>
                <w:rFonts w:ascii="宋体" w:hAnsi="宋体" w:cs="宋体" w:eastAsia="宋体" w:hint="default"/>
                <w:spacing w:val="-4"/>
                <w:sz w:val="18"/>
                <w:szCs w:val="18"/>
              </w:rPr>
              <w:t>郑丽蓉、邓丽</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1" w:right="0"/>
              <w:jc w:val="left"/>
              <w:rPr>
                <w:rFonts w:ascii="宋体" w:hAnsi="宋体" w:cs="宋体" w:eastAsia="宋体" w:hint="default"/>
                <w:sz w:val="18"/>
                <w:szCs w:val="18"/>
              </w:rPr>
            </w:pPr>
            <w:r>
              <w:rPr>
                <w:rFonts w:ascii="宋体" w:hAnsi="宋体" w:cs="宋体" w:eastAsia="宋体" w:hint="default"/>
                <w:sz w:val="18"/>
                <w:szCs w:val="18"/>
              </w:rPr>
              <w:t>与经营业务，亦不会投资任何与光一科技及其下属公司主</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left="20" w:right="0"/>
              <w:jc w:val="left"/>
              <w:rPr>
                <w:rFonts w:ascii="宋体" w:hAnsi="宋体" w:cs="宋体" w:eastAsia="宋体" w:hint="default"/>
                <w:sz w:val="18"/>
                <w:szCs w:val="18"/>
              </w:rPr>
            </w:pPr>
            <w:r>
              <w:rPr>
                <w:rFonts w:ascii="宋体" w:hAnsi="宋体" w:cs="宋体" w:eastAsia="宋体" w:hint="default"/>
                <w:sz w:val="18"/>
                <w:szCs w:val="18"/>
              </w:rPr>
              <w:t>萍、赵业香、</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1" w:right="0"/>
              <w:jc w:val="left"/>
              <w:rPr>
                <w:rFonts w:ascii="宋体" w:hAnsi="宋体" w:cs="宋体" w:eastAsia="宋体" w:hint="default"/>
                <w:sz w:val="18"/>
                <w:szCs w:val="18"/>
              </w:rPr>
            </w:pPr>
            <w:r>
              <w:rPr>
                <w:rFonts w:ascii="宋体" w:hAnsi="宋体" w:cs="宋体" w:eastAsia="宋体" w:hint="default"/>
                <w:spacing w:val="7"/>
                <w:sz w:val="18"/>
                <w:szCs w:val="18"/>
              </w:rPr>
              <w:t>要经营业务构成同业竞争或潜在同业竞争关系的其他企</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left="20" w:right="0"/>
              <w:jc w:val="left"/>
              <w:rPr>
                <w:rFonts w:ascii="宋体" w:hAnsi="宋体" w:cs="宋体" w:eastAsia="宋体" w:hint="default"/>
                <w:sz w:val="18"/>
                <w:szCs w:val="18"/>
              </w:rPr>
            </w:pPr>
            <w:r>
              <w:rPr>
                <w:rFonts w:ascii="宋体" w:hAnsi="宋体" w:cs="宋体" w:eastAsia="宋体" w:hint="default"/>
                <w:spacing w:val="-4"/>
                <w:sz w:val="18"/>
                <w:szCs w:val="18"/>
              </w:rPr>
              <w:t>桂长钟、李善</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1" w:right="0"/>
              <w:jc w:val="left"/>
              <w:rPr>
                <w:rFonts w:ascii="宋体" w:hAnsi="宋体" w:cs="宋体" w:eastAsia="宋体" w:hint="default"/>
                <w:sz w:val="18"/>
                <w:szCs w:val="18"/>
              </w:rPr>
            </w:pPr>
            <w:r>
              <w:rPr>
                <w:rFonts w:ascii="宋体" w:hAnsi="宋体" w:cs="宋体" w:eastAsia="宋体" w:hint="default"/>
                <w:spacing w:val="-3"/>
                <w:sz w:val="18"/>
                <w:szCs w:val="18"/>
              </w:rPr>
              <w:t>业。（</w:t>
            </w:r>
            <w:r>
              <w:rPr>
                <w:rFonts w:ascii="宋体" w:hAnsi="宋体" w:cs="宋体" w:eastAsia="宋体" w:hint="default"/>
                <w:spacing w:val="-3"/>
                <w:sz w:val="18"/>
                <w:szCs w:val="18"/>
              </w:rPr>
              <w:t>2</w:t>
            </w:r>
            <w:r>
              <w:rPr>
                <w:rFonts w:ascii="宋体" w:hAnsi="宋体" w:cs="宋体" w:eastAsia="宋体" w:hint="default"/>
                <w:spacing w:val="-3"/>
                <w:sz w:val="18"/>
                <w:szCs w:val="18"/>
              </w:rPr>
              <w:t>）在上述期间，如本人或本人近亲属及本人或本人</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left="20" w:right="0"/>
              <w:jc w:val="left"/>
              <w:rPr>
                <w:rFonts w:ascii="宋体" w:hAnsi="宋体" w:cs="宋体" w:eastAsia="宋体" w:hint="default"/>
                <w:sz w:val="18"/>
                <w:szCs w:val="18"/>
              </w:rPr>
            </w:pPr>
            <w:r>
              <w:rPr>
                <w:rFonts w:ascii="宋体" w:hAnsi="宋体" w:cs="宋体" w:eastAsia="宋体" w:hint="default"/>
                <w:spacing w:val="-4"/>
                <w:sz w:val="18"/>
                <w:szCs w:val="18"/>
              </w:rPr>
              <w:t>元、梁蓉、廖</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1" w:right="0"/>
              <w:jc w:val="left"/>
              <w:rPr>
                <w:rFonts w:ascii="宋体" w:hAnsi="宋体" w:cs="宋体" w:eastAsia="宋体" w:hint="default"/>
                <w:sz w:val="18"/>
                <w:szCs w:val="18"/>
              </w:rPr>
            </w:pPr>
            <w:r>
              <w:rPr>
                <w:rFonts w:ascii="宋体" w:hAnsi="宋体" w:cs="宋体" w:eastAsia="宋体" w:hint="default"/>
                <w:sz w:val="18"/>
                <w:szCs w:val="18"/>
              </w:rPr>
              <w:t>近亲属控制的企业的现有业务或该等企业为进一步拓展业</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187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310" w:lineRule="atLeast" w:before="4"/>
              <w:ind w:left="20" w:right="-17"/>
              <w:jc w:val="both"/>
              <w:rPr>
                <w:rFonts w:ascii="宋体" w:hAnsi="宋体" w:cs="宋体" w:eastAsia="宋体" w:hint="default"/>
                <w:sz w:val="18"/>
                <w:szCs w:val="18"/>
              </w:rPr>
            </w:pPr>
            <w:r>
              <w:rPr>
                <w:rFonts w:ascii="宋体" w:hAnsi="宋体" w:cs="宋体" w:eastAsia="宋体" w:hint="default"/>
                <w:spacing w:val="31"/>
                <w:sz w:val="18"/>
                <w:szCs w:val="18"/>
              </w:rPr>
              <w:t>庆生、郑立</w:t>
            </w:r>
            <w:r>
              <w:rPr>
                <w:rFonts w:ascii="宋体" w:hAnsi="宋体" w:cs="宋体" w:eastAsia="宋体" w:hint="default"/>
                <w:spacing w:val="-51"/>
                <w:sz w:val="18"/>
                <w:szCs w:val="18"/>
              </w:rPr>
              <w:t> </w:t>
            </w:r>
            <w:r>
              <w:rPr>
                <w:rFonts w:ascii="宋体" w:hAnsi="宋体" w:cs="宋体" w:eastAsia="宋体" w:hint="default"/>
                <w:spacing w:val="-4"/>
                <w:sz w:val="18"/>
                <w:szCs w:val="18"/>
              </w:rPr>
              <w:t>筠、周军、田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1"/>
                <w:sz w:val="18"/>
                <w:szCs w:val="18"/>
              </w:rPr>
              <w:t>裕树、张天</w:t>
            </w:r>
            <w:r>
              <w:rPr>
                <w:rFonts w:ascii="宋体" w:hAnsi="宋体" w:cs="宋体" w:eastAsia="宋体" w:hint="default"/>
                <w:spacing w:val="-51"/>
                <w:sz w:val="18"/>
                <w:szCs w:val="18"/>
              </w:rPr>
              <w:t> </w:t>
            </w:r>
            <w:r>
              <w:rPr>
                <w:rFonts w:ascii="宋体" w:hAnsi="宋体" w:cs="宋体" w:eastAsia="宋体" w:hint="default"/>
                <w:spacing w:val="-4"/>
                <w:sz w:val="18"/>
                <w:szCs w:val="18"/>
              </w:rPr>
              <w:t>祯、王平、方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1"/>
                <w:sz w:val="18"/>
                <w:szCs w:val="18"/>
              </w:rPr>
              <w:t>旭东、何传</w:t>
            </w:r>
            <w:r>
              <w:rPr>
                <w:rFonts w:ascii="宋体" w:hAnsi="宋体" w:cs="宋体" w:eastAsia="宋体" w:hint="default"/>
                <w:spacing w:val="-51"/>
                <w:sz w:val="18"/>
                <w:szCs w:val="18"/>
              </w:rPr>
              <w:t> </w:t>
            </w:r>
            <w:r>
              <w:rPr>
                <w:rFonts w:ascii="宋体" w:hAnsi="宋体" w:cs="宋体" w:eastAsia="宋体" w:hint="default"/>
                <w:sz w:val="18"/>
                <w:szCs w:val="18"/>
              </w:rPr>
              <w:t>柏、郭明亮、</w:t>
            </w:r>
          </w:p>
        </w:tc>
        <w:tc>
          <w:tcPr>
            <w:tcW w:w="86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316" w:lineRule="auto"/>
              <w:ind w:left="20" w:right="-13"/>
              <w:jc w:val="both"/>
              <w:rPr>
                <w:rFonts w:ascii="宋体" w:hAnsi="宋体" w:cs="宋体" w:eastAsia="宋体" w:hint="default"/>
                <w:sz w:val="18"/>
                <w:szCs w:val="18"/>
              </w:rPr>
            </w:pPr>
            <w:r>
              <w:rPr>
                <w:rFonts w:ascii="宋体" w:hAnsi="宋体" w:cs="宋体" w:eastAsia="宋体" w:hint="default"/>
                <w:spacing w:val="23"/>
                <w:sz w:val="18"/>
                <w:szCs w:val="18"/>
              </w:rPr>
              <w:t>关于同业</w:t>
            </w:r>
            <w:r>
              <w:rPr>
                <w:rFonts w:ascii="宋体" w:hAnsi="宋体" w:cs="宋体" w:eastAsia="宋体" w:hint="default"/>
                <w:spacing w:val="-59"/>
                <w:sz w:val="18"/>
                <w:szCs w:val="18"/>
              </w:rPr>
              <w:t> </w:t>
            </w:r>
            <w:r>
              <w:rPr>
                <w:rFonts w:ascii="宋体" w:hAnsi="宋体" w:cs="宋体" w:eastAsia="宋体" w:hint="default"/>
                <w:spacing w:val="-18"/>
                <w:sz w:val="18"/>
                <w:szCs w:val="18"/>
              </w:rPr>
              <w:t>竞争、关联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8"/>
                <w:sz w:val="18"/>
                <w:szCs w:val="18"/>
              </w:rPr>
              <w:t>交易、资金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3"/>
                <w:sz w:val="18"/>
                <w:szCs w:val="18"/>
              </w:rPr>
              <w:t>占用方面</w:t>
            </w:r>
            <w:r>
              <w:rPr>
                <w:rFonts w:ascii="宋体" w:hAnsi="宋体" w:cs="宋体" w:eastAsia="宋体" w:hint="default"/>
                <w:spacing w:val="-59"/>
                <w:sz w:val="18"/>
                <w:szCs w:val="18"/>
              </w:rPr>
              <w:t> </w:t>
            </w:r>
            <w:r>
              <w:rPr>
                <w:rFonts w:ascii="宋体" w:hAnsi="宋体" w:cs="宋体" w:eastAsia="宋体" w:hint="default"/>
                <w:sz w:val="18"/>
                <w:szCs w:val="18"/>
              </w:rPr>
              <w:t>的承诺</w:t>
            </w: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1" w:right="0"/>
              <w:jc w:val="both"/>
              <w:rPr>
                <w:rFonts w:ascii="宋体" w:hAnsi="宋体" w:cs="宋体" w:eastAsia="宋体" w:hint="default"/>
                <w:sz w:val="18"/>
                <w:szCs w:val="18"/>
              </w:rPr>
            </w:pPr>
            <w:r>
              <w:rPr>
                <w:rFonts w:ascii="宋体" w:hAnsi="宋体" w:cs="宋体" w:eastAsia="宋体" w:hint="default"/>
                <w:sz w:val="18"/>
                <w:szCs w:val="18"/>
              </w:rPr>
              <w:t>务范围，与光一科技及其下属公司经营的业务产生竞争，</w:t>
            </w:r>
          </w:p>
          <w:p>
            <w:pPr>
              <w:pStyle w:val="TableParagraph"/>
              <w:spacing w:line="316" w:lineRule="auto" w:before="76"/>
              <w:ind w:left="21" w:right="21"/>
              <w:jc w:val="both"/>
              <w:rPr>
                <w:rFonts w:ascii="宋体" w:hAnsi="宋体" w:cs="宋体" w:eastAsia="宋体" w:hint="default"/>
                <w:sz w:val="18"/>
                <w:szCs w:val="18"/>
              </w:rPr>
            </w:pPr>
            <w:r>
              <w:rPr>
                <w:rFonts w:ascii="宋体" w:hAnsi="宋体" w:cs="宋体" w:eastAsia="宋体" w:hint="default"/>
                <w:sz w:val="18"/>
                <w:szCs w:val="18"/>
              </w:rPr>
              <w:t>则本人或本人近亲属及本人或本人近亲属控制的企业将采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取停止经营产生竞争的业务的方式，或者采取将产生竞争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的业务纳入光一科技的方式，或者采取将产生竞争的业务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转让给无关联关系第三方等的合法方式，使本人或本人近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亲属及本人或本人近亲属控制的企业不再从事与光一科技</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7"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left="20" w:right="0"/>
              <w:jc w:val="left"/>
              <w:rPr>
                <w:rFonts w:ascii="宋体" w:hAnsi="宋体" w:cs="宋体" w:eastAsia="宋体" w:hint="default"/>
                <w:sz w:val="18"/>
                <w:szCs w:val="18"/>
              </w:rPr>
            </w:pPr>
            <w:r>
              <w:rPr>
                <w:rFonts w:ascii="宋体" w:hAnsi="宋体" w:cs="宋体" w:eastAsia="宋体" w:hint="default"/>
                <w:spacing w:val="-4"/>
                <w:sz w:val="18"/>
                <w:szCs w:val="18"/>
              </w:rPr>
              <w:t>毛为国、门崇</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1" w:right="0"/>
              <w:jc w:val="left"/>
              <w:rPr>
                <w:rFonts w:ascii="宋体" w:hAnsi="宋体" w:cs="宋体" w:eastAsia="宋体" w:hint="default"/>
                <w:sz w:val="18"/>
                <w:szCs w:val="18"/>
              </w:rPr>
            </w:pPr>
            <w:r>
              <w:rPr>
                <w:rFonts w:ascii="宋体" w:hAnsi="宋体" w:cs="宋体" w:eastAsia="宋体" w:hint="default"/>
                <w:spacing w:val="-3"/>
                <w:sz w:val="18"/>
                <w:szCs w:val="18"/>
              </w:rPr>
              <w:t>主营业务相同或类似的业务。（</w:t>
            </w:r>
            <w:r>
              <w:rPr>
                <w:rFonts w:ascii="宋体" w:hAnsi="宋体" w:cs="宋体" w:eastAsia="宋体" w:hint="default"/>
                <w:spacing w:val="-3"/>
                <w:sz w:val="18"/>
                <w:szCs w:val="18"/>
              </w:rPr>
              <w:t>3</w:t>
            </w:r>
            <w:r>
              <w:rPr>
                <w:rFonts w:ascii="宋体" w:hAnsi="宋体" w:cs="宋体" w:eastAsia="宋体" w:hint="default"/>
                <w:spacing w:val="-3"/>
                <w:sz w:val="18"/>
                <w:szCs w:val="18"/>
              </w:rPr>
              <w:t>）本函自签署出具之日起</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left="20" w:right="0"/>
              <w:jc w:val="left"/>
              <w:rPr>
                <w:rFonts w:ascii="宋体" w:hAnsi="宋体" w:cs="宋体" w:eastAsia="宋体" w:hint="default"/>
                <w:sz w:val="18"/>
                <w:szCs w:val="18"/>
              </w:rPr>
            </w:pPr>
            <w:r>
              <w:rPr>
                <w:rFonts w:ascii="宋体" w:hAnsi="宋体" w:cs="宋体" w:eastAsia="宋体" w:hint="default"/>
                <w:spacing w:val="-4"/>
                <w:sz w:val="18"/>
                <w:szCs w:val="18"/>
              </w:rPr>
              <w:t>喜、李强、徐</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1" w:right="0"/>
              <w:jc w:val="left"/>
              <w:rPr>
                <w:rFonts w:ascii="宋体" w:hAnsi="宋体" w:cs="宋体" w:eastAsia="宋体" w:hint="default"/>
                <w:sz w:val="18"/>
                <w:szCs w:val="18"/>
              </w:rPr>
            </w:pPr>
            <w:r>
              <w:rPr>
                <w:rFonts w:ascii="宋体" w:hAnsi="宋体" w:cs="宋体" w:eastAsia="宋体" w:hint="default"/>
                <w:sz w:val="18"/>
                <w:szCs w:val="18"/>
              </w:rPr>
              <w:t>立即生效，即对本人具有法律约束力。自本函生效至本人</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left="20" w:right="0"/>
              <w:jc w:val="left"/>
              <w:rPr>
                <w:rFonts w:ascii="宋体" w:hAnsi="宋体" w:cs="宋体" w:eastAsia="宋体" w:hint="default"/>
                <w:sz w:val="18"/>
                <w:szCs w:val="18"/>
              </w:rPr>
            </w:pPr>
            <w:r>
              <w:rPr>
                <w:rFonts w:ascii="宋体" w:hAnsi="宋体" w:cs="宋体" w:eastAsia="宋体" w:hint="default"/>
                <w:sz w:val="18"/>
                <w:szCs w:val="18"/>
              </w:rPr>
              <w:t>光涛、文涛、</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1" w:right="0"/>
              <w:jc w:val="left"/>
              <w:rPr>
                <w:rFonts w:ascii="宋体" w:hAnsi="宋体" w:cs="宋体" w:eastAsia="宋体" w:hint="default"/>
                <w:sz w:val="18"/>
                <w:szCs w:val="18"/>
              </w:rPr>
            </w:pPr>
            <w:r>
              <w:rPr>
                <w:rFonts w:ascii="宋体" w:hAnsi="宋体" w:cs="宋体" w:eastAsia="宋体" w:hint="default"/>
                <w:sz w:val="18"/>
                <w:szCs w:val="18"/>
              </w:rPr>
              <w:t>作为光一科技股东的任何时候，本人将严格遵守并履行本</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left="20" w:right="-17"/>
              <w:jc w:val="left"/>
              <w:rPr>
                <w:rFonts w:ascii="宋体" w:hAnsi="宋体" w:cs="宋体" w:eastAsia="宋体" w:hint="default"/>
                <w:sz w:val="18"/>
                <w:szCs w:val="18"/>
              </w:rPr>
            </w:pPr>
            <w:r>
              <w:rPr>
                <w:rFonts w:ascii="宋体" w:hAnsi="宋体" w:cs="宋体" w:eastAsia="宋体" w:hint="default"/>
                <w:spacing w:val="31"/>
                <w:sz w:val="18"/>
                <w:szCs w:val="18"/>
              </w:rPr>
              <w:t>罗丹、彭娥</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1" w:right="0"/>
              <w:jc w:val="left"/>
              <w:rPr>
                <w:rFonts w:ascii="宋体" w:hAnsi="宋体" w:cs="宋体" w:eastAsia="宋体" w:hint="default"/>
                <w:sz w:val="18"/>
                <w:szCs w:val="18"/>
              </w:rPr>
            </w:pPr>
            <w:r>
              <w:rPr>
                <w:rFonts w:ascii="宋体" w:hAnsi="宋体" w:cs="宋体" w:eastAsia="宋体" w:hint="default"/>
                <w:sz w:val="18"/>
                <w:szCs w:val="18"/>
              </w:rPr>
              <w:t>函所作的承诺及保证义务；对于违反本函承诺及保证义务</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left="20" w:right="0"/>
              <w:jc w:val="left"/>
              <w:rPr>
                <w:rFonts w:ascii="宋体" w:hAnsi="宋体" w:cs="宋体" w:eastAsia="宋体" w:hint="default"/>
                <w:sz w:val="18"/>
                <w:szCs w:val="18"/>
              </w:rPr>
            </w:pPr>
            <w:r>
              <w:rPr>
                <w:rFonts w:ascii="宋体" w:hAnsi="宋体" w:cs="宋体" w:eastAsia="宋体" w:hint="default"/>
                <w:spacing w:val="-4"/>
                <w:sz w:val="18"/>
                <w:szCs w:val="18"/>
              </w:rPr>
              <w:t>昌、张红、陈</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1" w:right="0"/>
              <w:jc w:val="left"/>
              <w:rPr>
                <w:rFonts w:ascii="宋体" w:hAnsi="宋体" w:cs="宋体" w:eastAsia="宋体" w:hint="default"/>
                <w:sz w:val="18"/>
                <w:szCs w:val="18"/>
              </w:rPr>
            </w:pPr>
            <w:r>
              <w:rPr>
                <w:rFonts w:ascii="宋体" w:hAnsi="宋体" w:cs="宋体" w:eastAsia="宋体" w:hint="default"/>
                <w:sz w:val="18"/>
                <w:szCs w:val="18"/>
              </w:rPr>
              <w:t>的，本人承诺采取一切必要且有效的措施及时纠正消除由</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556"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9"/>
              <w:ind w:left="20" w:right="0"/>
              <w:jc w:val="left"/>
              <w:rPr>
                <w:rFonts w:ascii="宋体" w:hAnsi="宋体" w:cs="宋体" w:eastAsia="宋体" w:hint="default"/>
                <w:sz w:val="18"/>
                <w:szCs w:val="18"/>
              </w:rPr>
            </w:pPr>
            <w:r>
              <w:rPr>
                <w:rFonts w:ascii="宋体" w:hAnsi="宋体" w:cs="宋体" w:eastAsia="宋体" w:hint="default"/>
                <w:sz w:val="18"/>
                <w:szCs w:val="18"/>
              </w:rPr>
              <w:t>世勇</w:t>
            </w: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1" w:right="0"/>
              <w:jc w:val="left"/>
              <w:rPr>
                <w:rFonts w:ascii="宋体" w:hAnsi="宋体" w:cs="宋体" w:eastAsia="宋体" w:hint="default"/>
                <w:sz w:val="18"/>
                <w:szCs w:val="18"/>
              </w:rPr>
            </w:pPr>
            <w:r>
              <w:rPr>
                <w:rFonts w:ascii="宋体" w:hAnsi="宋体" w:cs="宋体" w:eastAsia="宋体" w:hint="default"/>
                <w:sz w:val="18"/>
                <w:szCs w:val="18"/>
              </w:rPr>
              <w:t>此造成光一科技的不利影响，并对造成光一科技直接和间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接损失承担赔偿责任</w:t>
            </w:r>
            <w:r>
              <w:rPr>
                <w:rFonts w:ascii="宋体" w:hAnsi="宋体" w:cs="宋体" w:eastAsia="宋体" w:hint="default"/>
                <w:spacing w:val="-82"/>
                <w:sz w:val="18"/>
                <w:szCs w:val="18"/>
              </w:rPr>
              <w:t>。</w:t>
            </w:r>
            <w:r>
              <w:rPr>
                <w:rFonts w:ascii="宋体" w:hAnsi="宋体" w:cs="宋体" w:eastAsia="宋体"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关于</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）本次交易完成后，本人或本人近亲属及本人或本人近</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亲属直接或间接控制或影响的企业与重组后的光一科技及</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其控股企业之间将减少并尽可能避免关联交易。对于无法</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避免或者有合理原因而发生的关联交易，本人或本人近亲</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4"/>
                <w:sz w:val="18"/>
                <w:szCs w:val="18"/>
              </w:rPr>
              <w:t>属承诺将按照公平、公允、</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履行合法程序，并将按照有关法律、法规、其他规范性文</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03" w:type="dxa"/>
            <w:vMerge/>
            <w:tcBorders>
              <w:left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nil" w:sz="6" w:space="0" w:color="auto"/>
              <w:right w:val="single" w:sz="6" w:space="0" w:color="000000"/>
            </w:tcBorders>
          </w:tcPr>
          <w:p>
            <w:pPr/>
          </w:p>
        </w:tc>
        <w:tc>
          <w:tcPr>
            <w:tcW w:w="868" w:type="dxa"/>
            <w:tcBorders>
              <w:top w:val="nil" w:sz="6" w:space="0" w:color="auto"/>
              <w:left w:val="single" w:sz="6" w:space="0" w:color="000000"/>
              <w:bottom w:val="nil" w:sz="6" w:space="0" w:color="auto"/>
              <w:right w:val="single" w:sz="6" w:space="0" w:color="000000"/>
            </w:tcBorders>
          </w:tcPr>
          <w:p>
            <w:pPr/>
          </w:p>
        </w:tc>
        <w:tc>
          <w:tcPr>
            <w:tcW w:w="45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件以及光一科技公司章程等的规定，依法履行相关内部决</w:t>
            </w:r>
          </w:p>
        </w:tc>
        <w:tc>
          <w:tcPr>
            <w:tcW w:w="851"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7" w:type="dxa"/>
            <w:tcBorders>
              <w:top w:val="nil" w:sz="6" w:space="0" w:color="auto"/>
              <w:left w:val="single" w:sz="6" w:space="0" w:color="000000"/>
              <w:bottom w:val="nil" w:sz="6" w:space="0" w:color="auto"/>
              <w:right w:val="single" w:sz="12" w:space="0" w:color="000000"/>
            </w:tcBorders>
          </w:tcPr>
          <w:p>
            <w:pPr/>
          </w:p>
        </w:tc>
      </w:tr>
      <w:tr>
        <w:trPr>
          <w:trHeight w:val="327" w:hRule="exact"/>
        </w:trPr>
        <w:tc>
          <w:tcPr>
            <w:tcW w:w="1703" w:type="dxa"/>
            <w:vMerge/>
            <w:tcBorders>
              <w:left w:val="single" w:sz="12" w:space="0" w:color="000000"/>
              <w:bottom w:val="single" w:sz="12" w:space="0" w:color="000000"/>
              <w:right w:val="single" w:sz="6" w:space="0" w:color="000000"/>
            </w:tcBorders>
            <w:shd w:val="clear" w:color="auto" w:fill="D2D2D2"/>
          </w:tcPr>
          <w:p>
            <w:pPr/>
          </w:p>
        </w:tc>
        <w:tc>
          <w:tcPr>
            <w:tcW w:w="1116" w:type="dxa"/>
            <w:tcBorders>
              <w:top w:val="nil" w:sz="6" w:space="0" w:color="auto"/>
              <w:left w:val="single" w:sz="6" w:space="0" w:color="000000"/>
              <w:bottom w:val="single" w:sz="12" w:space="0" w:color="000000"/>
              <w:right w:val="single" w:sz="6" w:space="0" w:color="000000"/>
            </w:tcBorders>
          </w:tcPr>
          <w:p>
            <w:pPr/>
          </w:p>
        </w:tc>
        <w:tc>
          <w:tcPr>
            <w:tcW w:w="868" w:type="dxa"/>
            <w:tcBorders>
              <w:top w:val="nil" w:sz="6" w:space="0" w:color="auto"/>
              <w:left w:val="single" w:sz="6" w:space="0" w:color="000000"/>
              <w:bottom w:val="single" w:sz="12" w:space="0" w:color="000000"/>
              <w:right w:val="single" w:sz="6" w:space="0" w:color="000000"/>
            </w:tcBorders>
          </w:tcPr>
          <w:p>
            <w:pPr/>
          </w:p>
        </w:tc>
        <w:tc>
          <w:tcPr>
            <w:tcW w:w="457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策批准程序并及时履行信息披露义务，保证不以与市场价</w:t>
            </w:r>
          </w:p>
        </w:tc>
        <w:tc>
          <w:tcPr>
            <w:tcW w:w="851" w:type="dxa"/>
            <w:tcBorders>
              <w:top w:val="nil" w:sz="6" w:space="0" w:color="auto"/>
              <w:left w:val="single" w:sz="6" w:space="0" w:color="000000"/>
              <w:bottom w:val="single" w:sz="12" w:space="0" w:color="000000"/>
              <w:right w:val="single" w:sz="6" w:space="0" w:color="000000"/>
            </w:tcBorders>
          </w:tcPr>
          <w:p>
            <w:pPr/>
          </w:p>
        </w:tc>
        <w:tc>
          <w:tcPr>
            <w:tcW w:w="851" w:type="dxa"/>
            <w:tcBorders>
              <w:top w:val="nil" w:sz="6" w:space="0" w:color="auto"/>
              <w:left w:val="single" w:sz="6" w:space="0" w:color="000000"/>
              <w:bottom w:val="single" w:sz="12" w:space="0" w:color="000000"/>
              <w:right w:val="single" w:sz="6" w:space="0" w:color="000000"/>
            </w:tcBorders>
          </w:tcPr>
          <w:p>
            <w:pPr/>
          </w:p>
        </w:tc>
        <w:tc>
          <w:tcPr>
            <w:tcW w:w="777"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418.21402pt;margin-top:73.499985pt;width:66.150pt;height:641.65pt;mso-position-horizontal-relative:page;mso-position-vertical-relative:page;z-index:-9176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公允、</w:t>
                  </w:r>
                </w:p>
              </w:txbxContent>
            </v:textbox>
            <w10:wrap type="none"/>
          </v:shape>
        </w:pict>
      </w:r>
    </w:p>
    <w:p>
      <w:pPr>
        <w:spacing w:line="240" w:lineRule="auto" w:before="7"/>
        <w:rPr>
          <w:rFonts w:ascii="Times New Roman" w:hAnsi="Times New Roman" w:cs="Times New Roman" w:eastAsia="Times New Roman" w:hint="default"/>
          <w:sz w:val="14"/>
          <w:szCs w:val="14"/>
        </w:rPr>
      </w:pPr>
    </w:p>
    <w:tbl>
      <w:tblPr>
        <w:tblW w:w="0" w:type="auto"/>
        <w:jc w:val="left"/>
        <w:tblInd w:w="568" w:type="dxa"/>
        <w:tblLayout w:type="fixed"/>
        <w:tblCellMar>
          <w:top w:w="0" w:type="dxa"/>
          <w:left w:w="0" w:type="dxa"/>
          <w:bottom w:w="0" w:type="dxa"/>
          <w:right w:w="0" w:type="dxa"/>
        </w:tblCellMar>
        <w:tblLook w:val="01E0"/>
      </w:tblPr>
      <w:tblGrid>
        <w:gridCol w:w="1703"/>
        <w:gridCol w:w="1116"/>
        <w:gridCol w:w="868"/>
        <w:gridCol w:w="4573"/>
        <w:gridCol w:w="851"/>
        <w:gridCol w:w="851"/>
        <w:gridCol w:w="785"/>
      </w:tblGrid>
      <w:tr>
        <w:trPr>
          <w:trHeight w:val="12855" w:hRule="exact"/>
        </w:trPr>
        <w:tc>
          <w:tcPr>
            <w:tcW w:w="1703" w:type="dxa"/>
            <w:vMerge w:val="restart"/>
            <w:tcBorders>
              <w:top w:val="single" w:sz="12" w:space="0" w:color="000000"/>
              <w:left w:val="single" w:sz="12" w:space="0" w:color="000000"/>
              <w:right w:val="single" w:sz="6" w:space="0" w:color="000000"/>
            </w:tcBorders>
            <w:shd w:val="clear" w:color="auto" w:fill="D2D2D2"/>
          </w:tcPr>
          <w:p>
            <w:pPr/>
          </w:p>
        </w:tc>
        <w:tc>
          <w:tcPr>
            <w:tcW w:w="1116" w:type="dxa"/>
            <w:tcBorders>
              <w:top w:val="single" w:sz="12" w:space="0" w:color="000000"/>
              <w:left w:val="single" w:sz="6" w:space="0" w:color="000000"/>
              <w:bottom w:val="single" w:sz="6" w:space="0" w:color="000000"/>
              <w:right w:val="single" w:sz="6" w:space="0" w:color="000000"/>
            </w:tcBorders>
          </w:tcPr>
          <w:p>
            <w:pPr/>
          </w:p>
        </w:tc>
        <w:tc>
          <w:tcPr>
            <w:tcW w:w="868" w:type="dxa"/>
            <w:tcBorders>
              <w:top w:val="single" w:sz="12" w:space="0" w:color="000000"/>
              <w:left w:val="single" w:sz="6" w:space="0" w:color="000000"/>
              <w:bottom w:val="single" w:sz="6" w:space="0" w:color="000000"/>
              <w:right w:val="single" w:sz="6" w:space="0" w:color="000000"/>
            </w:tcBorders>
          </w:tcPr>
          <w:p>
            <w:pPr/>
          </w:p>
        </w:tc>
        <w:tc>
          <w:tcPr>
            <w:tcW w:w="4573"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21" w:right="21"/>
              <w:jc w:val="both"/>
              <w:rPr>
                <w:rFonts w:ascii="宋体" w:hAnsi="宋体" w:cs="宋体" w:eastAsia="宋体" w:hint="default"/>
                <w:sz w:val="18"/>
                <w:szCs w:val="18"/>
              </w:rPr>
            </w:pPr>
            <w:r>
              <w:rPr>
                <w:rFonts w:ascii="宋体" w:hAnsi="宋体" w:cs="宋体" w:eastAsia="宋体" w:hint="default"/>
                <w:sz w:val="18"/>
                <w:szCs w:val="18"/>
              </w:rPr>
              <w:t>格相比显失公允的条件与光一科技进行交易，保证不利用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关联交易非法转移光一科技的资金、利润，亦不利用该类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交易从事任何损害光一科技及其他股东合法权益的行为。</w:t>
            </w:r>
          </w:p>
          <w:p>
            <w:pPr>
              <w:pStyle w:val="TableParagraph"/>
              <w:spacing w:line="316" w:lineRule="auto" w:before="19"/>
              <w:ind w:left="21" w:right="17"/>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）本人或本人近亲属及本人或本人近亲属直接或间接控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制或影响的企业将严格避免向光一科技及其控股和参股公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司拆借、占用光一科技及其控股和参股公司资金或采取由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光一科技及其控股和参股公司代垫款、代偿债务等方式侵</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占光一科技资金。（</w:t>
            </w:r>
            <w:r>
              <w:rPr>
                <w:rFonts w:ascii="宋体" w:hAnsi="宋体" w:cs="宋体" w:eastAsia="宋体" w:hint="default"/>
                <w:spacing w:val="-3"/>
                <w:sz w:val="18"/>
                <w:szCs w:val="18"/>
              </w:rPr>
              <w:t>3</w:t>
            </w:r>
            <w:r>
              <w:rPr>
                <w:rFonts w:ascii="宋体" w:hAnsi="宋体" w:cs="宋体" w:eastAsia="宋体" w:hint="default"/>
                <w:spacing w:val="-3"/>
                <w:sz w:val="18"/>
                <w:szCs w:val="18"/>
              </w:rPr>
              <w:t>）本次交易完成后本人将继续严格按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照有关法律法规、规范性文件以及光一科技公司章程的有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关规定行使股东权利；在光一科技股东大会对有关涉及本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人的关联交易进行表决时，履行回避表决的义务。（</w:t>
            </w:r>
            <w:r>
              <w:rPr>
                <w:rFonts w:ascii="宋体" w:hAnsi="宋体" w:cs="宋体" w:eastAsia="宋体" w:hint="default"/>
                <w:spacing w:val="-4"/>
                <w:sz w:val="18"/>
                <w:szCs w:val="18"/>
              </w:rPr>
              <w:t>4</w:t>
            </w:r>
            <w:r>
              <w:rPr>
                <w:rFonts w:ascii="宋体" w:hAnsi="宋体" w:cs="宋体" w:eastAsia="宋体" w:hint="default"/>
                <w:spacing w:val="-4"/>
                <w:sz w:val="18"/>
                <w:szCs w:val="18"/>
              </w:rPr>
              <w:t>）本</w:t>
            </w:r>
            <w:r>
              <w:rPr>
                <w:rFonts w:ascii="宋体" w:hAnsi="宋体" w:cs="宋体" w:eastAsia="宋体" w:hint="default"/>
                <w:spacing w:val="-80"/>
                <w:sz w:val="18"/>
                <w:szCs w:val="18"/>
              </w:rPr>
              <w:t> </w:t>
            </w:r>
            <w:r>
              <w:rPr>
                <w:rFonts w:ascii="宋体" w:hAnsi="宋体" w:cs="宋体" w:eastAsia="宋体" w:hint="default"/>
                <w:sz w:val="18"/>
                <w:szCs w:val="18"/>
              </w:rPr>
              <w:t>人保证不通过关联交易取得任何不正当的利益或使光一科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技及其控股和参股公司承担任何不正当的义务。（</w:t>
            </w:r>
            <w:r>
              <w:rPr>
                <w:rFonts w:ascii="宋体" w:hAnsi="宋体" w:cs="宋体" w:eastAsia="宋体" w:hint="default"/>
                <w:spacing w:val="-3"/>
                <w:sz w:val="18"/>
                <w:szCs w:val="18"/>
              </w:rPr>
              <w:t>5</w:t>
            </w:r>
            <w:r>
              <w:rPr>
                <w:rFonts w:ascii="宋体" w:hAnsi="宋体" w:cs="宋体" w:eastAsia="宋体" w:hint="default"/>
                <w:spacing w:val="-3"/>
                <w:sz w:val="18"/>
                <w:szCs w:val="18"/>
              </w:rPr>
              <w:t>）如果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因违反上述承诺导致光一科技或其控股和参股公司损失或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利用关联交易侵占光一科技或其控股和参股公司利益的，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本人依法承担光一科技或其控股和参股公司的损失。</w:t>
            </w:r>
            <w:r>
              <w:rPr>
                <w:rFonts w:ascii="宋体" w:hAnsi="宋体" w:cs="宋体" w:eastAsia="宋体" w:hint="default"/>
                <w:spacing w:val="-5"/>
                <w:sz w:val="18"/>
                <w:szCs w:val="18"/>
              </w:rPr>
              <w:t>2</w:t>
            </w:r>
            <w:r>
              <w:rPr>
                <w:rFonts w:ascii="宋体" w:hAnsi="宋体" w:cs="宋体" w:eastAsia="宋体" w:hint="default"/>
                <w:spacing w:val="-5"/>
                <w:sz w:val="18"/>
                <w:szCs w:val="18"/>
              </w:rPr>
              <w:t>、关</w:t>
            </w:r>
            <w:r>
              <w:rPr>
                <w:rFonts w:ascii="宋体" w:hAnsi="宋体" w:cs="宋体" w:eastAsia="宋体" w:hint="default"/>
                <w:spacing w:val="-73"/>
                <w:sz w:val="18"/>
                <w:szCs w:val="18"/>
              </w:rPr>
              <w:t> </w:t>
            </w:r>
            <w:r>
              <w:rPr>
                <w:rFonts w:ascii="宋体" w:hAnsi="宋体" w:cs="宋体" w:eastAsia="宋体" w:hint="default"/>
                <w:spacing w:val="-3"/>
                <w:sz w:val="18"/>
                <w:szCs w:val="18"/>
              </w:rPr>
              <w:t>于减少和规范关联交易的承诺：（</w:t>
            </w:r>
            <w:r>
              <w:rPr>
                <w:rFonts w:ascii="宋体" w:hAnsi="宋体" w:cs="宋体" w:eastAsia="宋体" w:hint="default"/>
                <w:spacing w:val="-3"/>
                <w:sz w:val="18"/>
                <w:szCs w:val="18"/>
              </w:rPr>
              <w:t>1</w:t>
            </w:r>
            <w:r>
              <w:rPr>
                <w:rFonts w:ascii="宋体" w:hAnsi="宋体" w:cs="宋体" w:eastAsia="宋体" w:hint="default"/>
                <w:spacing w:val="-3"/>
                <w:sz w:val="18"/>
                <w:szCs w:val="18"/>
              </w:rPr>
              <w:t>）本次交易完成后，本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人或本人近亲属及本人或本人近亲属直接或间接控制或影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响的企业与重组后的光一科技及其控股企业之间将减少并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尽可能避免关联交易。对于无法避免或者有合理原因而发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生的关联交易，本人或本人近亲属承诺将按照公平、</w:t>
            </w:r>
            <w:r>
              <w:rPr>
                <w:rFonts w:ascii="宋体" w:hAnsi="宋体" w:cs="宋体" w:eastAsia="宋体" w:hint="default"/>
                <w:sz w:val="18"/>
                <w:szCs w:val="18"/>
              </w:rPr>
              <w:t> 等价有偿等原则依法签订协议，履行合法程序，并将按照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有关法律、法规、其他规范性文件以及光一科技公司章程</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等的规定，依法履行相关内部决策批准程序并及时履行信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息披露义务，保证不以与市场价格相比显失公允的条件与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光一科技进行交易，保证不利用关联交易非法转移光一科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技的资金、利润，亦不利用该类交易从事任何损害光一科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技及其他股东合法权益的行为。（</w:t>
            </w:r>
            <w:r>
              <w:rPr>
                <w:rFonts w:ascii="宋体" w:hAnsi="宋体" w:cs="宋体" w:eastAsia="宋体" w:hint="default"/>
                <w:spacing w:val="-3"/>
                <w:sz w:val="18"/>
                <w:szCs w:val="18"/>
              </w:rPr>
              <w:t>2</w:t>
            </w:r>
            <w:r>
              <w:rPr>
                <w:rFonts w:ascii="宋体" w:hAnsi="宋体" w:cs="宋体" w:eastAsia="宋体" w:hint="default"/>
                <w:spacing w:val="-3"/>
                <w:sz w:val="18"/>
                <w:szCs w:val="18"/>
              </w:rPr>
              <w:t>）本人或本人近亲属及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本人或本人近亲属直接或间接控制或影响的企业将严格避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免向光一科技及其控股和参股公司拆借、占用光一科技及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其控股和参股公司资金或采取由光一科技及其控股和参股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公司代垫款、代偿债务等方式侵占光一科技资金。（</w:t>
            </w:r>
            <w:r>
              <w:rPr>
                <w:rFonts w:ascii="宋体" w:hAnsi="宋体" w:cs="宋体" w:eastAsia="宋体" w:hint="default"/>
                <w:spacing w:val="-4"/>
                <w:sz w:val="18"/>
                <w:szCs w:val="18"/>
              </w:rPr>
              <w:t>3</w:t>
            </w:r>
            <w:r>
              <w:rPr>
                <w:rFonts w:ascii="宋体" w:hAnsi="宋体" w:cs="宋体" w:eastAsia="宋体" w:hint="default"/>
                <w:spacing w:val="-4"/>
                <w:sz w:val="18"/>
                <w:szCs w:val="18"/>
              </w:rPr>
              <w:t>）本</w:t>
            </w:r>
            <w:r>
              <w:rPr>
                <w:rFonts w:ascii="宋体" w:hAnsi="宋体" w:cs="宋体" w:eastAsia="宋体" w:hint="default"/>
                <w:spacing w:val="-80"/>
                <w:sz w:val="18"/>
                <w:szCs w:val="18"/>
              </w:rPr>
              <w:t> </w:t>
            </w:r>
            <w:r>
              <w:rPr>
                <w:rFonts w:ascii="宋体" w:hAnsi="宋体" w:cs="宋体" w:eastAsia="宋体" w:hint="default"/>
                <w:sz w:val="18"/>
                <w:szCs w:val="18"/>
              </w:rPr>
              <w:t>次交易完成后本人将继续严格按照有关法律法规、规范性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文件以及光一科技公司章程的有关规定行使股东权利；在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7"/>
                <w:sz w:val="18"/>
                <w:szCs w:val="18"/>
              </w:rPr>
              <w:t>光一科技股东大会对有关涉及本人的关联交易进行表决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时，履行回避表决的义务。（</w:t>
            </w:r>
            <w:r>
              <w:rPr>
                <w:rFonts w:ascii="宋体" w:hAnsi="宋体" w:cs="宋体" w:eastAsia="宋体" w:hint="default"/>
                <w:spacing w:val="-3"/>
                <w:sz w:val="18"/>
                <w:szCs w:val="18"/>
              </w:rPr>
              <w:t>4</w:t>
            </w:r>
            <w:r>
              <w:rPr>
                <w:rFonts w:ascii="宋体" w:hAnsi="宋体" w:cs="宋体" w:eastAsia="宋体" w:hint="default"/>
                <w:spacing w:val="-3"/>
                <w:sz w:val="18"/>
                <w:szCs w:val="18"/>
              </w:rPr>
              <w:t>）本人保证不通过关联交易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取得任何不正当的利益或使光一科技及其控股和参股公司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承担任何不正当的义务。（</w:t>
            </w:r>
            <w:r>
              <w:rPr>
                <w:rFonts w:ascii="宋体" w:hAnsi="宋体" w:cs="宋体" w:eastAsia="宋体" w:hint="default"/>
                <w:spacing w:val="-3"/>
                <w:sz w:val="18"/>
                <w:szCs w:val="18"/>
              </w:rPr>
              <w:t>5</w:t>
            </w:r>
            <w:r>
              <w:rPr>
                <w:rFonts w:ascii="宋体" w:hAnsi="宋体" w:cs="宋体" w:eastAsia="宋体" w:hint="default"/>
                <w:spacing w:val="-3"/>
                <w:sz w:val="18"/>
                <w:szCs w:val="18"/>
              </w:rPr>
              <w:t>）如果因违反上述承诺导致光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一科技或其控股和参股公司损失或利用关联交易侵占光一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科技或其控股和参股公司利益的，本人依法承担光一科技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或其控股和参股公司的损失。</w:t>
            </w:r>
            <w:r>
              <w:rPr>
                <w:rFonts w:ascii="宋体" w:hAnsi="宋体" w:cs="宋体" w:eastAsia="宋体" w:hint="default"/>
                <w:sz w:val="18"/>
                <w:szCs w:val="18"/>
              </w:rPr>
              <w:t>"</w:t>
            </w:r>
          </w:p>
        </w:tc>
        <w:tc>
          <w:tcPr>
            <w:tcW w:w="851" w:type="dxa"/>
            <w:tcBorders>
              <w:top w:val="single" w:sz="12" w:space="0" w:color="000000"/>
              <w:left w:val="single" w:sz="6" w:space="0" w:color="000000"/>
              <w:bottom w:val="single" w:sz="6" w:space="0" w:color="000000"/>
              <w:right w:val="single" w:sz="6" w:space="0" w:color="000000"/>
            </w:tcBorders>
          </w:tcPr>
          <w:p>
            <w:pPr>
              <w:pStyle w:val="TableParagraph"/>
              <w:spacing w:line="1283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6"/>
                <w:sz w:val="20"/>
                <w:szCs w:val="20"/>
              </w:rPr>
              <w:pict>
                <v:group style="width:41.85pt;height:641.65pt;mso-position-horizontal-relative:char;mso-position-vertical-relative:line" coordorigin="0,0" coordsize="837,12833">
                  <v:group style="position:absolute;left:0;top:0;width:837;height:12833" coordorigin="0,0" coordsize="837,12833">
                    <v:shape style="position:absolute;left:0;top:0;width:837;height:12833" coordorigin="0,0" coordsize="837,12833" path="m0,12833l836,12833,836,0,0,0,0,12833xe" filled="true" fillcolor="#ffffff" stroked="false">
                      <v:path arrowok="t"/>
                      <v:fill type="solid"/>
                    </v:shape>
                  </v:group>
                </v:group>
              </w:pict>
            </w:r>
            <w:r>
              <w:rPr>
                <w:rFonts w:ascii="Times New Roman" w:hAnsi="Times New Roman" w:cs="Times New Roman" w:eastAsia="Times New Roman" w:hint="default"/>
                <w:position w:val="-256"/>
                <w:sz w:val="20"/>
                <w:szCs w:val="20"/>
              </w:rPr>
            </w:r>
          </w:p>
        </w:tc>
        <w:tc>
          <w:tcPr>
            <w:tcW w:w="851" w:type="dxa"/>
            <w:tcBorders>
              <w:top w:val="single" w:sz="12" w:space="0" w:color="000000"/>
              <w:left w:val="single" w:sz="6" w:space="0" w:color="000000"/>
              <w:bottom w:val="single" w:sz="6" w:space="0" w:color="000000"/>
              <w:right w:val="single" w:sz="6" w:space="0" w:color="000000"/>
            </w:tcBorders>
          </w:tcPr>
          <w:p>
            <w:pPr/>
          </w:p>
        </w:tc>
        <w:tc>
          <w:tcPr>
            <w:tcW w:w="785" w:type="dxa"/>
            <w:tcBorders>
              <w:top w:val="single" w:sz="12" w:space="0" w:color="000000"/>
              <w:left w:val="single" w:sz="6" w:space="0" w:color="000000"/>
              <w:bottom w:val="single" w:sz="6" w:space="0" w:color="000000"/>
              <w:right w:val="single" w:sz="12" w:space="0" w:color="000000"/>
            </w:tcBorders>
          </w:tcPr>
          <w:p>
            <w:pPr/>
          </w:p>
        </w:tc>
      </w:tr>
      <w:tr>
        <w:trPr>
          <w:trHeight w:val="999" w:hRule="exact"/>
        </w:trPr>
        <w:tc>
          <w:tcPr>
            <w:tcW w:w="1703" w:type="dxa"/>
            <w:vMerge/>
            <w:tcBorders>
              <w:left w:val="single" w:sz="12" w:space="0" w:color="000000"/>
              <w:bottom w:val="single" w:sz="12" w:space="0" w:color="000000"/>
              <w:right w:val="single" w:sz="6" w:space="0" w:color="000000"/>
            </w:tcBorders>
            <w:shd w:val="clear" w:color="auto" w:fill="D2D2D2"/>
          </w:tcPr>
          <w:p>
            <w:pPr/>
          </w:p>
        </w:tc>
        <w:tc>
          <w:tcPr>
            <w:tcW w:w="111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20" w:right="-17"/>
              <w:jc w:val="both"/>
              <w:rPr>
                <w:rFonts w:ascii="宋体" w:hAnsi="宋体" w:cs="宋体" w:eastAsia="宋体" w:hint="default"/>
                <w:sz w:val="18"/>
                <w:szCs w:val="18"/>
              </w:rPr>
            </w:pPr>
            <w:r>
              <w:rPr>
                <w:rFonts w:ascii="宋体" w:hAnsi="宋体" w:cs="宋体" w:eastAsia="宋体" w:hint="default"/>
                <w:spacing w:val="31"/>
                <w:sz w:val="18"/>
                <w:szCs w:val="18"/>
              </w:rPr>
              <w:t>湖北乾瀚投</w:t>
            </w:r>
            <w:r>
              <w:rPr>
                <w:rFonts w:ascii="宋体" w:hAnsi="宋体" w:cs="宋体" w:eastAsia="宋体" w:hint="default"/>
                <w:spacing w:val="-51"/>
                <w:sz w:val="18"/>
                <w:szCs w:val="18"/>
              </w:rPr>
              <w:t> </w:t>
            </w:r>
            <w:r>
              <w:rPr>
                <w:rFonts w:ascii="宋体" w:hAnsi="宋体" w:cs="宋体" w:eastAsia="宋体" w:hint="default"/>
                <w:sz w:val="18"/>
                <w:szCs w:val="18"/>
              </w:rPr>
              <w:t>资有限公司、</w:t>
            </w:r>
            <w:r>
              <w:rPr>
                <w:rFonts w:ascii="宋体" w:hAnsi="宋体" w:cs="宋体" w:eastAsia="宋体" w:hint="default"/>
                <w:sz w:val="18"/>
                <w:szCs w:val="18"/>
              </w:rPr>
              <w:t> </w:t>
            </w:r>
            <w:r>
              <w:rPr>
                <w:rFonts w:ascii="宋体" w:hAnsi="宋体" w:cs="宋体" w:eastAsia="宋体" w:hint="default"/>
                <w:spacing w:val="31"/>
                <w:sz w:val="18"/>
                <w:szCs w:val="18"/>
              </w:rPr>
              <w:t>公安县鑫旺</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20" w:right="-13"/>
              <w:jc w:val="both"/>
              <w:rPr>
                <w:rFonts w:ascii="宋体" w:hAnsi="宋体" w:cs="宋体" w:eastAsia="宋体" w:hint="default"/>
                <w:sz w:val="18"/>
                <w:szCs w:val="18"/>
              </w:rPr>
            </w:pPr>
            <w:r>
              <w:rPr>
                <w:rFonts w:ascii="宋体" w:hAnsi="宋体" w:cs="宋体" w:eastAsia="宋体" w:hint="default"/>
                <w:spacing w:val="23"/>
                <w:sz w:val="18"/>
                <w:szCs w:val="18"/>
              </w:rPr>
              <w:t>关于同业</w:t>
            </w:r>
            <w:r>
              <w:rPr>
                <w:rFonts w:ascii="宋体" w:hAnsi="宋体" w:cs="宋体" w:eastAsia="宋体" w:hint="default"/>
                <w:spacing w:val="-59"/>
                <w:sz w:val="18"/>
                <w:szCs w:val="18"/>
              </w:rPr>
              <w:t> </w:t>
            </w:r>
            <w:r>
              <w:rPr>
                <w:rFonts w:ascii="宋体" w:hAnsi="宋体" w:cs="宋体" w:eastAsia="宋体" w:hint="default"/>
                <w:spacing w:val="-18"/>
                <w:sz w:val="18"/>
                <w:szCs w:val="18"/>
              </w:rPr>
              <w:t>竞争、关联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8"/>
                <w:sz w:val="18"/>
                <w:szCs w:val="18"/>
              </w:rPr>
              <w:t>交易、资金</w:t>
            </w:r>
          </w:p>
        </w:tc>
        <w:tc>
          <w:tcPr>
            <w:tcW w:w="457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21" w:right="19"/>
              <w:jc w:val="both"/>
              <w:rPr>
                <w:rFonts w:ascii="宋体" w:hAnsi="宋体" w:cs="宋体" w:eastAsia="宋体" w:hint="default"/>
                <w:sz w:val="18"/>
                <w:szCs w:val="18"/>
              </w:rPr>
            </w:pPr>
            <w:r>
              <w:rPr>
                <w:rFonts w:ascii="宋体" w:hAnsi="宋体" w:cs="宋体" w:eastAsia="宋体" w:hint="default"/>
                <w:spacing w:val="11"/>
                <w:sz w:val="18"/>
                <w:szCs w:val="18"/>
              </w:rPr>
              <w:t>"</w:t>
            </w:r>
            <w:r>
              <w:rPr>
                <w:rFonts w:ascii="宋体" w:hAnsi="宋体" w:cs="宋体" w:eastAsia="宋体" w:hint="default"/>
                <w:spacing w:val="11"/>
                <w:sz w:val="18"/>
                <w:szCs w:val="18"/>
              </w:rPr>
              <w:t>公司发行股份及支付现金购买湖北索瑞电气有限公司</w:t>
            </w:r>
            <w:r>
              <w:rPr>
                <w:rFonts w:ascii="宋体" w:hAnsi="宋体" w:cs="宋体" w:eastAsia="宋体" w:hint="default"/>
                <w:sz w:val="18"/>
                <w:szCs w:val="18"/>
              </w:rPr>
              <w:t> </w:t>
            </w:r>
            <w:r>
              <w:rPr>
                <w:rFonts w:ascii="宋体" w:hAnsi="宋体" w:cs="宋体" w:eastAsia="宋体" w:hint="default"/>
                <w:sz w:val="18"/>
                <w:szCs w:val="18"/>
              </w:rPr>
              <w:t>84.82%</w:t>
            </w:r>
            <w:r>
              <w:rPr>
                <w:rFonts w:ascii="宋体" w:hAnsi="宋体" w:cs="宋体" w:eastAsia="宋体" w:hint="default"/>
                <w:sz w:val="18"/>
                <w:szCs w:val="18"/>
              </w:rPr>
              <w:t>股权事项，交易对方湖北乾瀚投资有限公司、公安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县鑫旺投资有限公司、深圳创新投资集团有限公司、北京</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7"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before="0"/>
        <w:ind w:left="2314" w:right="0" w:firstLine="0"/>
        <w:jc w:val="left"/>
        <w:rPr>
          <w:rFonts w:ascii="宋体" w:hAnsi="宋体" w:cs="宋体" w:eastAsia="宋体" w:hint="default"/>
          <w:sz w:val="18"/>
          <w:szCs w:val="18"/>
        </w:rPr>
      </w:pPr>
      <w:r>
        <w:rPr>
          <w:rFonts w:ascii="宋体" w:hAnsi="宋体" w:cs="宋体" w:eastAsia="宋体" w:hint="default"/>
          <w:spacing w:val="31"/>
          <w:sz w:val="18"/>
          <w:szCs w:val="18"/>
        </w:rPr>
        <w:t>投资有限公</w:t>
      </w:r>
      <w:r>
        <w:rPr>
          <w:rFonts w:ascii="宋体" w:hAnsi="宋体" w:cs="宋体" w:eastAsia="宋体" w:hint="default"/>
          <w:spacing w:val="-26"/>
          <w:sz w:val="18"/>
          <w:szCs w:val="18"/>
        </w:rPr>
        <w:t> </w:t>
      </w:r>
      <w:r>
        <w:rPr>
          <w:rFonts w:ascii="宋体" w:hAnsi="宋体" w:cs="宋体" w:eastAsia="宋体" w:hint="default"/>
          <w:spacing w:val="23"/>
          <w:sz w:val="18"/>
          <w:szCs w:val="18"/>
        </w:rPr>
        <w:t>占用方面</w:t>
      </w:r>
      <w:r>
        <w:rPr>
          <w:rFonts w:ascii="宋体" w:hAnsi="宋体" w:cs="宋体" w:eastAsia="宋体" w:hint="default"/>
          <w:spacing w:val="-29"/>
          <w:sz w:val="18"/>
          <w:szCs w:val="18"/>
        </w:rPr>
        <w:t> </w:t>
      </w:r>
      <w:r>
        <w:rPr>
          <w:rFonts w:ascii="宋体" w:hAnsi="宋体" w:cs="宋体" w:eastAsia="宋体" w:hint="default"/>
          <w:sz w:val="18"/>
          <w:szCs w:val="18"/>
        </w:rPr>
        <w:t>红土鑫洲创业投资中心（有限合伙）、南昌红土创新资本</w:t>
      </w:r>
    </w:p>
    <w:p>
      <w:pPr>
        <w:spacing w:after="0"/>
        <w:jc w:val="left"/>
        <w:rPr>
          <w:rFonts w:ascii="宋体" w:hAnsi="宋体" w:cs="宋体" w:eastAsia="宋体" w:hint="default"/>
          <w:sz w:val="18"/>
          <w:szCs w:val="18"/>
        </w:rPr>
        <w:sectPr>
          <w:pgSz w:w="11910" w:h="16840"/>
          <w:pgMar w:header="747" w:footer="1000" w:top="1040" w:bottom="1180" w:left="0" w:right="0"/>
        </w:sectPr>
      </w:pPr>
    </w:p>
    <w:p>
      <w:pPr>
        <w:spacing w:line="316" w:lineRule="auto" w:before="77"/>
        <w:ind w:left="2314" w:right="-18" w:firstLine="0"/>
        <w:jc w:val="left"/>
        <w:rPr>
          <w:rFonts w:ascii="宋体" w:hAnsi="宋体" w:cs="宋体" w:eastAsia="宋体" w:hint="default"/>
          <w:sz w:val="18"/>
          <w:szCs w:val="18"/>
        </w:rPr>
      </w:pPr>
      <w:r>
        <w:rPr/>
        <w:pict>
          <v:shape style="position:absolute;margin-left:418.21402pt;margin-top:73.499985pt;width:66.150pt;height:686.5pt;mso-position-horizontal-relative:page;mso-position-vertical-relative:page;z-index:-9176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利润，</w:t>
                  </w:r>
                </w:p>
              </w:txbxContent>
            </v:textbox>
            <w10:wrap type="none"/>
          </v:shape>
        </w:pict>
      </w:r>
      <w:r>
        <w:rPr/>
        <w:pict>
          <v:group style="position:absolute;margin-left:28.440001pt;margin-top:71.249985pt;width:538.4pt;height:691pt;mso-position-horizontal-relative:page;mso-position-vertical-relative:page;z-index:-917584" coordorigin="569,1425" coordsize="10768,13820">
            <v:group style="position:absolute;left:599;top:1470;width:1681;height:13730" coordorigin="599,1470" coordsize="1681,13730">
              <v:shape style="position:absolute;left:599;top:1470;width:1681;height:13730" coordorigin="599,1470" coordsize="1681,13730" path="m599,15199l2279,15199,2279,1470,599,1470,599,15199xe" filled="true" fillcolor="#d2d2d2" stroked="false">
                <v:path arrowok="t"/>
                <v:fill type="solid"/>
              </v:shape>
            </v:group>
            <v:group style="position:absolute;left:599;top:1440;width:1681;height:30" coordorigin="599,1440" coordsize="1681,30">
              <v:shape style="position:absolute;left:599;top:1440;width:1681;height:30" coordorigin="599,1440" coordsize="1681,30" path="m599,1470l2279,1470,2279,1440,599,1440,599,1470xe" filled="true" fillcolor="#000000" stroked="false">
                <v:path arrowok="t"/>
                <v:fill type="solid"/>
              </v:shape>
            </v:group>
            <v:group style="position:absolute;left:2279;top:1455;width:30;height:2" coordorigin="2279,1455" coordsize="30,2">
              <v:shape style="position:absolute;left:2279;top:1455;width:30;height:2" coordorigin="2279,1455" coordsize="30,0" path="m2279,1455l2309,1455e" filled="false" stroked="true" strokeweight="1.5pt" strokecolor="#000000">
                <v:path arrowok="t"/>
              </v:shape>
            </v:group>
            <v:group style="position:absolute;left:2309;top:1455;width:1086;height:2" coordorigin="2309,1455" coordsize="1086,2">
              <v:shape style="position:absolute;left:2309;top:1455;width:1086;height:2" coordorigin="2309,1455" coordsize="1086,0" path="m2309,1455l3395,1455e" filled="false" stroked="true" strokeweight="1.5pt" strokecolor="#000000">
                <v:path arrowok="t"/>
              </v:shape>
            </v:group>
            <v:group style="position:absolute;left:3395;top:1455;width:30;height:2" coordorigin="3395,1455" coordsize="30,2">
              <v:shape style="position:absolute;left:3395;top:1455;width:30;height:2" coordorigin="3395,1455" coordsize="30,0" path="m3395,1455l3425,1455e" filled="false" stroked="true" strokeweight="1.5pt" strokecolor="#000000">
                <v:path arrowok="t"/>
              </v:shape>
            </v:group>
            <v:group style="position:absolute;left:3425;top:1455;width:838;height:2" coordorigin="3425,1455" coordsize="838,2">
              <v:shape style="position:absolute;left:3425;top:1455;width:838;height:2" coordorigin="3425,1455" coordsize="838,0" path="m3425,1455l4263,1455e" filled="false" stroked="true" strokeweight="1.5pt" strokecolor="#000000">
                <v:path arrowok="t"/>
              </v:shape>
            </v:group>
            <v:group style="position:absolute;left:4263;top:1455;width:30;height:2" coordorigin="4263,1455" coordsize="30,2">
              <v:shape style="position:absolute;left:4263;top:1455;width:30;height:2" coordorigin="4263,1455" coordsize="30,0" path="m4263,1455l4293,1455e" filled="false" stroked="true" strokeweight="1.5pt" strokecolor="#000000">
                <v:path arrowok="t"/>
              </v:shape>
            </v:group>
            <v:group style="position:absolute;left:8850;top:1470;width:837;height:13730" coordorigin="8850,1470" coordsize="837,13730">
              <v:shape style="position:absolute;left:8850;top:1470;width:837;height:13730" coordorigin="8850,1470" coordsize="837,13730" path="m8850,15199l9686,15199,9686,1470,8850,1470,8850,15199xe" filled="true" fillcolor="#ffffff" stroked="false">
                <v:path arrowok="t"/>
                <v:fill type="solid"/>
              </v:shape>
            </v:group>
            <v:group style="position:absolute;left:4293;top:1455;width:4543;height:2" coordorigin="4293,1455" coordsize="4543,2">
              <v:shape style="position:absolute;left:4293;top:1455;width:4543;height:2" coordorigin="4293,1455" coordsize="4543,0" path="m4293,1455l8836,1455e" filled="false" stroked="true" strokeweight="1.5pt" strokecolor="#000000">
                <v:path arrowok="t"/>
              </v:shape>
            </v:group>
            <v:group style="position:absolute;left:8836;top:1455;width:30;height:2" coordorigin="8836,1455" coordsize="30,2">
              <v:shape style="position:absolute;left:8836;top:1455;width:30;height:2" coordorigin="8836,1455" coordsize="30,0" path="m8836,1455l8866,1455e" filled="false" stroked="true" strokeweight="1.5pt" strokecolor="#000000">
                <v:path arrowok="t"/>
              </v:shape>
            </v:group>
            <v:group style="position:absolute;left:8866;top:1440;width:821;height:30" coordorigin="8866,1440" coordsize="821,30">
              <v:shape style="position:absolute;left:8866;top:1440;width:821;height:30" coordorigin="8866,1440" coordsize="821,30" path="m8866,1470l9686,1470,9686,1440,8866,1440,8866,1470xe" filled="true" fillcolor="#000000" stroked="false">
                <v:path arrowok="t"/>
                <v:fill type="solid"/>
              </v:shape>
            </v:group>
            <v:group style="position:absolute;left:9686;top:1455;width:30;height:2" coordorigin="9686,1455" coordsize="30,2">
              <v:shape style="position:absolute;left:9686;top:1455;width:30;height:2" coordorigin="9686,1455" coordsize="30,0" path="m9686,1455l9716,1455e" filled="false" stroked="true" strokeweight="1.5pt" strokecolor="#000000">
                <v:path arrowok="t"/>
              </v:shape>
            </v:group>
            <v:group style="position:absolute;left:9716;top:1455;width:821;height:2" coordorigin="9716,1455" coordsize="821,2">
              <v:shape style="position:absolute;left:9716;top:1455;width:821;height:2" coordorigin="9716,1455" coordsize="821,0" path="m9716,1455l10537,1455e" filled="false" stroked="true" strokeweight="1.5pt" strokecolor="#000000">
                <v:path arrowok="t"/>
              </v:shape>
            </v:group>
            <v:group style="position:absolute;left:10537;top:1455;width:30;height:2" coordorigin="10537,1455" coordsize="30,2">
              <v:shape style="position:absolute;left:10537;top:1455;width:30;height:2" coordorigin="10537,1455" coordsize="30,0" path="m10537,1455l10567,1455e" filled="false" stroked="true" strokeweight="1.5pt" strokecolor="#000000">
                <v:path arrowok="t"/>
              </v:shape>
            </v:group>
            <v:group style="position:absolute;left:10567;top:1455;width:740;height:2" coordorigin="10567,1455" coordsize="740,2">
              <v:shape style="position:absolute;left:10567;top:1455;width:740;height:2" coordorigin="10567,1455" coordsize="740,0" path="m10567,1455l11306,1455e" filled="false" stroked="true" strokeweight="1.5pt" strokecolor="#000000">
                <v:path arrowok="t"/>
              </v:shape>
            </v:group>
            <v:group style="position:absolute;left:584;top:1440;width:2;height:13790" coordorigin="584,1440" coordsize="2,13790">
              <v:shape style="position:absolute;left:584;top:1440;width:2;height:13790" coordorigin="584,1440" coordsize="0,13790" path="m584,1440l584,15229e" filled="false" stroked="true" strokeweight="1.5pt" strokecolor="#000000">
                <v:path arrowok="t"/>
              </v:shape>
            </v:group>
            <v:group style="position:absolute;left:599;top:15214;width:1681;height:2" coordorigin="599,15214" coordsize="1681,2">
              <v:shape style="position:absolute;left:599;top:15214;width:1681;height:2" coordorigin="599,15214" coordsize="1681,0" path="m599,15214l2279,15214e" filled="false" stroked="true" strokeweight="1.5pt" strokecolor="#000000">
                <v:path arrowok="t"/>
              </v:shape>
            </v:group>
            <v:group style="position:absolute;left:2286;top:1470;width:2;height:13730" coordorigin="2286,1470" coordsize="2,13730">
              <v:shape style="position:absolute;left:2286;top:1470;width:2;height:13730" coordorigin="2286,1470" coordsize="0,13730" path="m2286,1470l2286,15199e" filled="false" stroked="true" strokeweight=".72pt" strokecolor="#000000">
                <v:path arrowok="t"/>
              </v:shape>
            </v:group>
            <v:group style="position:absolute;left:2279;top:15214;width:30;height:2" coordorigin="2279,15214" coordsize="30,2">
              <v:shape style="position:absolute;left:2279;top:15214;width:30;height:2" coordorigin="2279,15214" coordsize="30,0" path="m2279,15214l2309,15214e" filled="false" stroked="true" strokeweight="1.5pt" strokecolor="#000000">
                <v:path arrowok="t"/>
              </v:shape>
            </v:group>
            <v:group style="position:absolute;left:2309;top:15214;width:1086;height:2" coordorigin="2309,15214" coordsize="1086,2">
              <v:shape style="position:absolute;left:2309;top:15214;width:1086;height:2" coordorigin="2309,15214" coordsize="1086,0" path="m2309,15214l3395,15214e" filled="false" stroked="true" strokeweight="1.5pt" strokecolor="#000000">
                <v:path arrowok="t"/>
              </v:shape>
            </v:group>
            <v:group style="position:absolute;left:3402;top:1470;width:2;height:13730" coordorigin="3402,1470" coordsize="2,13730">
              <v:shape style="position:absolute;left:3402;top:1470;width:2;height:13730" coordorigin="3402,1470" coordsize="0,13730" path="m3402,1470l3402,15199e" filled="false" stroked="true" strokeweight=".72pt" strokecolor="#000000">
                <v:path arrowok="t"/>
              </v:shape>
            </v:group>
            <v:group style="position:absolute;left:3395;top:15214;width:30;height:2" coordorigin="3395,15214" coordsize="30,2">
              <v:shape style="position:absolute;left:3395;top:15214;width:30;height:2" coordorigin="3395,15214" coordsize="30,0" path="m3395,15214l3425,15214e" filled="false" stroked="true" strokeweight="1.5pt" strokecolor="#000000">
                <v:path arrowok="t"/>
              </v:shape>
            </v:group>
            <v:group style="position:absolute;left:3425;top:15214;width:838;height:2" coordorigin="3425,15214" coordsize="838,2">
              <v:shape style="position:absolute;left:3425;top:15214;width:838;height:2" coordorigin="3425,15214" coordsize="838,0" path="m3425,15214l4263,15214e" filled="false" stroked="true" strokeweight="1.5pt" strokecolor="#000000">
                <v:path arrowok="t"/>
              </v:shape>
            </v:group>
            <v:group style="position:absolute;left:4270;top:1470;width:2;height:13730" coordorigin="4270,1470" coordsize="2,13730">
              <v:shape style="position:absolute;left:4270;top:1470;width:2;height:13730" coordorigin="4270,1470" coordsize="0,13730" path="m4270,1470l4270,15199e" filled="false" stroked="true" strokeweight=".72pt" strokecolor="#000000">
                <v:path arrowok="t"/>
              </v:shape>
            </v:group>
            <v:group style="position:absolute;left:4263;top:15214;width:30;height:2" coordorigin="4263,15214" coordsize="30,2">
              <v:shape style="position:absolute;left:4263;top:15214;width:30;height:2" coordorigin="4263,15214" coordsize="30,0" path="m4263,15214l4293,15214e" filled="false" stroked="true" strokeweight="1.5pt" strokecolor="#000000">
                <v:path arrowok="t"/>
              </v:shape>
            </v:group>
            <v:group style="position:absolute;left:4293;top:15214;width:4543;height:2" coordorigin="4293,15214" coordsize="4543,2">
              <v:shape style="position:absolute;left:4293;top:15214;width:4543;height:2" coordorigin="4293,15214" coordsize="4543,0" path="m4293,15214l8836,15214e" filled="false" stroked="true" strokeweight="1.5pt" strokecolor="#000000">
                <v:path arrowok="t"/>
              </v:shape>
            </v:group>
            <v:group style="position:absolute;left:8843;top:1470;width:2;height:13730" coordorigin="8843,1470" coordsize="2,13730">
              <v:shape style="position:absolute;left:8843;top:1470;width:2;height:13730" coordorigin="8843,1470" coordsize="0,13730" path="m8843,1470l8843,15199e" filled="false" stroked="true" strokeweight=".72pt" strokecolor="#000000">
                <v:path arrowok="t"/>
              </v:shape>
            </v:group>
            <v:group style="position:absolute;left:8836;top:15214;width:30;height:2" coordorigin="8836,15214" coordsize="30,2">
              <v:shape style="position:absolute;left:8836;top:15214;width:30;height:2" coordorigin="8836,15214" coordsize="30,0" path="m8836,15214l8866,15214e" filled="false" stroked="true" strokeweight="1.5pt" strokecolor="#000000">
                <v:path arrowok="t"/>
              </v:shape>
            </v:group>
            <v:group style="position:absolute;left:8866;top:15214;width:821;height:2" coordorigin="8866,15214" coordsize="821,2">
              <v:shape style="position:absolute;left:8866;top:15214;width:821;height:2" coordorigin="8866,15214" coordsize="821,0" path="m8866,15214l9686,15214e" filled="false" stroked="true" strokeweight="1.5pt" strokecolor="#000000">
                <v:path arrowok="t"/>
              </v:shape>
            </v:group>
            <v:group style="position:absolute;left:9694;top:1470;width:2;height:13730" coordorigin="9694,1470" coordsize="2,13730">
              <v:shape style="position:absolute;left:9694;top:1470;width:2;height:13730" coordorigin="9694,1470" coordsize="0,13730" path="m9694,1470l9694,15199e" filled="false" stroked="true" strokeweight=".72pt" strokecolor="#000000">
                <v:path arrowok="t"/>
              </v:shape>
            </v:group>
            <v:group style="position:absolute;left:9686;top:15214;width:30;height:2" coordorigin="9686,15214" coordsize="30,2">
              <v:shape style="position:absolute;left:9686;top:15214;width:30;height:2" coordorigin="9686,15214" coordsize="30,0" path="m9686,15214l9716,15214e" filled="false" stroked="true" strokeweight="1.5pt" strokecolor="#000000">
                <v:path arrowok="t"/>
              </v:shape>
            </v:group>
            <v:group style="position:absolute;left:9716;top:15214;width:821;height:2" coordorigin="9716,15214" coordsize="821,2">
              <v:shape style="position:absolute;left:9716;top:15214;width:821;height:2" coordorigin="9716,15214" coordsize="821,0" path="m9716,15214l10537,15214e" filled="false" stroked="true" strokeweight="1.5pt" strokecolor="#000000">
                <v:path arrowok="t"/>
              </v:shape>
            </v:group>
            <v:group style="position:absolute;left:10544;top:1470;width:2;height:13730" coordorigin="10544,1470" coordsize="2,13730">
              <v:shape style="position:absolute;left:10544;top:1470;width:2;height:13730" coordorigin="10544,1470" coordsize="0,13730" path="m10544,1470l10544,15199e" filled="false" stroked="true" strokeweight=".72pt" strokecolor="#000000">
                <v:path arrowok="t"/>
              </v:shape>
            </v:group>
            <v:group style="position:absolute;left:10537;top:15214;width:30;height:2" coordorigin="10537,15214" coordsize="30,2">
              <v:shape style="position:absolute;left:10537;top:15214;width:30;height:2" coordorigin="10537,15214" coordsize="30,0" path="m10537,15214l10567,15214e" filled="false" stroked="true" strokeweight="1.5pt" strokecolor="#000000">
                <v:path arrowok="t"/>
              </v:shape>
            </v:group>
            <v:group style="position:absolute;left:10567;top:15214;width:740;height:2" coordorigin="10567,15214" coordsize="740,2">
              <v:shape style="position:absolute;left:10567;top:15214;width:740;height:2" coordorigin="10567,15214" coordsize="740,0" path="m10567,15214l11306,15214e" filled="false" stroked="true" strokeweight="1.5pt" strokecolor="#000000">
                <v:path arrowok="t"/>
              </v:shape>
            </v:group>
            <v:group style="position:absolute;left:11321;top:1440;width:2;height:13790" coordorigin="11321,1440" coordsize="2,13790">
              <v:shape style="position:absolute;left:11321;top:1440;width:2;height:13790" coordorigin="11321,1440" coordsize="0,13790" path="m11321,1440l11321,15229e" filled="false" stroked="true" strokeweight="1.5pt" strokecolor="#000000">
                <v:path arrowok="t"/>
              </v:shape>
            </v:group>
            <w10:wrap type="none"/>
          </v:group>
        </w:pict>
      </w:r>
      <w:r>
        <w:rPr>
          <w:rFonts w:ascii="宋体" w:hAnsi="宋体" w:cs="宋体" w:eastAsia="宋体" w:hint="default"/>
          <w:spacing w:val="-4"/>
          <w:sz w:val="18"/>
          <w:szCs w:val="18"/>
        </w:rPr>
        <w:t>司、深圳创新</w:t>
      </w:r>
      <w:r>
        <w:rPr>
          <w:rFonts w:ascii="宋体" w:hAnsi="宋体" w:cs="宋体" w:eastAsia="宋体" w:hint="default"/>
          <w:spacing w:val="-32"/>
          <w:sz w:val="18"/>
          <w:szCs w:val="18"/>
        </w:rPr>
        <w:t> </w:t>
      </w:r>
      <w:r>
        <w:rPr>
          <w:rFonts w:ascii="宋体" w:hAnsi="宋体" w:cs="宋体" w:eastAsia="宋体" w:hint="default"/>
          <w:sz w:val="18"/>
          <w:szCs w:val="18"/>
        </w:rPr>
        <w:t>的承诺</w:t>
      </w:r>
      <w:r>
        <w:rPr>
          <w:rFonts w:ascii="宋体" w:hAnsi="宋体" w:cs="宋体" w:eastAsia="宋体" w:hint="default"/>
          <w:sz w:val="18"/>
          <w:szCs w:val="18"/>
        </w:rPr>
        <w:t> </w:t>
      </w:r>
      <w:r>
        <w:rPr>
          <w:rFonts w:ascii="宋体" w:hAnsi="宋体" w:cs="宋体" w:eastAsia="宋体" w:hint="default"/>
          <w:spacing w:val="31"/>
          <w:sz w:val="18"/>
          <w:szCs w:val="18"/>
        </w:rPr>
        <w:t>投资集团有</w:t>
      </w:r>
      <w:r>
        <w:rPr>
          <w:rFonts w:ascii="宋体" w:hAnsi="宋体" w:cs="宋体" w:eastAsia="宋体" w:hint="default"/>
          <w:spacing w:val="-51"/>
          <w:sz w:val="18"/>
          <w:szCs w:val="18"/>
        </w:rPr>
        <w:t> </w:t>
      </w:r>
      <w:r>
        <w:rPr>
          <w:rFonts w:ascii="宋体" w:hAnsi="宋体" w:cs="宋体" w:eastAsia="宋体" w:hint="default"/>
          <w:spacing w:val="-4"/>
          <w:sz w:val="18"/>
          <w:szCs w:val="18"/>
        </w:rPr>
        <w:t>限公司、北京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红土鑫洲创</w:t>
      </w:r>
      <w:r>
        <w:rPr>
          <w:rFonts w:ascii="宋体" w:hAnsi="宋体" w:cs="宋体" w:eastAsia="宋体" w:hint="default"/>
          <w:spacing w:val="-51"/>
          <w:sz w:val="18"/>
          <w:szCs w:val="18"/>
        </w:rPr>
        <w:t> </w:t>
      </w:r>
      <w:r>
        <w:rPr>
          <w:rFonts w:ascii="宋体" w:hAnsi="宋体" w:cs="宋体" w:eastAsia="宋体" w:hint="default"/>
          <w:spacing w:val="31"/>
          <w:sz w:val="18"/>
          <w:szCs w:val="18"/>
        </w:rPr>
        <w:t>业投资中心</w:t>
      </w:r>
      <w:r>
        <w:rPr>
          <w:rFonts w:ascii="宋体" w:hAnsi="宋体" w:cs="宋体" w:eastAsia="宋体" w:hint="default"/>
          <w:spacing w:val="-51"/>
          <w:sz w:val="18"/>
          <w:szCs w:val="18"/>
        </w:rPr>
        <w:t> </w:t>
      </w:r>
      <w:r>
        <w:rPr>
          <w:rFonts w:ascii="宋体" w:hAnsi="宋体" w:cs="宋体" w:eastAsia="宋体" w:hint="default"/>
          <w:sz w:val="18"/>
          <w:szCs w:val="18"/>
        </w:rPr>
      </w:r>
    </w:p>
    <w:p>
      <w:pPr>
        <w:spacing w:line="319" w:lineRule="auto" w:before="19"/>
        <w:ind w:left="2314" w:right="557" w:firstLine="0"/>
        <w:jc w:val="both"/>
        <w:rPr>
          <w:rFonts w:ascii="宋体" w:hAnsi="宋体" w:cs="宋体" w:eastAsia="宋体" w:hint="default"/>
          <w:sz w:val="18"/>
          <w:szCs w:val="18"/>
        </w:rPr>
      </w:pPr>
      <w:r>
        <w:rPr>
          <w:rFonts w:ascii="宋体" w:hAnsi="宋体" w:cs="宋体" w:eastAsia="宋体" w:hint="default"/>
          <w:sz w:val="18"/>
          <w:szCs w:val="18"/>
        </w:rPr>
        <w:t>（ 有 限</w:t>
      </w:r>
      <w:r>
        <w:rPr>
          <w:rFonts w:ascii="宋体" w:hAnsi="宋体" w:cs="宋体" w:eastAsia="宋体" w:hint="default"/>
          <w:spacing w:val="65"/>
          <w:sz w:val="18"/>
          <w:szCs w:val="18"/>
        </w:rPr>
        <w:t> </w:t>
      </w:r>
      <w:r>
        <w:rPr>
          <w:rFonts w:ascii="宋体" w:hAnsi="宋体" w:cs="宋体" w:eastAsia="宋体" w:hint="default"/>
          <w:sz w:val="18"/>
          <w:szCs w:val="18"/>
        </w:rPr>
        <w:t>合</w:t>
      </w:r>
      <w:r>
        <w:rPr>
          <w:rFonts w:ascii="宋体" w:hAnsi="宋体" w:cs="宋体" w:eastAsia="宋体" w:hint="default"/>
          <w:sz w:val="18"/>
          <w:szCs w:val="18"/>
        </w:rPr>
        <w:t> </w:t>
      </w:r>
      <w:r>
        <w:rPr>
          <w:rFonts w:ascii="宋体" w:hAnsi="宋体" w:cs="宋体" w:eastAsia="宋体" w:hint="default"/>
          <w:spacing w:val="-4"/>
          <w:sz w:val="18"/>
          <w:szCs w:val="18"/>
        </w:rPr>
        <w:t>伙）、南昌红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1"/>
          <w:sz w:val="18"/>
          <w:szCs w:val="18"/>
        </w:rPr>
        <w:t>土创新资本</w:t>
      </w:r>
      <w:r>
        <w:rPr>
          <w:rFonts w:ascii="宋体" w:hAnsi="宋体" w:cs="宋体" w:eastAsia="宋体" w:hint="default"/>
          <w:spacing w:val="-51"/>
          <w:sz w:val="18"/>
          <w:szCs w:val="18"/>
        </w:rPr>
        <w:t> </w:t>
      </w:r>
      <w:r>
        <w:rPr>
          <w:rFonts w:ascii="宋体" w:hAnsi="宋体" w:cs="宋体" w:eastAsia="宋体" w:hint="default"/>
          <w:spacing w:val="31"/>
          <w:sz w:val="18"/>
          <w:szCs w:val="18"/>
        </w:rPr>
        <w:t>创业投资有</w:t>
      </w:r>
      <w:r>
        <w:rPr>
          <w:rFonts w:ascii="宋体" w:hAnsi="宋体" w:cs="宋体" w:eastAsia="宋体" w:hint="default"/>
          <w:spacing w:val="-51"/>
          <w:sz w:val="18"/>
          <w:szCs w:val="18"/>
        </w:rPr>
        <w:t> </w:t>
      </w:r>
      <w:r>
        <w:rPr>
          <w:rFonts w:ascii="宋体" w:hAnsi="宋体" w:cs="宋体" w:eastAsia="宋体" w:hint="default"/>
          <w:spacing w:val="-4"/>
          <w:sz w:val="18"/>
          <w:szCs w:val="18"/>
        </w:rPr>
        <w:t>限公司、湖北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红土创业投</w:t>
      </w:r>
      <w:r>
        <w:rPr>
          <w:rFonts w:ascii="宋体" w:hAnsi="宋体" w:cs="宋体" w:eastAsia="宋体" w:hint="default"/>
          <w:spacing w:val="-51"/>
          <w:sz w:val="18"/>
          <w:szCs w:val="18"/>
        </w:rPr>
        <w:t> </w:t>
      </w:r>
      <w:r>
        <w:rPr>
          <w:rFonts w:ascii="宋体" w:hAnsi="宋体" w:cs="宋体" w:eastAsia="宋体" w:hint="default"/>
          <w:sz w:val="18"/>
          <w:szCs w:val="18"/>
        </w:rPr>
        <w:t>资有限公司</w:t>
      </w:r>
    </w:p>
    <w:p>
      <w:pPr>
        <w:spacing w:line="316" w:lineRule="auto" w:before="76"/>
        <w:ind w:left="288" w:right="2998" w:firstLine="0"/>
        <w:jc w:val="left"/>
        <w:rPr>
          <w:rFonts w:ascii="宋体" w:hAnsi="宋体" w:cs="宋体" w:eastAsia="宋体" w:hint="default"/>
          <w:sz w:val="18"/>
          <w:szCs w:val="18"/>
        </w:rPr>
      </w:pPr>
      <w:r>
        <w:rPr/>
        <w:br w:type="column"/>
      </w:r>
      <w:r>
        <w:rPr>
          <w:rFonts w:ascii="宋体" w:hAnsi="宋体" w:cs="宋体" w:eastAsia="宋体" w:hint="default"/>
          <w:sz w:val="18"/>
          <w:szCs w:val="18"/>
        </w:rPr>
        <w:t>创业投资有限公司、湖北红土创业投资有限公司承诺：</w:t>
      </w:r>
      <w:r>
        <w:rPr>
          <w:rFonts w:ascii="宋体" w:hAnsi="宋体" w:cs="宋体" w:eastAsia="宋体" w:hint="default"/>
          <w:sz w:val="18"/>
          <w:szCs w:val="18"/>
        </w:rPr>
        <w:t>1</w:t>
      </w:r>
      <w:r>
        <w:rPr>
          <w:rFonts w:ascii="宋体" w:hAnsi="宋体" w:cs="宋体" w:eastAsia="宋体" w:hint="default"/>
          <w:sz w:val="18"/>
          <w:szCs w:val="18"/>
        </w:rPr>
        <w:t>、 </w:t>
      </w:r>
      <w:r>
        <w:rPr>
          <w:rFonts w:ascii="宋体" w:hAnsi="宋体" w:cs="宋体" w:eastAsia="宋体" w:hint="default"/>
          <w:spacing w:val="-3"/>
          <w:sz w:val="18"/>
          <w:szCs w:val="18"/>
        </w:rPr>
        <w:t>关于避免同业竞争的承诺：（</w:t>
      </w:r>
      <w:r>
        <w:rPr>
          <w:rFonts w:ascii="宋体" w:hAnsi="宋体" w:cs="宋体" w:eastAsia="宋体" w:hint="default"/>
          <w:spacing w:val="-3"/>
          <w:sz w:val="18"/>
          <w:szCs w:val="18"/>
        </w:rPr>
        <w:t>1</w:t>
      </w:r>
      <w:r>
        <w:rPr>
          <w:rFonts w:ascii="宋体" w:hAnsi="宋体" w:cs="宋体" w:eastAsia="宋体" w:hint="default"/>
          <w:spacing w:val="-3"/>
          <w:sz w:val="18"/>
          <w:szCs w:val="18"/>
        </w:rPr>
        <w:t>）本次交易完成后，在作为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光一科技股东期间，本公司及本公司控制的其他企业不会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直接或间接从事任何与光一科技及其下属公司主要经营业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务构成同业竞争或潜在同业竞争关系的生产与经营业务，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亦不会投资任何与光一科技及其下属公司主要经营业务构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成同业竞争或潜在同业竞争关系的其他企业。（</w:t>
      </w:r>
      <w:r>
        <w:rPr>
          <w:rFonts w:ascii="宋体" w:hAnsi="宋体" w:cs="宋体" w:eastAsia="宋体" w:hint="default"/>
          <w:spacing w:val="-3"/>
          <w:sz w:val="18"/>
          <w:szCs w:val="18"/>
        </w:rPr>
        <w:t>2</w:t>
      </w:r>
      <w:r>
        <w:rPr>
          <w:rFonts w:ascii="宋体" w:hAnsi="宋体" w:cs="宋体" w:eastAsia="宋体" w:hint="default"/>
          <w:spacing w:val="-3"/>
          <w:sz w:val="18"/>
          <w:szCs w:val="18"/>
        </w:rPr>
        <w:t>）在上述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期间，如本公司及本公司控制的企业的现有业务或该等企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业为进一步拓展业务范围，与光一科技及其下属公司经营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的业务产生竞争，则本公司及本公司控制的企业将采取停</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止经营产生竞争的业务的方式，或者采取将产生竞争的业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务纳入光一科技的方式，或者采取将产生竞争的业务转让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给无关联关系第三方等的合法方式，使本公司及本公司控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7"/>
          <w:sz w:val="18"/>
          <w:szCs w:val="18"/>
        </w:rPr>
        <w:t>制的企业不再从事与光一科技主营业务相同或类似的业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务。（</w:t>
      </w:r>
      <w:r>
        <w:rPr>
          <w:rFonts w:ascii="宋体" w:hAnsi="宋体" w:cs="宋体" w:eastAsia="宋体" w:hint="default"/>
          <w:spacing w:val="-3"/>
          <w:sz w:val="18"/>
          <w:szCs w:val="18"/>
        </w:rPr>
        <w:t>3</w:t>
      </w:r>
      <w:r>
        <w:rPr>
          <w:rFonts w:ascii="宋体" w:hAnsi="宋体" w:cs="宋体" w:eastAsia="宋体" w:hint="default"/>
          <w:spacing w:val="-3"/>
          <w:sz w:val="18"/>
          <w:szCs w:val="18"/>
        </w:rPr>
        <w:t>）本函自签署出具之日起立即生效，即对本公司具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有法律约束力。自本函生效至本公司作为光一科技股东的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任何时候，本公司将严格遵守并履行本函所作的承诺及保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证义务；对于违反本函承诺及保证义务的，本公司承诺采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取一切必要且有效的措施及时纠正消除由此造成光一科技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的不利影响，并对造成光一科技直接和间接损失承担赔偿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责任。</w:t>
      </w:r>
      <w:r>
        <w:rPr>
          <w:rFonts w:ascii="宋体" w:hAnsi="宋体" w:cs="宋体" w:eastAsia="宋体" w:hint="default"/>
          <w:sz w:val="18"/>
          <w:szCs w:val="18"/>
        </w:rPr>
        <w:t>2</w:t>
      </w:r>
      <w:r>
        <w:rPr>
          <w:rFonts w:ascii="宋体" w:hAnsi="宋体" w:cs="宋体" w:eastAsia="宋体" w:hint="default"/>
          <w:sz w:val="18"/>
          <w:szCs w:val="18"/>
        </w:rPr>
        <w:t>、关于减少和规范关联交易的承诺：（</w:t>
      </w:r>
      <w:r>
        <w:rPr>
          <w:rFonts w:ascii="宋体" w:hAnsi="宋体" w:cs="宋体" w:eastAsia="宋体" w:hint="default"/>
          <w:sz w:val="18"/>
          <w:szCs w:val="18"/>
        </w:rPr>
        <w:t>1</w:t>
      </w:r>
      <w:r>
        <w:rPr>
          <w:rFonts w:ascii="宋体" w:hAnsi="宋体" w:cs="宋体" w:eastAsia="宋体" w:hint="default"/>
          <w:sz w:val="18"/>
          <w:szCs w:val="18"/>
        </w:rPr>
        <w:t>）本次交</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易完成后，本公司及本公司直接或间接控制或影响的企业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与重组后的光一科技及其控股企业之间将减少并尽可能避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免关联交易。对于无法避免或者有合理原因而发生的关联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交易，本公司承诺将按照公平、公允、等价有偿等原则依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法签订协议，履行合法程序，并将按照有关法律、法规、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其他规范性文件以及光一科技公司章程等的规定，依法履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行相关内部决策批准程序并及时履行信息披露义务，保证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不以与市场价格相比显失公允的条件与光一科技进行交</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易，保证不利用关联交易非法转移光一科技的资金、</w:t>
      </w:r>
      <w:r>
        <w:rPr>
          <w:rFonts w:ascii="宋体" w:hAnsi="宋体" w:cs="宋体" w:eastAsia="宋体" w:hint="default"/>
          <w:sz w:val="18"/>
          <w:szCs w:val="18"/>
        </w:rPr>
        <w:t> 亦不利用该类交易从事任何损害光一科技及其他股东合法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权益的行为。（</w:t>
      </w:r>
      <w:r>
        <w:rPr>
          <w:rFonts w:ascii="宋体" w:hAnsi="宋体" w:cs="宋体" w:eastAsia="宋体" w:hint="default"/>
          <w:spacing w:val="-3"/>
          <w:sz w:val="18"/>
          <w:szCs w:val="18"/>
        </w:rPr>
        <w:t>2</w:t>
      </w:r>
      <w:r>
        <w:rPr>
          <w:rFonts w:ascii="宋体" w:hAnsi="宋体" w:cs="宋体" w:eastAsia="宋体" w:hint="default"/>
          <w:spacing w:val="-3"/>
          <w:sz w:val="18"/>
          <w:szCs w:val="18"/>
        </w:rPr>
        <w:t>）本公司及本公司直接或间接控制或影响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的企业将严格避免向光一科技及其控股和参股公司拆借、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占用光一科技及其控股和参股公司资金或采取由光一科技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及其控股和参股公司代垫款、代偿债务等方式侵占光一科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技资金。（</w:t>
      </w:r>
      <w:r>
        <w:rPr>
          <w:rFonts w:ascii="宋体" w:hAnsi="宋体" w:cs="宋体" w:eastAsia="宋体" w:hint="default"/>
          <w:spacing w:val="-3"/>
          <w:sz w:val="18"/>
          <w:szCs w:val="18"/>
        </w:rPr>
        <w:t>3</w:t>
      </w:r>
      <w:r>
        <w:rPr>
          <w:rFonts w:ascii="宋体" w:hAnsi="宋体" w:cs="宋体" w:eastAsia="宋体" w:hint="default"/>
          <w:spacing w:val="-3"/>
          <w:sz w:val="18"/>
          <w:szCs w:val="18"/>
        </w:rPr>
        <w:t>）本次交易完成后本公司将继续严格按照有关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法律法规、规范性文件以及光一科技公司章程的有关规定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行使股东权利；在光一科技股东大会对有关涉及本公司的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关联交易进行表决时，履行回避表决的义务。（</w:t>
      </w:r>
      <w:r>
        <w:rPr>
          <w:rFonts w:ascii="宋体" w:hAnsi="宋体" w:cs="宋体" w:eastAsia="宋体" w:hint="default"/>
          <w:spacing w:val="-3"/>
          <w:sz w:val="18"/>
          <w:szCs w:val="18"/>
        </w:rPr>
        <w:t>4</w:t>
      </w:r>
      <w:r>
        <w:rPr>
          <w:rFonts w:ascii="宋体" w:hAnsi="宋体" w:cs="宋体" w:eastAsia="宋体" w:hint="default"/>
          <w:spacing w:val="-3"/>
          <w:sz w:val="18"/>
          <w:szCs w:val="18"/>
        </w:rPr>
        <w:t>）本公司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保证不通过关联交易取得任何不正当的利益或使光一科技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及其控股和参股公司承担任何不正当的义务。（</w:t>
      </w:r>
      <w:r>
        <w:rPr>
          <w:rFonts w:ascii="宋体" w:hAnsi="宋体" w:cs="宋体" w:eastAsia="宋体" w:hint="default"/>
          <w:spacing w:val="-3"/>
          <w:sz w:val="18"/>
          <w:szCs w:val="18"/>
        </w:rPr>
        <w:t>5</w:t>
      </w:r>
      <w:r>
        <w:rPr>
          <w:rFonts w:ascii="宋体" w:hAnsi="宋体" w:cs="宋体" w:eastAsia="宋体" w:hint="default"/>
          <w:spacing w:val="-3"/>
          <w:sz w:val="18"/>
          <w:szCs w:val="18"/>
        </w:rPr>
        <w:t>）如果因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违反上述承诺导致光一科技或其控股和参股公司损失或利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用关联交易侵占光一科技或其控股和参股公司利益的，本</w:t>
      </w:r>
    </w:p>
    <w:p>
      <w:pPr>
        <w:spacing w:after="0" w:line="316" w:lineRule="auto"/>
        <w:jc w:val="left"/>
        <w:rPr>
          <w:rFonts w:ascii="宋体" w:hAnsi="宋体" w:cs="宋体" w:eastAsia="宋体" w:hint="default"/>
          <w:sz w:val="18"/>
          <w:szCs w:val="18"/>
        </w:rPr>
        <w:sectPr>
          <w:type w:val="continuous"/>
          <w:pgSz w:w="11910" w:h="16840"/>
          <w:pgMar w:top="1040" w:bottom="1180" w:left="0" w:right="0"/>
          <w:cols w:num="2" w:equalWidth="0">
            <w:col w:w="3971" w:space="40"/>
            <w:col w:w="7899"/>
          </w:cols>
        </w:sectPr>
      </w:pPr>
    </w:p>
    <w:p>
      <w:pPr>
        <w:spacing w:line="240" w:lineRule="auto" w:before="0"/>
        <w:rPr>
          <w:rFonts w:ascii="Times New Roman" w:hAnsi="Times New Roman" w:cs="Times New Roman" w:eastAsia="Times New Roman" w:hint="default"/>
          <w:sz w:val="20"/>
          <w:szCs w:val="20"/>
        </w:rPr>
      </w:pPr>
      <w:r>
        <w:rPr/>
        <w:pict>
          <v:shape style="position:absolute;margin-left:364.223022pt;margin-top:393.97998pt;width:120.1pt;height:54.65pt;mso-position-horizontal-relative:page;mso-position-vertical-relative:page;z-index:-9175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0"/>
                    <w:ind w:left="0" w:right="0" w:firstLine="0"/>
                    <w:jc w:val="left"/>
                    <w:rPr>
                      <w:rFonts w:ascii="宋体" w:hAnsi="宋体" w:cs="宋体" w:eastAsia="宋体" w:hint="default"/>
                      <w:sz w:val="18"/>
                      <w:szCs w:val="18"/>
                    </w:rPr>
                  </w:pPr>
                  <w:r>
                    <w:rPr>
                      <w:rFonts w:ascii="宋体" w:hAnsi="宋体" w:cs="宋体" w:eastAsia="宋体" w:hint="default"/>
                      <w:sz w:val="18"/>
                      <w:szCs w:val="18"/>
                    </w:rPr>
                    <w:t>仍应遵守上述承诺。</w:t>
                  </w:r>
                </w:p>
              </w:txbxContent>
            </v:textbox>
            <w10:wrap type="none"/>
          </v:shape>
        </w:pict>
      </w:r>
    </w:p>
    <w:p>
      <w:pPr>
        <w:spacing w:line="240" w:lineRule="auto" w:before="3"/>
        <w:rPr>
          <w:rFonts w:ascii="Times New Roman" w:hAnsi="Times New Roman" w:cs="Times New Roman" w:eastAsia="Times New Roman" w:hint="default"/>
          <w:sz w:val="13"/>
          <w:szCs w:val="13"/>
        </w:rPr>
      </w:pPr>
    </w:p>
    <w:tbl>
      <w:tblPr>
        <w:tblW w:w="0" w:type="auto"/>
        <w:jc w:val="left"/>
        <w:tblInd w:w="568" w:type="dxa"/>
        <w:tblLayout w:type="fixed"/>
        <w:tblCellMar>
          <w:top w:w="0" w:type="dxa"/>
          <w:left w:w="0" w:type="dxa"/>
          <w:bottom w:w="0" w:type="dxa"/>
          <w:right w:w="0" w:type="dxa"/>
        </w:tblCellMar>
        <w:tblLook w:val="01E0"/>
      </w:tblPr>
      <w:tblGrid>
        <w:gridCol w:w="1703"/>
        <w:gridCol w:w="1116"/>
        <w:gridCol w:w="868"/>
        <w:gridCol w:w="4573"/>
        <w:gridCol w:w="851"/>
        <w:gridCol w:w="851"/>
        <w:gridCol w:w="777"/>
      </w:tblGrid>
      <w:tr>
        <w:trPr>
          <w:trHeight w:val="374" w:hRule="exact"/>
        </w:trPr>
        <w:tc>
          <w:tcPr>
            <w:tcW w:w="1703" w:type="dxa"/>
            <w:vMerge w:val="restart"/>
            <w:tcBorders>
              <w:top w:val="single" w:sz="12" w:space="0" w:color="000000"/>
              <w:left w:val="single" w:sz="12" w:space="0" w:color="000000"/>
              <w:right w:val="single" w:sz="6" w:space="0" w:color="000000"/>
            </w:tcBorders>
            <w:shd w:val="clear" w:color="auto" w:fill="D2D2D2"/>
          </w:tcPr>
          <w:p>
            <w:pPr/>
          </w:p>
        </w:tc>
        <w:tc>
          <w:tcPr>
            <w:tcW w:w="1116" w:type="dxa"/>
            <w:tcBorders>
              <w:top w:val="single" w:sz="12" w:space="0" w:color="000000"/>
              <w:left w:val="single" w:sz="6" w:space="0" w:color="000000"/>
              <w:bottom w:val="single" w:sz="6" w:space="0" w:color="000000"/>
              <w:right w:val="single" w:sz="6" w:space="0" w:color="000000"/>
            </w:tcBorders>
          </w:tcPr>
          <w:p>
            <w:pPr/>
          </w:p>
        </w:tc>
        <w:tc>
          <w:tcPr>
            <w:tcW w:w="868" w:type="dxa"/>
            <w:tcBorders>
              <w:top w:val="single" w:sz="12" w:space="0" w:color="000000"/>
              <w:left w:val="single" w:sz="6" w:space="0" w:color="000000"/>
              <w:bottom w:val="single" w:sz="6" w:space="0" w:color="000000"/>
              <w:right w:val="single" w:sz="6" w:space="0" w:color="000000"/>
            </w:tcBorders>
          </w:tcPr>
          <w:p>
            <w:pPr/>
          </w:p>
        </w:tc>
        <w:tc>
          <w:tcPr>
            <w:tcW w:w="45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公司依法承担光一科技或其控股和参股公司的损失。</w:t>
            </w:r>
            <w:r>
              <w:rPr>
                <w:rFonts w:ascii="宋体" w:hAnsi="宋体" w:cs="宋体" w:eastAsia="宋体" w:hint="default"/>
                <w:sz w:val="18"/>
                <w:szCs w:val="18"/>
              </w:rPr>
              <w:t>"</w:t>
            </w:r>
          </w:p>
        </w:tc>
        <w:tc>
          <w:tcPr>
            <w:tcW w:w="851" w:type="dxa"/>
            <w:tcBorders>
              <w:top w:val="single" w:sz="12" w:space="0" w:color="000000"/>
              <w:left w:val="single" w:sz="6" w:space="0" w:color="000000"/>
              <w:bottom w:val="single" w:sz="6" w:space="0" w:color="000000"/>
              <w:right w:val="single" w:sz="6" w:space="0" w:color="000000"/>
            </w:tcBorders>
          </w:tcPr>
          <w:p>
            <w:pPr/>
          </w:p>
        </w:tc>
        <w:tc>
          <w:tcPr>
            <w:tcW w:w="851" w:type="dxa"/>
            <w:tcBorders>
              <w:top w:val="single" w:sz="12" w:space="0" w:color="000000"/>
              <w:left w:val="single" w:sz="6" w:space="0" w:color="000000"/>
              <w:bottom w:val="single" w:sz="6" w:space="0" w:color="000000"/>
              <w:right w:val="single" w:sz="6" w:space="0" w:color="000000"/>
            </w:tcBorders>
          </w:tcPr>
          <w:p>
            <w:pPr/>
          </w:p>
        </w:tc>
        <w:tc>
          <w:tcPr>
            <w:tcW w:w="777" w:type="dxa"/>
            <w:tcBorders>
              <w:top w:val="single" w:sz="12" w:space="0" w:color="000000"/>
              <w:left w:val="single" w:sz="6" w:space="0" w:color="000000"/>
              <w:bottom w:val="single" w:sz="6" w:space="0" w:color="000000"/>
              <w:right w:val="single" w:sz="12" w:space="0" w:color="000000"/>
            </w:tcBorders>
          </w:tcPr>
          <w:p>
            <w:pPr/>
          </w:p>
        </w:tc>
      </w:tr>
      <w:tr>
        <w:trPr>
          <w:trHeight w:val="2903" w:hRule="exact"/>
        </w:trPr>
        <w:tc>
          <w:tcPr>
            <w:tcW w:w="1703" w:type="dxa"/>
            <w:vMerge/>
            <w:tcBorders>
              <w:left w:val="single" w:sz="12" w:space="0" w:color="000000"/>
              <w:bottom w:val="single" w:sz="6" w:space="0" w:color="000000"/>
              <w:right w:val="single" w:sz="6" w:space="0" w:color="000000"/>
            </w:tcBorders>
            <w:shd w:val="clear" w:color="auto" w:fill="D2D2D2"/>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0" w:right="-17"/>
              <w:jc w:val="both"/>
              <w:rPr>
                <w:rFonts w:ascii="宋体" w:hAnsi="宋体" w:cs="宋体" w:eastAsia="宋体" w:hint="default"/>
                <w:sz w:val="18"/>
                <w:szCs w:val="18"/>
              </w:rPr>
            </w:pPr>
            <w:r>
              <w:rPr>
                <w:rFonts w:ascii="宋体" w:hAnsi="宋体" w:cs="宋体" w:eastAsia="宋体" w:hint="default"/>
                <w:spacing w:val="31"/>
                <w:sz w:val="18"/>
                <w:szCs w:val="18"/>
              </w:rPr>
              <w:t>江苏光一投</w:t>
            </w:r>
            <w:r>
              <w:rPr>
                <w:rFonts w:ascii="宋体" w:hAnsi="宋体" w:cs="宋体" w:eastAsia="宋体" w:hint="default"/>
                <w:spacing w:val="-51"/>
                <w:sz w:val="18"/>
                <w:szCs w:val="18"/>
              </w:rPr>
              <w:t> </w:t>
            </w:r>
            <w:r>
              <w:rPr>
                <w:rFonts w:ascii="宋体" w:hAnsi="宋体" w:cs="宋体" w:eastAsia="宋体" w:hint="default"/>
                <w:spacing w:val="31"/>
                <w:sz w:val="18"/>
                <w:szCs w:val="18"/>
              </w:rPr>
              <w:t>资管理有限</w:t>
            </w:r>
            <w:r>
              <w:rPr>
                <w:rFonts w:ascii="宋体" w:hAnsi="宋体" w:cs="宋体" w:eastAsia="宋体" w:hint="default"/>
                <w:spacing w:val="-51"/>
                <w:sz w:val="18"/>
                <w:szCs w:val="18"/>
              </w:rPr>
              <w:t> </w:t>
            </w:r>
            <w:r>
              <w:rPr>
                <w:rFonts w:ascii="宋体" w:hAnsi="宋体" w:cs="宋体" w:eastAsia="宋体" w:hint="default"/>
                <w:spacing w:val="-4"/>
                <w:sz w:val="18"/>
                <w:szCs w:val="18"/>
              </w:rPr>
              <w:t>责任公司、龙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昌明</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18"/>
              <w:jc w:val="both"/>
              <w:rPr>
                <w:rFonts w:ascii="宋体" w:hAnsi="宋体" w:cs="宋体" w:eastAsia="宋体" w:hint="default"/>
                <w:sz w:val="18"/>
                <w:szCs w:val="18"/>
              </w:rPr>
            </w:pPr>
            <w:r>
              <w:rPr>
                <w:rFonts w:ascii="宋体" w:hAnsi="宋体" w:cs="宋体" w:eastAsia="宋体" w:hint="default"/>
                <w:sz w:val="18"/>
                <w:szCs w:val="18"/>
              </w:rPr>
              <w:t>公司控股股东江苏光一投资管理有限责任公司、实际控制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人龙昌明先生就公司发行股份及支付现金购买湖北索瑞电</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气有限公司</w:t>
            </w:r>
            <w:r>
              <w:rPr>
                <w:rFonts w:ascii="宋体" w:hAnsi="宋体" w:cs="宋体" w:eastAsia="宋体" w:hint="default"/>
                <w:spacing w:val="-67"/>
                <w:sz w:val="18"/>
                <w:szCs w:val="18"/>
              </w:rPr>
              <w:t> </w:t>
            </w:r>
            <w:r>
              <w:rPr>
                <w:rFonts w:ascii="宋体" w:hAnsi="宋体" w:cs="宋体" w:eastAsia="宋体" w:hint="default"/>
                <w:sz w:val="18"/>
                <w:szCs w:val="18"/>
              </w:rPr>
              <w:t>84.82%</w:t>
            </w:r>
            <w:r>
              <w:rPr>
                <w:rFonts w:ascii="宋体" w:hAnsi="宋体" w:cs="宋体" w:eastAsia="宋体" w:hint="default"/>
                <w:sz w:val="18"/>
                <w:szCs w:val="18"/>
              </w:rPr>
              <w:t>股权事项承诺：在本次交易完成后，本 </w:t>
            </w:r>
            <w:r>
              <w:rPr>
                <w:rFonts w:ascii="宋体" w:hAnsi="宋体" w:cs="宋体" w:eastAsia="宋体" w:hint="default"/>
                <w:spacing w:val="-3"/>
                <w:sz w:val="18"/>
                <w:szCs w:val="18"/>
              </w:rPr>
              <w:t>公司</w:t>
            </w:r>
            <w:r>
              <w:rPr>
                <w:rFonts w:ascii="宋体" w:hAnsi="宋体" w:cs="宋体" w:eastAsia="宋体" w:hint="default"/>
                <w:spacing w:val="-3"/>
                <w:sz w:val="18"/>
                <w:szCs w:val="18"/>
              </w:rPr>
              <w:t>/</w:t>
            </w:r>
            <w:r>
              <w:rPr>
                <w:rFonts w:ascii="宋体" w:hAnsi="宋体" w:cs="宋体" w:eastAsia="宋体" w:hint="default"/>
                <w:spacing w:val="-3"/>
                <w:sz w:val="18"/>
                <w:szCs w:val="18"/>
              </w:rPr>
              <w:t>本人将按照《公司法》、《证券法》和其他有关法律</w:t>
            </w:r>
            <w:r>
              <w:rPr>
                <w:rFonts w:ascii="宋体" w:hAnsi="宋体" w:cs="宋体" w:eastAsia="宋体" w:hint="default"/>
                <w:sz w:val="18"/>
                <w:szCs w:val="18"/>
              </w:rPr>
              <w:t> 法规对上市公司的要求，合法合规地行使股东权利并履行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相应的义务，采取切实有效措施保证上市公司及其子公司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在业务、资产、人员、机构和财务等方面的独立和完整，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同时确保上市公司在采购、生产、销售、知识产权等方面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保持独立，使上市公司具有完全和完整的独立经营能力。</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344" w:hRule="exact"/>
        </w:trPr>
        <w:tc>
          <w:tcPr>
            <w:tcW w:w="1703"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2"/>
              <w:ind w:left="13" w:right="45"/>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0" w:right="-17"/>
              <w:jc w:val="both"/>
              <w:rPr>
                <w:rFonts w:ascii="宋体" w:hAnsi="宋体" w:cs="宋体" w:eastAsia="宋体" w:hint="default"/>
                <w:sz w:val="18"/>
                <w:szCs w:val="18"/>
              </w:rPr>
            </w:pPr>
            <w:r>
              <w:rPr>
                <w:rFonts w:ascii="宋体" w:hAnsi="宋体" w:cs="宋体" w:eastAsia="宋体" w:hint="default"/>
                <w:spacing w:val="31"/>
                <w:sz w:val="18"/>
                <w:szCs w:val="18"/>
              </w:rPr>
              <w:t>江苏光一投</w:t>
            </w:r>
            <w:r>
              <w:rPr>
                <w:rFonts w:ascii="宋体" w:hAnsi="宋体" w:cs="宋体" w:eastAsia="宋体" w:hint="default"/>
                <w:spacing w:val="-51"/>
                <w:sz w:val="18"/>
                <w:szCs w:val="18"/>
              </w:rPr>
              <w:t> </w:t>
            </w:r>
            <w:r>
              <w:rPr>
                <w:rFonts w:ascii="宋体" w:hAnsi="宋体" w:cs="宋体" w:eastAsia="宋体" w:hint="default"/>
                <w:spacing w:val="31"/>
                <w:sz w:val="18"/>
                <w:szCs w:val="18"/>
              </w:rPr>
              <w:t>资管理有限</w:t>
            </w:r>
            <w:r>
              <w:rPr>
                <w:rFonts w:ascii="宋体" w:hAnsi="宋体" w:cs="宋体" w:eastAsia="宋体" w:hint="default"/>
                <w:spacing w:val="-51"/>
                <w:sz w:val="18"/>
                <w:szCs w:val="18"/>
              </w:rPr>
              <w:t> </w:t>
            </w:r>
            <w:r>
              <w:rPr>
                <w:rFonts w:ascii="宋体" w:hAnsi="宋体" w:cs="宋体" w:eastAsia="宋体" w:hint="default"/>
                <w:sz w:val="18"/>
                <w:szCs w:val="18"/>
              </w:rPr>
              <w:t>责任公司</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0" w:right="110"/>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20"/>
              <w:jc w:val="both"/>
              <w:rPr>
                <w:rFonts w:ascii="宋体" w:hAnsi="宋体" w:cs="宋体" w:eastAsia="宋体" w:hint="default"/>
                <w:sz w:val="18"/>
                <w:szCs w:val="18"/>
              </w:rPr>
            </w:pPr>
            <w:r>
              <w:rPr>
                <w:rFonts w:ascii="宋体" w:hAnsi="宋体" w:cs="宋体" w:eastAsia="宋体" w:hint="default"/>
                <w:sz w:val="18"/>
                <w:szCs w:val="18"/>
              </w:rPr>
              <w:t>自股份公司股票上市之日起三十六个月内，本公司不转让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或委托他人管理本公司直接或间接持有的股份公司股份，</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也不由股份公司回购该等股份，并将依法办理所持股份的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锁定手续。</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10</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0"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903" w:hRule="exact"/>
        </w:trPr>
        <w:tc>
          <w:tcPr>
            <w:tcW w:w="1703" w:type="dxa"/>
            <w:vMerge/>
            <w:tcBorders>
              <w:left w:val="single" w:sz="12" w:space="0" w:color="000000"/>
              <w:right w:val="single" w:sz="6" w:space="0" w:color="000000"/>
            </w:tcBorders>
            <w:shd w:val="clear" w:color="auto" w:fill="D2D2D2"/>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龙昌明</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0" w:right="110"/>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1" w:right="18"/>
              <w:jc w:val="both"/>
              <w:rPr>
                <w:rFonts w:ascii="宋体" w:hAnsi="宋体" w:cs="宋体" w:eastAsia="宋体" w:hint="default"/>
                <w:sz w:val="18"/>
                <w:szCs w:val="18"/>
              </w:rPr>
            </w:pPr>
            <w:r>
              <w:rPr>
                <w:rFonts w:ascii="宋体" w:hAnsi="宋体" w:cs="宋体" w:eastAsia="宋体" w:hint="default"/>
                <w:sz w:val="18"/>
                <w:szCs w:val="18"/>
              </w:rPr>
              <w:t>自公司股票上市之日起三十六个月内，不转让或委托他人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管理本人直接或间接持有的公司股份，也不由公司回购该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等股份，并将依法办理所持股份的锁定手续。前述锁定期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满后，龙昌明在任职期间，每年转让的股份不超过本人直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接或间接所持股份总数的</w:t>
            </w:r>
            <w:r>
              <w:rPr>
                <w:rFonts w:ascii="宋体" w:hAnsi="宋体" w:cs="宋体" w:eastAsia="宋体" w:hint="default"/>
                <w:spacing w:val="11"/>
                <w:sz w:val="18"/>
                <w:szCs w:val="18"/>
              </w:rPr>
              <w:t> </w:t>
            </w:r>
            <w:r>
              <w:rPr>
                <w:rFonts w:ascii="宋体" w:hAnsi="宋体" w:cs="宋体" w:eastAsia="宋体" w:hint="default"/>
                <w:sz w:val="18"/>
                <w:szCs w:val="18"/>
              </w:rPr>
              <w:t>25%</w:t>
            </w:r>
            <w:r>
              <w:rPr>
                <w:rFonts w:ascii="宋体" w:hAnsi="宋体" w:cs="宋体" w:eastAsia="宋体" w:hint="default"/>
                <w:sz w:val="18"/>
                <w:szCs w:val="18"/>
              </w:rPr>
              <w:t>，离职后半年内不转让本人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直接或间接持有的公司股份。离职六个月后的十二个月内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通过证券交易所挂牌交易出售股票数量占其直接所持股份</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总数的比例不超过</w:t>
            </w:r>
            <w:r>
              <w:rPr>
                <w:rFonts w:ascii="宋体" w:hAnsi="宋体" w:cs="宋体" w:eastAsia="宋体" w:hint="default"/>
                <w:spacing w:val="10"/>
                <w:sz w:val="18"/>
                <w:szCs w:val="18"/>
              </w:rPr>
              <w:t> </w:t>
            </w:r>
            <w:r>
              <w:rPr>
                <w:rFonts w:ascii="宋体" w:hAnsi="宋体" w:cs="宋体" w:eastAsia="宋体" w:hint="default"/>
                <w:sz w:val="18"/>
                <w:szCs w:val="18"/>
              </w:rPr>
              <w:t>50%</w:t>
            </w:r>
            <w:r>
              <w:rPr>
                <w:rFonts w:ascii="宋体" w:hAnsi="宋体" w:cs="宋体" w:eastAsia="宋体" w:hint="default"/>
                <w:sz w:val="18"/>
                <w:szCs w:val="18"/>
              </w:rPr>
              <w:t>。因公司进行权益分派等导致本人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直接或间接持有公司股份发生变化的，</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10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41.85pt;height:54.65pt;mso-position-horizontal-relative:char;mso-position-vertical-relative:line" coordorigin="0,0" coordsize="837,1093">
                  <v:group style="position:absolute;left:0;top:0;width:837;height:1093" coordorigin="0,0" coordsize="837,1093">
                    <v:shape style="position:absolute;left:0;top:0;width:837;height:1093" coordorigin="0,0" coordsize="837,1093" path="m0,1092l836,1092,836,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10</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031" w:hRule="exact"/>
        </w:trPr>
        <w:tc>
          <w:tcPr>
            <w:tcW w:w="1703" w:type="dxa"/>
            <w:vMerge/>
            <w:tcBorders>
              <w:left w:val="single" w:sz="12" w:space="0" w:color="000000"/>
              <w:right w:val="single" w:sz="6" w:space="0" w:color="000000"/>
            </w:tcBorders>
            <w:shd w:val="clear" w:color="auto" w:fill="D2D2D2"/>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熊珂</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0" w:right="110"/>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7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1" w:right="21"/>
              <w:jc w:val="both"/>
              <w:rPr>
                <w:rFonts w:ascii="宋体" w:hAnsi="宋体" w:cs="宋体" w:eastAsia="宋体" w:hint="default"/>
                <w:sz w:val="18"/>
                <w:szCs w:val="18"/>
              </w:rPr>
            </w:pPr>
            <w:r>
              <w:rPr>
                <w:rFonts w:ascii="宋体" w:hAnsi="宋体" w:cs="宋体" w:eastAsia="宋体" w:hint="default"/>
                <w:sz w:val="18"/>
                <w:szCs w:val="18"/>
              </w:rPr>
              <w:t>自公司股票上市之日起三十六个月内，不转让或委托他人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管理本人直接或间接持有的公司股份，也不由公司回购该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等股份，并将依法办理所持股份的锁定手续。</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10</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775" w:hRule="exact"/>
        </w:trPr>
        <w:tc>
          <w:tcPr>
            <w:tcW w:w="1703" w:type="dxa"/>
            <w:vMerge/>
            <w:tcBorders>
              <w:left w:val="single" w:sz="12" w:space="0" w:color="000000"/>
              <w:right w:val="single" w:sz="6" w:space="0" w:color="000000"/>
            </w:tcBorders>
            <w:shd w:val="clear" w:color="auto" w:fill="D2D2D2"/>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20" w:right="-17"/>
              <w:jc w:val="both"/>
              <w:rPr>
                <w:rFonts w:ascii="宋体" w:hAnsi="宋体" w:cs="宋体" w:eastAsia="宋体" w:hint="default"/>
                <w:sz w:val="18"/>
                <w:szCs w:val="18"/>
              </w:rPr>
            </w:pPr>
            <w:r>
              <w:rPr>
                <w:rFonts w:ascii="宋体" w:hAnsi="宋体" w:cs="宋体" w:eastAsia="宋体" w:hint="default"/>
                <w:spacing w:val="31"/>
                <w:sz w:val="18"/>
                <w:szCs w:val="18"/>
              </w:rPr>
              <w:t>江苏光一投</w:t>
            </w:r>
            <w:r>
              <w:rPr>
                <w:rFonts w:ascii="宋体" w:hAnsi="宋体" w:cs="宋体" w:eastAsia="宋体" w:hint="default"/>
                <w:spacing w:val="-51"/>
                <w:sz w:val="18"/>
                <w:szCs w:val="18"/>
              </w:rPr>
              <w:t> </w:t>
            </w:r>
            <w:r>
              <w:rPr>
                <w:rFonts w:ascii="宋体" w:hAnsi="宋体" w:cs="宋体" w:eastAsia="宋体" w:hint="default"/>
                <w:spacing w:val="31"/>
                <w:sz w:val="18"/>
                <w:szCs w:val="18"/>
              </w:rPr>
              <w:t>资管理有限</w:t>
            </w:r>
            <w:r>
              <w:rPr>
                <w:rFonts w:ascii="宋体" w:hAnsi="宋体" w:cs="宋体" w:eastAsia="宋体" w:hint="default"/>
                <w:spacing w:val="-51"/>
                <w:sz w:val="18"/>
                <w:szCs w:val="18"/>
              </w:rPr>
              <w:t> </w:t>
            </w:r>
            <w:r>
              <w:rPr>
                <w:rFonts w:ascii="宋体" w:hAnsi="宋体" w:cs="宋体" w:eastAsia="宋体" w:hint="default"/>
                <w:spacing w:val="-4"/>
                <w:sz w:val="18"/>
                <w:szCs w:val="18"/>
              </w:rPr>
              <w:t>责任公司、龙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昌明、熊珂</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0" w:right="18"/>
              <w:jc w:val="left"/>
              <w:rPr>
                <w:rFonts w:ascii="宋体" w:hAnsi="宋体" w:cs="宋体" w:eastAsia="宋体" w:hint="default"/>
                <w:sz w:val="18"/>
                <w:szCs w:val="18"/>
              </w:rPr>
            </w:pPr>
            <w:r>
              <w:rPr>
                <w:rFonts w:ascii="宋体" w:hAnsi="宋体" w:cs="宋体" w:eastAsia="宋体" w:hint="default"/>
                <w:sz w:val="18"/>
                <w:szCs w:val="18"/>
              </w:rPr>
              <w:t>关于同业 </w:t>
            </w:r>
            <w:r>
              <w:rPr>
                <w:rFonts w:ascii="宋体" w:hAnsi="宋体" w:cs="宋体" w:eastAsia="宋体" w:hint="default"/>
                <w:spacing w:val="-18"/>
                <w:sz w:val="18"/>
                <w:szCs w:val="18"/>
              </w:rPr>
              <w:t>竞争、关联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8"/>
                <w:sz w:val="18"/>
                <w:szCs w:val="18"/>
              </w:rPr>
              <w:t>交易、资金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占用方面 的承诺</w:t>
            </w:r>
          </w:p>
        </w:tc>
        <w:tc>
          <w:tcPr>
            <w:tcW w:w="457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1"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、公司控股股东光一投资、实际控制人龙昌明及关联人熊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珂分别出具《关于避免同业竞争的声明、承诺及保证函》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承诺对于公司目前从事的业务以及未来从事的业务，光一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投资</w:t>
            </w:r>
            <w:r>
              <w:rPr>
                <w:rFonts w:ascii="宋体" w:hAnsi="宋体" w:cs="宋体" w:eastAsia="宋体" w:hint="default"/>
                <w:sz w:val="18"/>
                <w:szCs w:val="18"/>
              </w:rPr>
              <w:t>/</w:t>
            </w:r>
            <w:r>
              <w:rPr>
                <w:rFonts w:ascii="宋体" w:hAnsi="宋体" w:cs="宋体" w:eastAsia="宋体" w:hint="default"/>
                <w:sz w:val="18"/>
                <w:szCs w:val="18"/>
              </w:rPr>
              <w:t>龙昌明</w:t>
            </w:r>
            <w:r>
              <w:rPr>
                <w:rFonts w:ascii="宋体" w:hAnsi="宋体" w:cs="宋体" w:eastAsia="宋体" w:hint="default"/>
                <w:sz w:val="18"/>
                <w:szCs w:val="18"/>
              </w:rPr>
              <w:t>/</w:t>
            </w:r>
            <w:r>
              <w:rPr>
                <w:rFonts w:ascii="宋体" w:hAnsi="宋体" w:cs="宋体" w:eastAsia="宋体" w:hint="default"/>
                <w:sz w:val="18"/>
                <w:szCs w:val="18"/>
              </w:rPr>
              <w:t>熊珂自身不会，也不会通过投资、合资、合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作、联营、委托经营、承包、租赁经营等任何方式从事与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公司构成竞争的业务。</w:t>
            </w:r>
            <w:r>
              <w:rPr>
                <w:rFonts w:ascii="宋体" w:hAnsi="宋体" w:cs="宋体" w:eastAsia="宋体" w:hint="default"/>
                <w:spacing w:val="-3"/>
                <w:sz w:val="18"/>
                <w:szCs w:val="18"/>
              </w:rPr>
              <w:t>2</w:t>
            </w:r>
            <w:r>
              <w:rPr>
                <w:rFonts w:ascii="宋体" w:hAnsi="宋体" w:cs="宋体" w:eastAsia="宋体" w:hint="default"/>
                <w:spacing w:val="-3"/>
                <w:sz w:val="18"/>
                <w:szCs w:val="18"/>
              </w:rPr>
              <w:t>、公司控股股东光一投资、实际控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制人龙昌明及关联人熊珂分别出具《关于避免、减少关联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交易的承诺函》，承诺光一投资、龙昌明、熊珂及其所有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参股、控股公司或者企业，今后原则上不与公司发生关联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交易，如在今后的经营活动中确有必要与公司之间发生无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法避免的关联交易，则此种交易应当是对公司有益的，且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必须按正常的商业条件进行。有关关联交易将严格按照国</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家有关法律法规、公司章程的规定履行有关程序，保证不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要求或接受公司在任何一项交易中给予光一投资及本人优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于给予任何其他独立第三方的条件。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02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pict>
                <v:group style="width:41.85pt;height:101.4pt;mso-position-horizontal-relative:char;mso-position-vertical-relative:line" coordorigin="0,0" coordsize="837,2028">
                  <v:group style="position:absolute;left:0;top:0;width:837;height:2028" coordorigin="0,0" coordsize="837,2028">
                    <v:shape style="position:absolute;left:0;top:0;width:837;height:2028" coordorigin="0,0" coordsize="837,2028" path="m0,2028l836,2028,836,0,0,0,0,2028xe" filled="true" fillcolor="#ffffff" stroked="false">
                      <v:path arrowok="t"/>
                      <v:fill type="solid"/>
                    </v:shape>
                  </v:group>
                </v:group>
              </w:pict>
            </w:r>
            <w:r>
              <w:rPr>
                <w:rFonts w:ascii="Times New Roman" w:hAnsi="Times New Roman" w:cs="Times New Roman" w:eastAsia="Times New Roman" w:hint="default"/>
                <w:position w:val="-40"/>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15" w:hRule="exact"/>
        </w:trPr>
        <w:tc>
          <w:tcPr>
            <w:tcW w:w="1703" w:type="dxa"/>
            <w:vMerge/>
            <w:tcBorders>
              <w:left w:val="single" w:sz="12" w:space="0" w:color="000000"/>
              <w:bottom w:val="single" w:sz="12" w:space="0" w:color="000000"/>
              <w:right w:val="single" w:sz="6" w:space="0" w:color="000000"/>
            </w:tcBorders>
            <w:shd w:val="clear" w:color="auto" w:fill="D2D2D2"/>
          </w:tcPr>
          <w:p>
            <w:pPr/>
          </w:p>
        </w:tc>
        <w:tc>
          <w:tcPr>
            <w:tcW w:w="11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20" w:right="-17"/>
              <w:jc w:val="center"/>
              <w:rPr>
                <w:rFonts w:ascii="宋体" w:hAnsi="宋体" w:cs="宋体" w:eastAsia="宋体" w:hint="default"/>
                <w:sz w:val="18"/>
                <w:szCs w:val="18"/>
              </w:rPr>
            </w:pPr>
            <w:r>
              <w:rPr>
                <w:rFonts w:ascii="宋体" w:hAnsi="宋体" w:cs="宋体" w:eastAsia="宋体" w:hint="default"/>
                <w:spacing w:val="31"/>
                <w:sz w:val="18"/>
                <w:szCs w:val="18"/>
              </w:rPr>
              <w:t>江苏光一投</w:t>
            </w:r>
            <w:r>
              <w:rPr>
                <w:rFonts w:ascii="宋体" w:hAnsi="宋体" w:cs="宋体" w:eastAsia="宋体" w:hint="default"/>
                <w:spacing w:val="-51"/>
                <w:sz w:val="18"/>
                <w:szCs w:val="18"/>
              </w:rPr>
              <w:t> </w:t>
            </w:r>
            <w:r>
              <w:rPr>
                <w:rFonts w:ascii="宋体" w:hAnsi="宋体" w:cs="宋体" w:eastAsia="宋体" w:hint="default"/>
                <w:sz w:val="18"/>
                <w:szCs w:val="18"/>
              </w:rPr>
            </w:r>
          </w:p>
        </w:tc>
        <w:tc>
          <w:tcPr>
            <w:tcW w:w="8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20" w:right="0"/>
              <w:jc w:val="left"/>
              <w:rPr>
                <w:rFonts w:ascii="宋体" w:hAnsi="宋体" w:cs="宋体" w:eastAsia="宋体" w:hint="default"/>
                <w:sz w:val="18"/>
                <w:szCs w:val="18"/>
              </w:rPr>
            </w:pPr>
            <w:r>
              <w:rPr>
                <w:rFonts w:ascii="宋体" w:hAnsi="宋体" w:cs="宋体" w:eastAsia="宋体" w:hint="default"/>
                <w:sz w:val="18"/>
                <w:szCs w:val="18"/>
              </w:rPr>
              <w:t>关于同业</w:t>
            </w:r>
          </w:p>
        </w:tc>
        <w:tc>
          <w:tcPr>
            <w:tcW w:w="45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21" w:right="0"/>
              <w:jc w:val="left"/>
              <w:rPr>
                <w:rFonts w:ascii="宋体" w:hAnsi="宋体" w:cs="宋体" w:eastAsia="宋体" w:hint="default"/>
                <w:sz w:val="18"/>
                <w:szCs w:val="18"/>
              </w:rPr>
            </w:pPr>
            <w:r>
              <w:rPr>
                <w:rFonts w:ascii="宋体" w:hAnsi="宋体" w:cs="宋体" w:eastAsia="宋体" w:hint="default"/>
                <w:sz w:val="18"/>
                <w:szCs w:val="18"/>
              </w:rPr>
              <w:t>光一投资、实际控制人龙昌明及关联人熊珂分别出具《关</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7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568" w:type="dxa"/>
        <w:tblLayout w:type="fixed"/>
        <w:tblCellMar>
          <w:top w:w="0" w:type="dxa"/>
          <w:left w:w="0" w:type="dxa"/>
          <w:bottom w:w="0" w:type="dxa"/>
          <w:right w:w="0" w:type="dxa"/>
        </w:tblCellMar>
        <w:tblLook w:val="01E0"/>
      </w:tblPr>
      <w:tblGrid>
        <w:gridCol w:w="1703"/>
        <w:gridCol w:w="1116"/>
        <w:gridCol w:w="868"/>
        <w:gridCol w:w="4573"/>
        <w:gridCol w:w="851"/>
        <w:gridCol w:w="851"/>
        <w:gridCol w:w="777"/>
      </w:tblGrid>
      <w:tr>
        <w:trPr>
          <w:trHeight w:val="1310" w:hRule="exact"/>
        </w:trPr>
        <w:tc>
          <w:tcPr>
            <w:tcW w:w="1703" w:type="dxa"/>
            <w:vMerge w:val="restart"/>
            <w:tcBorders>
              <w:top w:val="single" w:sz="12" w:space="0" w:color="000000"/>
              <w:left w:val="single" w:sz="12" w:space="0" w:color="000000"/>
              <w:right w:val="single" w:sz="6" w:space="0" w:color="000000"/>
            </w:tcBorders>
            <w:shd w:val="clear" w:color="auto" w:fill="D2D2D2"/>
          </w:tcPr>
          <w:p>
            <w:pPr/>
          </w:p>
        </w:tc>
        <w:tc>
          <w:tcPr>
            <w:tcW w:w="1116" w:type="dxa"/>
            <w:tcBorders>
              <w:top w:val="single" w:sz="12" w:space="0" w:color="000000"/>
              <w:left w:val="single" w:sz="6" w:space="0" w:color="000000"/>
              <w:bottom w:val="single" w:sz="6" w:space="0" w:color="000000"/>
              <w:right w:val="single" w:sz="6" w:space="0" w:color="000000"/>
            </w:tcBorders>
          </w:tcPr>
          <w:p>
            <w:pPr>
              <w:pStyle w:val="TableParagraph"/>
              <w:spacing w:line="319" w:lineRule="auto" w:before="10"/>
              <w:ind w:left="20" w:right="-17"/>
              <w:jc w:val="both"/>
              <w:rPr>
                <w:rFonts w:ascii="宋体" w:hAnsi="宋体" w:cs="宋体" w:eastAsia="宋体" w:hint="default"/>
                <w:sz w:val="18"/>
                <w:szCs w:val="18"/>
              </w:rPr>
            </w:pPr>
            <w:r>
              <w:rPr>
                <w:rFonts w:ascii="宋体" w:hAnsi="宋体" w:cs="宋体" w:eastAsia="宋体" w:hint="default"/>
                <w:spacing w:val="31"/>
                <w:sz w:val="18"/>
                <w:szCs w:val="18"/>
              </w:rPr>
              <w:t>资管理有限</w:t>
            </w:r>
            <w:r>
              <w:rPr>
                <w:rFonts w:ascii="宋体" w:hAnsi="宋体" w:cs="宋体" w:eastAsia="宋体" w:hint="default"/>
                <w:spacing w:val="-51"/>
                <w:sz w:val="18"/>
                <w:szCs w:val="18"/>
              </w:rPr>
              <w:t> </w:t>
            </w:r>
            <w:r>
              <w:rPr>
                <w:rFonts w:ascii="宋体" w:hAnsi="宋体" w:cs="宋体" w:eastAsia="宋体" w:hint="default"/>
                <w:spacing w:val="-4"/>
                <w:sz w:val="18"/>
                <w:szCs w:val="18"/>
              </w:rPr>
              <w:t>责任公司、龙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昌明、熊珂</w:t>
            </w:r>
          </w:p>
        </w:tc>
        <w:tc>
          <w:tcPr>
            <w:tcW w:w="868" w:type="dxa"/>
            <w:tcBorders>
              <w:top w:val="single" w:sz="12" w:space="0" w:color="000000"/>
              <w:left w:val="single" w:sz="6" w:space="0" w:color="000000"/>
              <w:bottom w:val="single" w:sz="6" w:space="0" w:color="000000"/>
              <w:right w:val="single" w:sz="6" w:space="0" w:color="000000"/>
            </w:tcBorders>
          </w:tcPr>
          <w:p>
            <w:pPr>
              <w:pStyle w:val="TableParagraph"/>
              <w:spacing w:line="319" w:lineRule="auto" w:before="10"/>
              <w:ind w:left="20" w:right="18"/>
              <w:jc w:val="left"/>
              <w:rPr>
                <w:rFonts w:ascii="宋体" w:hAnsi="宋体" w:cs="宋体" w:eastAsia="宋体" w:hint="default"/>
                <w:sz w:val="18"/>
                <w:szCs w:val="18"/>
              </w:rPr>
            </w:pPr>
            <w:r>
              <w:rPr>
                <w:rFonts w:ascii="宋体" w:hAnsi="宋体" w:cs="宋体" w:eastAsia="宋体" w:hint="default"/>
                <w:spacing w:val="-18"/>
                <w:sz w:val="18"/>
                <w:szCs w:val="18"/>
              </w:rPr>
              <w:t>竞争、关联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8"/>
                <w:sz w:val="18"/>
                <w:szCs w:val="18"/>
              </w:rPr>
              <w:t>交易、资金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占用方面 的承诺</w:t>
            </w:r>
          </w:p>
        </w:tc>
        <w:tc>
          <w:tcPr>
            <w:tcW w:w="4573" w:type="dxa"/>
            <w:tcBorders>
              <w:top w:val="single" w:sz="12" w:space="0" w:color="000000"/>
              <w:left w:val="single" w:sz="6" w:space="0" w:color="000000"/>
              <w:bottom w:val="single" w:sz="6" w:space="0" w:color="000000"/>
              <w:right w:val="single" w:sz="6" w:space="0" w:color="000000"/>
            </w:tcBorders>
          </w:tcPr>
          <w:p>
            <w:pPr>
              <w:pStyle w:val="TableParagraph"/>
              <w:spacing w:line="319" w:lineRule="auto" w:before="10"/>
              <w:ind w:left="21" w:right="18"/>
              <w:jc w:val="both"/>
              <w:rPr>
                <w:rFonts w:ascii="宋体" w:hAnsi="宋体" w:cs="宋体" w:eastAsia="宋体" w:hint="default"/>
                <w:sz w:val="18"/>
                <w:szCs w:val="18"/>
              </w:rPr>
            </w:pPr>
            <w:r>
              <w:rPr>
                <w:rFonts w:ascii="宋体" w:hAnsi="宋体" w:cs="宋体" w:eastAsia="宋体" w:hint="default"/>
                <w:spacing w:val="-3"/>
                <w:sz w:val="18"/>
                <w:szCs w:val="18"/>
              </w:rPr>
              <w:t>于不占用资金的承诺函》，承诺保证不利用控股股东</w:t>
            </w:r>
            <w:r>
              <w:rPr>
                <w:rFonts w:ascii="宋体" w:hAnsi="宋体" w:cs="宋体" w:eastAsia="宋体" w:hint="default"/>
                <w:spacing w:val="-3"/>
                <w:sz w:val="18"/>
                <w:szCs w:val="18"/>
              </w:rPr>
              <w:t>/</w:t>
            </w:r>
            <w:r>
              <w:rPr>
                <w:rFonts w:ascii="宋体" w:hAnsi="宋体" w:cs="宋体" w:eastAsia="宋体" w:hint="default"/>
                <w:spacing w:val="-3"/>
                <w:sz w:val="18"/>
                <w:szCs w:val="18"/>
              </w:rPr>
              <w:t>实际</w:t>
            </w:r>
            <w:r>
              <w:rPr>
                <w:rFonts w:ascii="宋体" w:hAnsi="宋体" w:cs="宋体" w:eastAsia="宋体" w:hint="default"/>
                <w:spacing w:val="-88"/>
                <w:sz w:val="18"/>
                <w:szCs w:val="18"/>
              </w:rPr>
              <w:t> </w:t>
            </w:r>
            <w:r>
              <w:rPr>
                <w:rFonts w:ascii="宋体" w:hAnsi="宋体" w:cs="宋体" w:eastAsia="宋体" w:hint="default"/>
                <w:spacing w:val="-3"/>
                <w:sz w:val="18"/>
                <w:szCs w:val="18"/>
              </w:rPr>
              <w:t>控制人</w:t>
            </w:r>
            <w:r>
              <w:rPr>
                <w:rFonts w:ascii="宋体" w:hAnsi="宋体" w:cs="宋体" w:eastAsia="宋体" w:hint="default"/>
                <w:spacing w:val="-3"/>
                <w:sz w:val="18"/>
                <w:szCs w:val="18"/>
              </w:rPr>
              <w:t>/</w:t>
            </w:r>
            <w:r>
              <w:rPr>
                <w:rFonts w:ascii="宋体" w:hAnsi="宋体" w:cs="宋体" w:eastAsia="宋体" w:hint="default"/>
                <w:spacing w:val="-3"/>
                <w:sz w:val="18"/>
                <w:szCs w:val="18"/>
              </w:rPr>
              <w:t>实际控制人的一致行动人的地位，直接或间接地占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用公司资金。</w:t>
            </w:r>
          </w:p>
        </w:tc>
        <w:tc>
          <w:tcPr>
            <w:tcW w:w="8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12" w:space="0" w:color="000000"/>
              <w:left w:val="single" w:sz="6" w:space="0" w:color="000000"/>
              <w:bottom w:val="single" w:sz="6" w:space="0" w:color="000000"/>
              <w:right w:val="single" w:sz="6" w:space="0" w:color="000000"/>
            </w:tcBorders>
          </w:tcPr>
          <w:p>
            <w:pPr/>
          </w:p>
        </w:tc>
        <w:tc>
          <w:tcPr>
            <w:tcW w:w="777" w:type="dxa"/>
            <w:tcBorders>
              <w:top w:val="single" w:sz="12" w:space="0" w:color="000000"/>
              <w:left w:val="single" w:sz="6" w:space="0" w:color="000000"/>
              <w:bottom w:val="single" w:sz="6" w:space="0" w:color="000000"/>
              <w:right w:val="single" w:sz="12" w:space="0" w:color="000000"/>
            </w:tcBorders>
          </w:tcPr>
          <w:p>
            <w:pPr/>
          </w:p>
        </w:tc>
      </w:tr>
      <w:tr>
        <w:trPr>
          <w:trHeight w:val="4151" w:hRule="exact"/>
        </w:trPr>
        <w:tc>
          <w:tcPr>
            <w:tcW w:w="1703" w:type="dxa"/>
            <w:vMerge/>
            <w:tcBorders>
              <w:left w:val="single" w:sz="12" w:space="0" w:color="000000"/>
              <w:right w:val="single" w:sz="6" w:space="0" w:color="000000"/>
            </w:tcBorders>
            <w:shd w:val="clear" w:color="auto" w:fill="D2D2D2"/>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3"/>
              <w:ind w:left="21" w:right="18"/>
              <w:jc w:val="both"/>
              <w:rPr>
                <w:rFonts w:ascii="宋体" w:hAnsi="宋体" w:cs="宋体" w:eastAsia="宋体" w:hint="default"/>
                <w:sz w:val="18"/>
                <w:szCs w:val="18"/>
              </w:rPr>
            </w:pPr>
            <w:r>
              <w:rPr>
                <w:rFonts w:ascii="宋体" w:hAnsi="宋体" w:cs="宋体" w:eastAsia="宋体" w:hint="default"/>
                <w:spacing w:val="-7"/>
                <w:sz w:val="18"/>
                <w:szCs w:val="18"/>
              </w:rPr>
              <w:t>"1</w:t>
            </w:r>
            <w:r>
              <w:rPr>
                <w:rFonts w:ascii="宋体" w:hAnsi="宋体" w:cs="宋体" w:eastAsia="宋体" w:hint="default"/>
                <w:spacing w:val="-7"/>
                <w:sz w:val="18"/>
                <w:szCs w:val="18"/>
              </w:rPr>
              <w:t>、关于社会保障缴纳的承诺：实际控制人龙昌明出具《承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诺函》，承诺如果未来社保管理机关、住房公积金管理机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关要求公司补缴其于股票发行上市前应缴未缴的员工社保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金、住房公积金的，则公司补缴社保金、住房公积金由光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一投资及龙昌明共同全额补偿给公司；如果公司因此遭受</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行政处罚、民事索赔的，有关罚金及赔偿金也由光一投资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及龙昌明共同全额补偿给公司。光一投资及龙昌明对公司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所负前述义务和责任为共同不可区分的连带责任。</w:t>
            </w:r>
            <w:r>
              <w:rPr>
                <w:rFonts w:ascii="宋体" w:hAnsi="宋体" w:cs="宋体" w:eastAsia="宋体" w:hint="default"/>
                <w:spacing w:val="-3"/>
                <w:sz w:val="18"/>
                <w:szCs w:val="18"/>
              </w:rPr>
              <w:t>2</w:t>
            </w:r>
            <w:r>
              <w:rPr>
                <w:rFonts w:ascii="宋体" w:hAnsi="宋体" w:cs="宋体" w:eastAsia="宋体" w:hint="default"/>
                <w:spacing w:val="-3"/>
                <w:sz w:val="18"/>
                <w:szCs w:val="18"/>
              </w:rPr>
              <w:t>、实际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控制人龙昌明对光一有限无形资产出资出具《承诺函》，</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承诺该项无形资产是其本人在光一电子工作期间主持开发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的，本人拥有该项资产的所有权，不存在与其他任何第三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方之间的纠纷或者潜在纠纷。如因该项专有技术引起任何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纠纷，本人愿意以个人财产承担全部责任。</w:t>
            </w:r>
            <w:r>
              <w:rPr>
                <w:rFonts w:ascii="宋体" w:hAnsi="宋体" w:cs="宋体" w:eastAsia="宋体" w:hint="default"/>
                <w:sz w:val="18"/>
                <w:szCs w:val="18"/>
              </w:rPr>
              <w:t>"</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592" w:hRule="exact"/>
        </w:trPr>
        <w:tc>
          <w:tcPr>
            <w:tcW w:w="1703" w:type="dxa"/>
            <w:vMerge/>
            <w:tcBorders>
              <w:left w:val="single" w:sz="12" w:space="0" w:color="000000"/>
              <w:right w:val="single" w:sz="6" w:space="0" w:color="000000"/>
            </w:tcBorders>
            <w:shd w:val="clear" w:color="auto" w:fill="D2D2D2"/>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0" w:right="-17"/>
              <w:jc w:val="both"/>
              <w:rPr>
                <w:rFonts w:ascii="宋体" w:hAnsi="宋体" w:cs="宋体" w:eastAsia="宋体" w:hint="default"/>
                <w:sz w:val="18"/>
                <w:szCs w:val="18"/>
              </w:rPr>
            </w:pPr>
            <w:r>
              <w:rPr>
                <w:rFonts w:ascii="宋体" w:hAnsi="宋体" w:cs="宋体" w:eastAsia="宋体" w:hint="default"/>
                <w:spacing w:val="31"/>
                <w:sz w:val="18"/>
                <w:szCs w:val="18"/>
              </w:rPr>
              <w:t>江苏光一投</w:t>
            </w:r>
            <w:r>
              <w:rPr>
                <w:rFonts w:ascii="宋体" w:hAnsi="宋体" w:cs="宋体" w:eastAsia="宋体" w:hint="default"/>
                <w:spacing w:val="-51"/>
                <w:sz w:val="18"/>
                <w:szCs w:val="18"/>
              </w:rPr>
              <w:t> </w:t>
            </w:r>
            <w:r>
              <w:rPr>
                <w:rFonts w:ascii="宋体" w:hAnsi="宋体" w:cs="宋体" w:eastAsia="宋体" w:hint="default"/>
                <w:spacing w:val="31"/>
                <w:sz w:val="18"/>
                <w:szCs w:val="18"/>
              </w:rPr>
              <w:t>资管理有限</w:t>
            </w:r>
            <w:r>
              <w:rPr>
                <w:rFonts w:ascii="宋体" w:hAnsi="宋体" w:cs="宋体" w:eastAsia="宋体" w:hint="default"/>
                <w:spacing w:val="-51"/>
                <w:sz w:val="18"/>
                <w:szCs w:val="18"/>
              </w:rPr>
              <w:t> </w:t>
            </w:r>
            <w:r>
              <w:rPr>
                <w:rFonts w:ascii="宋体" w:hAnsi="宋体" w:cs="宋体" w:eastAsia="宋体" w:hint="default"/>
                <w:sz w:val="18"/>
                <w:szCs w:val="18"/>
              </w:rPr>
              <w:t>责任公司</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20"/>
              <w:jc w:val="both"/>
              <w:rPr>
                <w:rFonts w:ascii="宋体" w:hAnsi="宋体" w:cs="宋体" w:eastAsia="宋体" w:hint="default"/>
                <w:sz w:val="18"/>
                <w:szCs w:val="18"/>
              </w:rPr>
            </w:pPr>
            <w:r>
              <w:rPr>
                <w:rFonts w:ascii="宋体" w:hAnsi="宋体" w:cs="宋体" w:eastAsia="宋体" w:hint="default"/>
                <w:sz w:val="18"/>
                <w:szCs w:val="18"/>
              </w:rPr>
              <w:t>公司控股股东光一投资出具《承诺函》，承诺如果未来社</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保管理机关、住房公积金管理机关要求公司补缴其于股票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发行上市前应缴未缴的员工社保金、住房公积金的，则公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司补缴社保金、住房公积金由光一投资及龙昌明共同全额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补偿给公司；如果公司因此遭受行政处罚、民事索赔的，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有关罚金及赔偿金也由光一投资及龙昌明共同全额补偿给</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公司。光一投资及龙昌明对公司所负前述义务和责任为共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同不可区分的连带责任。</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343" w:hRule="exact"/>
        </w:trPr>
        <w:tc>
          <w:tcPr>
            <w:tcW w:w="1703" w:type="dxa"/>
            <w:vMerge/>
            <w:tcBorders>
              <w:left w:val="single" w:sz="12" w:space="0" w:color="000000"/>
              <w:right w:val="single" w:sz="6" w:space="0" w:color="000000"/>
            </w:tcBorders>
            <w:shd w:val="clear" w:color="auto" w:fill="D2D2D2"/>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79"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1" w:right="21"/>
              <w:jc w:val="both"/>
              <w:rPr>
                <w:rFonts w:ascii="宋体" w:hAnsi="宋体" w:cs="宋体" w:eastAsia="宋体" w:hint="default"/>
                <w:sz w:val="18"/>
                <w:szCs w:val="18"/>
              </w:rPr>
            </w:pPr>
            <w:r>
              <w:rPr>
                <w:rFonts w:ascii="宋体" w:hAnsi="宋体" w:cs="宋体" w:eastAsia="宋体" w:hint="default"/>
                <w:sz w:val="18"/>
                <w:szCs w:val="18"/>
              </w:rPr>
              <w:t>实际控制人龙昌明对光一电子股东权益出具《承诺函》，</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承诺光一电子股东权益不存在任何权属纠纷或潜在纠纷，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如因光一电子股东权益归属产生权属争议或纠纷的，由此</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造成的法律、经济后果均由其本人承担。</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279" w:hRule="exact"/>
        </w:trPr>
        <w:tc>
          <w:tcPr>
            <w:tcW w:w="1703" w:type="dxa"/>
            <w:vMerge/>
            <w:tcBorders>
              <w:left w:val="single" w:sz="12" w:space="0" w:color="000000"/>
              <w:bottom w:val="single" w:sz="6" w:space="0" w:color="000000"/>
              <w:right w:val="single" w:sz="6" w:space="0" w:color="000000"/>
            </w:tcBorders>
            <w:shd w:val="clear" w:color="auto" w:fill="D2D2D2"/>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79"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7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1" w:right="18"/>
              <w:jc w:val="both"/>
              <w:rPr>
                <w:rFonts w:ascii="宋体" w:hAnsi="宋体" w:cs="宋体" w:eastAsia="宋体" w:hint="default"/>
                <w:sz w:val="18"/>
                <w:szCs w:val="18"/>
              </w:rPr>
            </w:pPr>
            <w:r>
              <w:rPr>
                <w:rFonts w:ascii="宋体" w:hAnsi="宋体" w:cs="宋体" w:eastAsia="宋体" w:hint="default"/>
                <w:sz w:val="18"/>
                <w:szCs w:val="18"/>
              </w:rPr>
              <w:t>实际控制人龙昌明对于</w:t>
            </w:r>
            <w:r>
              <w:rPr>
                <w:rFonts w:ascii="宋体" w:hAnsi="宋体" w:cs="宋体" w:eastAsia="宋体" w:hint="default"/>
                <w:spacing w:val="-64"/>
                <w:sz w:val="18"/>
                <w:szCs w:val="18"/>
              </w:rPr>
              <w:t> </w:t>
            </w: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3</w:t>
            </w:r>
            <w:r>
              <w:rPr>
                <w:rFonts w:ascii="宋体" w:hAnsi="宋体" w:cs="宋体" w:eastAsia="宋体" w:hint="default"/>
                <w:spacing w:val="-64"/>
                <w:sz w:val="18"/>
                <w:szCs w:val="18"/>
              </w:rPr>
              <w:t> </w:t>
            </w:r>
            <w:r>
              <w:rPr>
                <w:rFonts w:ascii="宋体" w:hAnsi="宋体" w:cs="宋体" w:eastAsia="宋体" w:hint="default"/>
                <w:sz w:val="18"/>
                <w:szCs w:val="18"/>
              </w:rPr>
              <w:t>月光一有限股东将其持有 的光一有限的股权全部转让给光一投资所涉及的个人所得</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税问题出具《承诺函》，承诺如果未来有关税收征管机关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就本次股权转让依据有关税法、规范性文件规定重新核定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计税依据而要求转让方补缴个人所得税的，则由其本人全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额补缴。如果需要加计滞纳金或罚款的，均由其本人承担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和缴纳。</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01</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7" w:hRule="exact"/>
        </w:trPr>
        <w:tc>
          <w:tcPr>
            <w:tcW w:w="17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1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4573"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7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7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2"/>
              <w:ind w:left="13" w:right="45"/>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11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4573"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77"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70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9035" w:type="dxa"/>
            <w:gridSpan w:val="6"/>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pStyle w:val="Heading4"/>
        <w:spacing w:line="408"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宋体" w:hAnsi="宋体" w:cs="宋体" w:eastAsia="宋体" w:hint="default"/>
          <w:sz w:val="20"/>
          <w:szCs w:val="20"/>
        </w:rPr>
        <w:t>2</w:t>
      </w:r>
      <w:r>
        <w:rPr>
          <w:sz w:val="20"/>
          <w:szCs w:val="20"/>
        </w:rPr>
        <w:t>、</w:t>
      </w:r>
      <w:r>
        <w:rPr/>
        <w:t>公司资产或项目存在盈利预测，且报告期仍处在盈利预测期间，公司就资产或项目达到原盈利预测及</w:t>
      </w:r>
      <w:r>
        <w:rPr>
          <w:spacing w:val="-52"/>
        </w:rPr>
        <w:t> </w:t>
      </w:r>
      <w:r>
        <w:rPr>
          <w:spacing w:val="-52"/>
        </w:rPr>
      </w:r>
      <w:r>
        <w:rPr/>
        <w:t>其原因做出说明</w:t>
      </w:r>
      <w:r>
        <w:rPr>
          <w:b w:val="0"/>
          <w:bCs w:val="0"/>
        </w:rPr>
      </w:r>
    </w:p>
    <w:p>
      <w:pPr>
        <w:pStyle w:val="BodyText"/>
        <w:spacing w:line="240" w:lineRule="auto" w:before="46"/>
        <w:ind w:right="0"/>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44"/>
        <w:ind w:left="0" w:right="1125" w:firstLine="0"/>
        <w:jc w:val="right"/>
        <w:rPr>
          <w:rFonts w:ascii="宋体" w:hAnsi="宋体" w:cs="宋体" w:eastAsia="宋体" w:hint="default"/>
          <w:sz w:val="18"/>
          <w:szCs w:val="18"/>
        </w:rPr>
      </w:pPr>
      <w:r>
        <w:rPr/>
        <w:pict>
          <v:shape style="position:absolute;margin-left:58.740002pt;margin-top:-94.148254pt;width:478.6pt;height:191.7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2"/>
                    <w:gridCol w:w="886"/>
                    <w:gridCol w:w="958"/>
                    <w:gridCol w:w="992"/>
                    <w:gridCol w:w="994"/>
                    <w:gridCol w:w="1274"/>
                    <w:gridCol w:w="852"/>
                    <w:gridCol w:w="2330"/>
                  </w:tblGrid>
                  <w:tr>
                    <w:trPr>
                      <w:trHeight w:val="646" w:hRule="exact"/>
                    </w:trPr>
                    <w:tc>
                      <w:tcPr>
                        <w:tcW w:w="124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56" w:right="7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88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255" w:right="73"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9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381" w:right="19"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38" w:right="36"/>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9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39" w:right="37"/>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27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90" w:right="89"/>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85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148" w:right="57" w:hanging="90"/>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233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574" w:hRule="exact"/>
                    </w:trPr>
                    <w:tc>
                      <w:tcPr>
                        <w:tcW w:w="12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3" w:right="124"/>
                          <w:jc w:val="left"/>
                          <w:rPr>
                            <w:rFonts w:ascii="宋体" w:hAnsi="宋体" w:cs="宋体" w:eastAsia="宋体" w:hint="default"/>
                            <w:sz w:val="18"/>
                            <w:szCs w:val="18"/>
                          </w:rPr>
                        </w:pPr>
                        <w:r>
                          <w:rPr>
                            <w:rFonts w:ascii="宋体" w:hAnsi="宋体" w:cs="宋体" w:eastAsia="宋体" w:hint="default"/>
                            <w:sz w:val="18"/>
                            <w:szCs w:val="18"/>
                          </w:rPr>
                          <w:t>湖北索瑞电气 有限公司</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8,100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8,142.65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30"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0"/>
                          <w:ind w:left="20" w:right="125"/>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日披露于 </w:t>
                        </w:r>
                        <w:hyperlink r:id="rId11">
                          <w:r>
                            <w:rPr>
                              <w:rFonts w:ascii="宋体" w:hAnsi="宋体" w:cs="宋体" w:eastAsia="宋体" w:hint="default"/>
                              <w:sz w:val="18"/>
                              <w:szCs w:val="18"/>
                            </w:rPr>
                            <w:t>http://www.cninfo.com.cn</w:t>
                          </w:r>
                        </w:hyperlink>
                      </w:p>
                      <w:p>
                        <w:pPr>
                          <w:pStyle w:val="TableParagraph"/>
                          <w:spacing w:line="316" w:lineRule="auto" w:before="19"/>
                          <w:ind w:left="20" w:right="11"/>
                          <w:jc w:val="left"/>
                          <w:rPr>
                            <w:rFonts w:ascii="宋体" w:hAnsi="宋体" w:cs="宋体" w:eastAsia="宋体" w:hint="default"/>
                            <w:sz w:val="18"/>
                            <w:szCs w:val="18"/>
                          </w:rPr>
                        </w:pPr>
                        <w:r>
                          <w:rPr>
                            <w:rFonts w:ascii="宋体" w:hAnsi="宋体" w:cs="宋体" w:eastAsia="宋体" w:hint="default"/>
                            <w:spacing w:val="-5"/>
                            <w:sz w:val="18"/>
                            <w:szCs w:val="18"/>
                          </w:rPr>
                          <w:t>《光一科技：发行股份及支付</w:t>
                        </w:r>
                        <w:r>
                          <w:rPr>
                            <w:rFonts w:ascii="宋体" w:hAnsi="宋体" w:cs="宋体" w:eastAsia="宋体" w:hint="default"/>
                            <w:sz w:val="18"/>
                            <w:szCs w:val="18"/>
                          </w:rPr>
                          <w:t> 现金购买资产并募集配套资 </w:t>
                        </w:r>
                        <w:r>
                          <w:rPr>
                            <w:rFonts w:ascii="宋体" w:hAnsi="宋体" w:cs="宋体" w:eastAsia="宋体" w:hint="default"/>
                            <w:spacing w:val="-12"/>
                            <w:sz w:val="18"/>
                            <w:szCs w:val="18"/>
                          </w:rPr>
                          <w:t>金暨关联交易报告书（草案）</w:t>
                        </w:r>
                        <w:r>
                          <w:rPr>
                            <w:rFonts w:ascii="宋体" w:hAnsi="宋体" w:cs="宋体" w:eastAsia="宋体" w:hint="default"/>
                            <w:sz w:val="18"/>
                            <w:szCs w:val="18"/>
                          </w:rPr>
                        </w:r>
                      </w:p>
                    </w:tc>
                  </w:tr>
                  <w:tr>
                    <w:trPr>
                      <w:trHeight w:val="1583" w:hRule="exact"/>
                    </w:trPr>
                    <w:tc>
                      <w:tcPr>
                        <w:tcW w:w="124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13" w:right="125"/>
                          <w:jc w:val="both"/>
                          <w:rPr>
                            <w:rFonts w:ascii="宋体" w:hAnsi="宋体" w:cs="宋体" w:eastAsia="宋体" w:hint="default"/>
                            <w:sz w:val="18"/>
                            <w:szCs w:val="18"/>
                          </w:rPr>
                        </w:pPr>
                        <w:r>
                          <w:rPr>
                            <w:rFonts w:ascii="宋体" w:hAnsi="宋体" w:cs="宋体" w:eastAsia="宋体" w:hint="default"/>
                            <w:sz w:val="18"/>
                            <w:szCs w:val="18"/>
                          </w:rPr>
                          <w:t>江苏德能电力 设计咨询有限 公司</w:t>
                        </w:r>
                      </w:p>
                    </w:tc>
                    <w:tc>
                      <w:tcPr>
                        <w:tcW w:w="8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700</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423.17</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1"/>
                          <w:ind w:left="20" w:right="-7"/>
                          <w:jc w:val="both"/>
                          <w:rPr>
                            <w:rFonts w:ascii="宋体" w:hAnsi="宋体" w:cs="宋体" w:eastAsia="宋体" w:hint="default"/>
                            <w:sz w:val="18"/>
                            <w:szCs w:val="18"/>
                          </w:rPr>
                        </w:pPr>
                        <w:r>
                          <w:rPr>
                            <w:rFonts w:ascii="宋体" w:hAnsi="宋体" w:cs="宋体" w:eastAsia="宋体" w:hint="default"/>
                            <w:spacing w:val="22"/>
                            <w:sz w:val="18"/>
                            <w:szCs w:val="18"/>
                          </w:rPr>
                          <w:t>设计业务的验</w:t>
                        </w:r>
                        <w:r>
                          <w:rPr>
                            <w:rFonts w:ascii="宋体" w:hAnsi="宋体" w:cs="宋体" w:eastAsia="宋体" w:hint="default"/>
                            <w:spacing w:val="-88"/>
                            <w:sz w:val="18"/>
                            <w:szCs w:val="18"/>
                          </w:rPr>
                          <w:t> </w:t>
                        </w:r>
                        <w:r>
                          <w:rPr>
                            <w:rFonts w:ascii="宋体" w:hAnsi="宋体" w:cs="宋体" w:eastAsia="宋体" w:hint="default"/>
                            <w:spacing w:val="22"/>
                            <w:sz w:val="18"/>
                            <w:szCs w:val="18"/>
                          </w:rPr>
                          <w:t>收及结算情况</w:t>
                        </w:r>
                        <w:r>
                          <w:rPr>
                            <w:rFonts w:ascii="宋体" w:hAnsi="宋体" w:cs="宋体" w:eastAsia="宋体" w:hint="default"/>
                            <w:spacing w:val="-88"/>
                            <w:sz w:val="18"/>
                            <w:szCs w:val="18"/>
                          </w:rPr>
                          <w:t> </w:t>
                        </w:r>
                        <w:r>
                          <w:rPr>
                            <w:rFonts w:ascii="宋体" w:hAnsi="宋体" w:cs="宋体" w:eastAsia="宋体" w:hint="default"/>
                            <w:spacing w:val="-6"/>
                            <w:sz w:val="18"/>
                            <w:szCs w:val="18"/>
                          </w:rPr>
                          <w:t>未达预期，影响</w:t>
                        </w:r>
                        <w:r>
                          <w:rPr>
                            <w:rFonts w:ascii="宋体" w:hAnsi="宋体" w:cs="宋体" w:eastAsia="宋体" w:hint="default"/>
                            <w:sz w:val="18"/>
                            <w:szCs w:val="18"/>
                          </w:rPr>
                          <w:t> </w:t>
                        </w:r>
                        <w:r>
                          <w:rPr>
                            <w:rFonts w:ascii="宋体" w:hAnsi="宋体" w:cs="宋体" w:eastAsia="宋体" w:hint="default"/>
                            <w:spacing w:val="22"/>
                            <w:sz w:val="18"/>
                            <w:szCs w:val="18"/>
                          </w:rPr>
                          <w:t>报告期利润情</w:t>
                        </w:r>
                        <w:r>
                          <w:rPr>
                            <w:rFonts w:ascii="宋体" w:hAnsi="宋体" w:cs="宋体" w:eastAsia="宋体" w:hint="default"/>
                            <w:spacing w:val="-88"/>
                            <w:sz w:val="18"/>
                            <w:szCs w:val="18"/>
                          </w:rPr>
                          <w:t> </w:t>
                        </w:r>
                        <w:r>
                          <w:rPr>
                            <w:rFonts w:ascii="宋体" w:hAnsi="宋体" w:cs="宋体" w:eastAsia="宋体" w:hint="default"/>
                            <w:sz w:val="18"/>
                            <w:szCs w:val="18"/>
                          </w:rPr>
                          <w:t>况。</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3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0" w:right="125"/>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日披露于 </w:t>
                        </w:r>
                        <w:hyperlink r:id="rId11">
                          <w:r>
                            <w:rPr>
                              <w:rFonts w:ascii="宋体" w:hAnsi="宋体" w:cs="宋体" w:eastAsia="宋体" w:hint="default"/>
                              <w:sz w:val="18"/>
                              <w:szCs w:val="18"/>
                            </w:rPr>
                            <w:t>http://www.cninfo.com.cn</w:t>
                          </w:r>
                        </w:hyperlink>
                      </w:p>
                      <w:p>
                        <w:pPr>
                          <w:pStyle w:val="TableParagraph"/>
                          <w:spacing w:line="316" w:lineRule="auto" w:before="19"/>
                          <w:ind w:left="20" w:right="11"/>
                          <w:jc w:val="left"/>
                          <w:rPr>
                            <w:rFonts w:ascii="宋体" w:hAnsi="宋体" w:cs="宋体" w:eastAsia="宋体" w:hint="default"/>
                            <w:sz w:val="18"/>
                            <w:szCs w:val="18"/>
                          </w:rPr>
                        </w:pPr>
                        <w:r>
                          <w:rPr>
                            <w:rFonts w:ascii="宋体" w:hAnsi="宋体" w:cs="宋体" w:eastAsia="宋体" w:hint="default"/>
                            <w:spacing w:val="-5"/>
                            <w:sz w:val="18"/>
                            <w:szCs w:val="18"/>
                          </w:rPr>
                          <w:t>《光一科技：关于收购资产的</w:t>
                        </w:r>
                        <w:r>
                          <w:rPr>
                            <w:rFonts w:ascii="宋体" w:hAnsi="宋体" w:cs="宋体" w:eastAsia="宋体" w:hint="default"/>
                            <w:sz w:val="18"/>
                            <w:szCs w:val="18"/>
                          </w:rPr>
                          <w:t> </w:t>
                        </w:r>
                        <w:r>
                          <w:rPr>
                            <w:rFonts w:ascii="宋体" w:hAnsi="宋体" w:cs="宋体" w:eastAsia="宋体" w:hint="default"/>
                            <w:spacing w:val="-3"/>
                            <w:sz w:val="18"/>
                            <w:szCs w:val="18"/>
                          </w:rPr>
                          <w:t>公告》（公告编号</w:t>
                        </w:r>
                        <w:r>
                          <w:rPr>
                            <w:rFonts w:ascii="宋体" w:hAnsi="宋体" w:cs="宋体" w:eastAsia="宋体" w:hint="default"/>
                            <w:spacing w:val="-44"/>
                            <w:sz w:val="18"/>
                            <w:szCs w:val="18"/>
                          </w:rPr>
                          <w:t> </w:t>
                        </w:r>
                        <w:r>
                          <w:rPr>
                            <w:rFonts w:ascii="宋体" w:hAnsi="宋体" w:cs="宋体" w:eastAsia="宋体" w:hint="default"/>
                            <w:sz w:val="18"/>
                            <w:szCs w:val="18"/>
                          </w:rPr>
                          <w:t>2015-039</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44"/>
        <w:ind w:left="0" w:right="112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5"/>
        <w:rPr>
          <w:rFonts w:ascii="宋体" w:hAnsi="宋体" w:cs="宋体" w:eastAsia="宋体" w:hint="default"/>
          <w:sz w:val="21"/>
          <w:szCs w:val="21"/>
        </w:rPr>
      </w:pPr>
    </w:p>
    <w:p>
      <w:pPr>
        <w:pStyle w:val="BodyText"/>
        <w:spacing w:line="240" w:lineRule="auto" w:before="35"/>
        <w:ind w:left="1134" w:right="0"/>
        <w:jc w:val="left"/>
      </w:pPr>
      <w:r>
        <w:rPr/>
        <w:t>公司股东、交易对手方对公司或相关资产年度经营业绩作出的承诺情况</w:t>
      </w:r>
    </w:p>
    <w:p>
      <w:pPr>
        <w:spacing w:line="240" w:lineRule="auto" w:before="10"/>
        <w:rPr>
          <w:rFonts w:ascii="宋体" w:hAnsi="宋体" w:cs="宋体" w:eastAsia="宋体" w:hint="default"/>
          <w:sz w:val="14"/>
          <w:szCs w:val="14"/>
        </w:rPr>
      </w:pPr>
    </w:p>
    <w:p>
      <w:pPr>
        <w:pStyle w:val="BodyText"/>
        <w:spacing w:line="240" w:lineRule="auto"/>
        <w:ind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408" w:lineRule="auto"/>
        <w:ind w:right="1024" w:firstLine="424"/>
        <w:jc w:val="left"/>
      </w:pPr>
      <w:r>
        <w:rPr/>
        <w:t>①</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18</w:t>
      </w:r>
      <w:r>
        <w:rPr/>
        <w:t>日，根据公司与任昌兆等</w:t>
      </w:r>
      <w:r>
        <w:rPr>
          <w:rFonts w:ascii="宋体" w:hAnsi="宋体" w:cs="宋体" w:eastAsia="宋体" w:hint="default"/>
        </w:rPr>
        <w:t>10</w:t>
      </w:r>
      <w:r>
        <w:rPr/>
        <w:t>名交易对方签署的《盈利承诺及补偿协议》、《盈利承诺 </w:t>
      </w:r>
      <w:r>
        <w:rPr>
          <w:spacing w:val="-3"/>
        </w:rPr>
        <w:t>及补偿之补充协议》，本次重组的业绩承诺方任昌兆、任晶晶、桂长钟、李善元、周军、田裕树、方旭东、</w:t>
      </w:r>
      <w:r>
        <w:rPr>
          <w:spacing w:val="-94"/>
        </w:rPr>
        <w:t> </w:t>
      </w:r>
      <w:r>
        <w:rPr>
          <w:spacing w:val="-94"/>
        </w:rPr>
      </w:r>
      <w:r>
        <w:rPr/>
        <w:t>李强、徐光涛及湖北乾瀚投资有限公司承诺索瑞电气</w:t>
      </w:r>
      <w:r>
        <w:rPr>
          <w:rFonts w:ascii="宋体" w:hAnsi="宋体" w:cs="宋体" w:eastAsia="宋体" w:hint="default"/>
        </w:rPr>
        <w:t>2014</w:t>
      </w:r>
      <w:r>
        <w:rPr/>
        <w:t>年度、</w:t>
      </w:r>
      <w:r>
        <w:rPr>
          <w:rFonts w:ascii="宋体" w:hAnsi="宋体" w:cs="宋体" w:eastAsia="宋体" w:hint="default"/>
        </w:rPr>
        <w:t>2015</w:t>
      </w:r>
      <w:r>
        <w:rPr/>
        <w:t>年度、</w:t>
      </w:r>
      <w:r>
        <w:rPr>
          <w:rFonts w:ascii="宋体" w:hAnsi="宋体" w:cs="宋体" w:eastAsia="宋体" w:hint="default"/>
        </w:rPr>
        <w:t>2016</w:t>
      </w:r>
      <w:r>
        <w:rPr/>
        <w:t>年度实现的净利润比较扣 非后的净利润按照孰低原则确定的净利润分别不低于</w:t>
      </w:r>
      <w:r>
        <w:rPr>
          <w:rFonts w:ascii="宋体" w:hAnsi="宋体" w:cs="宋体" w:eastAsia="宋体" w:hint="default"/>
        </w:rPr>
        <w:t>7,500</w:t>
      </w:r>
      <w:r>
        <w:rPr/>
        <w:t>万元、</w:t>
      </w:r>
      <w:r>
        <w:rPr>
          <w:rFonts w:ascii="宋体" w:hAnsi="宋体" w:cs="宋体" w:eastAsia="宋体" w:hint="default"/>
        </w:rPr>
        <w:t>8,100</w:t>
      </w:r>
      <w:r>
        <w:rPr/>
        <w:t>万元、</w:t>
      </w:r>
      <w:r>
        <w:rPr>
          <w:rFonts w:ascii="宋体" w:hAnsi="宋体" w:cs="宋体" w:eastAsia="宋体" w:hint="default"/>
        </w:rPr>
        <w:t>8,400</w:t>
      </w:r>
      <w:r>
        <w:rPr/>
        <w:t>万元。</w:t>
      </w:r>
    </w:p>
    <w:p>
      <w:pPr>
        <w:pStyle w:val="BodyText"/>
        <w:spacing w:line="408" w:lineRule="auto" w:before="46"/>
        <w:ind w:right="1132" w:firstLine="424"/>
        <w:jc w:val="both"/>
      </w:pPr>
      <w:r>
        <w:rPr>
          <w:spacing w:val="-1"/>
        </w:rPr>
        <w:t>经众华会计师事务所（特殊普通合伙）审计并出具《光一科技股份有限公司关于重大资产重组购买资</w:t>
      </w:r>
      <w:r>
        <w:rPr/>
        <w:t> </w:t>
      </w:r>
      <w:r>
        <w:rPr>
          <w:spacing w:val="-1"/>
        </w:rPr>
        <w:t>产</w:t>
      </w:r>
      <w:r>
        <w:rPr>
          <w:rFonts w:ascii="宋体" w:hAnsi="宋体" w:cs="宋体" w:eastAsia="宋体" w:hint="default"/>
          <w:spacing w:val="-1"/>
        </w:rPr>
        <w:t>2015</w:t>
      </w:r>
      <w:r>
        <w:rPr>
          <w:spacing w:val="-1"/>
        </w:rPr>
        <w:t>年度业绩承诺实现情况的专项审核报告》（众会字（</w:t>
      </w:r>
      <w:r>
        <w:rPr>
          <w:rFonts w:ascii="宋体" w:hAnsi="宋体" w:cs="宋体" w:eastAsia="宋体" w:hint="default"/>
          <w:spacing w:val="-1"/>
        </w:rPr>
        <w:t>2016</w:t>
      </w:r>
      <w:r>
        <w:rPr>
          <w:spacing w:val="-1"/>
        </w:rPr>
        <w:t>）第</w:t>
      </w:r>
      <w:r>
        <w:rPr>
          <w:rFonts w:ascii="宋体" w:hAnsi="宋体" w:cs="宋体" w:eastAsia="宋体" w:hint="default"/>
          <w:spacing w:val="-1"/>
        </w:rPr>
        <w:t>2322</w:t>
      </w:r>
      <w:r>
        <w:rPr>
          <w:spacing w:val="-1"/>
        </w:rPr>
        <w:t>号），索瑞电气</w:t>
      </w:r>
      <w:r>
        <w:rPr>
          <w:rFonts w:ascii="宋体" w:hAnsi="宋体" w:cs="宋体" w:eastAsia="宋体" w:hint="default"/>
          <w:spacing w:val="-1"/>
        </w:rPr>
        <w:t>2015</w:t>
      </w:r>
      <w:r>
        <w:rPr>
          <w:spacing w:val="-1"/>
        </w:rPr>
        <w:t>年度归属于</w:t>
      </w:r>
      <w:r>
        <w:rPr>
          <w:spacing w:val="-79"/>
        </w:rPr>
        <w:t> </w:t>
      </w:r>
      <w:r>
        <w:rPr>
          <w:spacing w:val="12"/>
        </w:rPr>
        <w:t>公司普通股股东的净利润为</w:t>
      </w:r>
      <w:r>
        <w:rPr>
          <w:rFonts w:ascii="宋体" w:hAnsi="宋体" w:cs="宋体" w:eastAsia="宋体" w:hint="default"/>
          <w:spacing w:val="12"/>
        </w:rPr>
        <w:t>8,142.65</w:t>
      </w:r>
      <w:r>
        <w:rPr>
          <w:spacing w:val="12"/>
        </w:rPr>
        <w:t>万元，扣除非经常性损益后归属于公司普通股股东的净利润为</w:t>
      </w:r>
      <w:r>
        <w:rPr>
          <w:spacing w:val="-84"/>
        </w:rPr>
        <w:t> </w:t>
      </w:r>
      <w:r>
        <w:rPr>
          <w:spacing w:val="-84"/>
        </w:rPr>
      </w:r>
      <w:r>
        <w:rPr>
          <w:rFonts w:ascii="宋体" w:hAnsi="宋体" w:cs="宋体" w:eastAsia="宋体" w:hint="default"/>
        </w:rPr>
        <w:t>8,102.68</w:t>
      </w:r>
      <w:r>
        <w:rPr/>
        <w:t>万元，超过盈利承诺水平，</w:t>
      </w:r>
      <w:r>
        <w:rPr>
          <w:rFonts w:ascii="宋体" w:hAnsi="宋体" w:cs="宋体" w:eastAsia="宋体" w:hint="default"/>
        </w:rPr>
        <w:t>2015</w:t>
      </w:r>
      <w:r>
        <w:rPr/>
        <w:t>年度业绩承诺已经实现。</w:t>
      </w:r>
    </w:p>
    <w:p>
      <w:pPr>
        <w:pStyle w:val="BodyText"/>
        <w:spacing w:line="240" w:lineRule="auto" w:before="46"/>
        <w:ind w:left="1558" w:right="0"/>
        <w:jc w:val="left"/>
      </w:pPr>
      <w:r>
        <w:rPr/>
        <w:t>②</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19</w:t>
      </w:r>
      <w:r>
        <w:rPr/>
        <w:t>日，公司与德能设计原股东签订《关于江苏德能电力设计咨询有限公司股权转让协议》</w:t>
      </w:r>
    </w:p>
    <w:p>
      <w:pPr>
        <w:spacing w:line="240" w:lineRule="auto" w:before="10"/>
        <w:rPr>
          <w:rFonts w:ascii="宋体" w:hAnsi="宋体" w:cs="宋体" w:eastAsia="宋体" w:hint="default"/>
          <w:sz w:val="14"/>
          <w:szCs w:val="14"/>
        </w:rPr>
      </w:pPr>
    </w:p>
    <w:p>
      <w:pPr>
        <w:pStyle w:val="BodyText"/>
        <w:spacing w:line="408" w:lineRule="auto"/>
        <w:ind w:right="1026"/>
        <w:jc w:val="left"/>
      </w:pPr>
      <w:r>
        <w:rPr/>
        <w:t>（以下简称“收购协议”），公司以自有资金</w:t>
      </w:r>
      <w:r>
        <w:rPr>
          <w:rFonts w:ascii="宋体" w:hAnsi="宋体" w:cs="宋体" w:eastAsia="宋体" w:hint="default"/>
        </w:rPr>
        <w:t>2,900</w:t>
      </w:r>
      <w:r>
        <w:rPr/>
        <w:t>万元收购德能设计</w:t>
      </w:r>
      <w:r>
        <w:rPr>
          <w:rFonts w:ascii="宋体" w:hAnsi="宋体" w:cs="宋体" w:eastAsia="宋体" w:hint="default"/>
        </w:rPr>
        <w:t>100%</w:t>
      </w:r>
      <w:r>
        <w:rPr/>
        <w:t>股权，具体内容详见《光一科</w:t>
      </w:r>
      <w:r>
        <w:rPr>
          <w:spacing w:val="-31"/>
        </w:rPr>
        <w:t> </w:t>
      </w:r>
      <w:r>
        <w:rPr>
          <w:spacing w:val="-31"/>
        </w:rPr>
      </w:r>
      <w:r>
        <w:rPr>
          <w:spacing w:val="-3"/>
        </w:rPr>
        <w:t>技股份有限公司关于收购资产的公告》（公告编号</w:t>
      </w:r>
      <w:r>
        <w:rPr>
          <w:rFonts w:ascii="宋体" w:hAnsi="宋体" w:cs="宋体" w:eastAsia="宋体" w:hint="default"/>
          <w:spacing w:val="-3"/>
        </w:rPr>
        <w:t>2015-039</w:t>
      </w:r>
      <w:r>
        <w:rPr>
          <w:spacing w:val="-3"/>
        </w:rPr>
        <w:t>）。在前述收购协议中，德能设计承诺</w:t>
      </w:r>
      <w:r>
        <w:rPr>
          <w:rFonts w:ascii="宋体" w:hAnsi="宋体" w:cs="宋体" w:eastAsia="宋体" w:hint="default"/>
          <w:spacing w:val="-3"/>
        </w:rPr>
        <w:t>2015</w:t>
      </w:r>
      <w:r>
        <w:rPr>
          <w:spacing w:val="-3"/>
        </w:rPr>
        <w:t>年、</w:t>
      </w:r>
      <w:r>
        <w:rPr>
          <w:spacing w:val="-79"/>
        </w:rPr>
        <w:t> </w:t>
      </w:r>
      <w:r>
        <w:rPr>
          <w:rFonts w:ascii="宋体" w:hAnsi="宋体" w:cs="宋体" w:eastAsia="宋体" w:hint="default"/>
        </w:rPr>
        <w:t>2016</w:t>
      </w:r>
      <w:r>
        <w:rPr/>
        <w:t>年、</w:t>
      </w:r>
      <w:r>
        <w:rPr>
          <w:rFonts w:ascii="宋体" w:hAnsi="宋体" w:cs="宋体" w:eastAsia="宋体" w:hint="default"/>
        </w:rPr>
        <w:t>2017</w:t>
      </w:r>
      <w:r>
        <w:rPr/>
        <w:t>年三个会计年度经具有证券业务资格的会计师事务所审计确认的扣除非经常性损益的税后净 利润分别不低于</w:t>
      </w:r>
      <w:r>
        <w:rPr>
          <w:rFonts w:ascii="宋体" w:hAnsi="宋体" w:cs="宋体" w:eastAsia="宋体" w:hint="default"/>
        </w:rPr>
        <w:t>700</w:t>
      </w:r>
      <w:r>
        <w:rPr/>
        <w:t>万元、</w:t>
      </w:r>
      <w:r>
        <w:rPr>
          <w:rFonts w:ascii="宋体" w:hAnsi="宋体" w:cs="宋体" w:eastAsia="宋体" w:hint="default"/>
        </w:rPr>
        <w:t>840</w:t>
      </w:r>
      <w:r>
        <w:rPr/>
        <w:t>万元、</w:t>
      </w:r>
      <w:r>
        <w:rPr>
          <w:rFonts w:ascii="宋体" w:hAnsi="宋体" w:cs="宋体" w:eastAsia="宋体" w:hint="default"/>
        </w:rPr>
        <w:t>1,008</w:t>
      </w:r>
      <w:r>
        <w:rPr/>
        <w:t>万元。</w:t>
      </w:r>
    </w:p>
    <w:p>
      <w:pPr>
        <w:pStyle w:val="BodyText"/>
        <w:spacing w:line="408" w:lineRule="auto" w:before="46"/>
        <w:ind w:right="1109" w:firstLine="424"/>
        <w:jc w:val="both"/>
      </w:pPr>
      <w:r>
        <w:rPr>
          <w:spacing w:val="-1"/>
        </w:rPr>
        <w:t>根据众华会计师事务所（特殊普通合伙）审计并出具《江苏德能电力设计咨询有限公司</w:t>
      </w:r>
      <w:r>
        <w:rPr>
          <w:rFonts w:ascii="宋体" w:hAnsi="宋体" w:cs="宋体" w:eastAsia="宋体" w:hint="default"/>
          <w:spacing w:val="-1"/>
        </w:rPr>
        <w:t>2015</w:t>
      </w:r>
      <w:r>
        <w:rPr>
          <w:spacing w:val="-1"/>
        </w:rPr>
        <w:t>年度审计</w:t>
      </w:r>
      <w:r>
        <w:rPr/>
        <w:t> 报告》（众会字（</w:t>
      </w:r>
      <w:r>
        <w:rPr>
          <w:rFonts w:ascii="宋体" w:hAnsi="宋体" w:cs="宋体" w:eastAsia="宋体" w:hint="default"/>
        </w:rPr>
        <w:t>2016</w:t>
      </w:r>
      <w:r>
        <w:rPr/>
        <w:t>）第</w:t>
      </w:r>
      <w:r>
        <w:rPr>
          <w:rFonts w:ascii="宋体" w:hAnsi="宋体" w:cs="宋体" w:eastAsia="宋体" w:hint="default"/>
        </w:rPr>
        <w:t>2327</w:t>
      </w:r>
      <w:r>
        <w:rPr/>
        <w:t>号），德能设计</w:t>
      </w:r>
      <w:r>
        <w:rPr>
          <w:rFonts w:ascii="宋体" w:hAnsi="宋体" w:cs="宋体" w:eastAsia="宋体" w:hint="default"/>
        </w:rPr>
        <w:t>2015</w:t>
      </w:r>
      <w:r>
        <w:rPr/>
        <w:t>年度归属于公司普通股股东的净利润为</w:t>
      </w:r>
      <w:r>
        <w:rPr>
          <w:rFonts w:ascii="宋体" w:hAnsi="宋体" w:cs="宋体" w:eastAsia="宋体" w:hint="default"/>
        </w:rPr>
        <w:t>423.17</w:t>
      </w:r>
      <w:r>
        <w:rPr/>
        <w:t>万元， </w:t>
      </w:r>
      <w:r>
        <w:rPr>
          <w:spacing w:val="-1"/>
        </w:rPr>
        <w:t>低于业绩承诺水平，公司尚未全额支付德能设计股权转让款，公司将严格按照收购协议中关于第一年业绩</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right="0"/>
        <w:jc w:val="left"/>
      </w:pPr>
      <w:r>
        <w:rPr/>
        <w:t>未达标的条款约定执行后续股权转让款的支付，并将与原股东沟通探讨其他解决方式。</w:t>
      </w:r>
    </w:p>
    <w:p>
      <w:pPr>
        <w:pStyle w:val="Heading2"/>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398" w:lineRule="auto" w:before="177"/>
        <w:ind w:left="1133" w:right="4033" w:firstLine="0"/>
        <w:jc w:val="left"/>
        <w:rPr>
          <w:rFonts w:ascii="宋体" w:hAnsi="宋体" w:cs="宋体" w:eastAsia="宋体" w:hint="default"/>
          <w:sz w:val="24"/>
          <w:szCs w:val="24"/>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公司报告期不存在控股股东及其关联方对上市公司的非经营性占用资金。 </w:t>
      </w:r>
      <w:bookmarkStart w:name="四、董事会对最近一期“非标准审计报告”相关情况的说明" w:id="67"/>
      <w:bookmarkEnd w:id="67"/>
      <w:r>
        <w:rPr>
          <w:rFonts w:ascii="宋体" w:hAnsi="宋体" w:cs="宋体" w:eastAsia="宋体" w:hint="default"/>
          <w:sz w:val="21"/>
          <w:szCs w:val="21"/>
        </w:rPr>
      </w:r>
      <w:r>
        <w:rPr>
          <w:rFonts w:ascii="宋体" w:hAnsi="宋体" w:cs="宋体" w:eastAsia="宋体" w:hint="default"/>
          <w:b/>
          <w:bCs/>
          <w:sz w:val="24"/>
          <w:szCs w:val="24"/>
        </w:rPr>
        <w:t>四、董事会对最近一期“非标准审计报告”相关情况的说明</w:t>
      </w:r>
      <w:r>
        <w:rPr>
          <w:rFonts w:ascii="宋体" w:hAnsi="宋体" w:cs="宋体" w:eastAsia="宋体" w:hint="default"/>
          <w:sz w:val="24"/>
          <w:szCs w:val="24"/>
        </w:rPr>
      </w:r>
    </w:p>
    <w:p>
      <w:pPr>
        <w:pStyle w:val="BodyText"/>
        <w:spacing w:line="240" w:lineRule="auto" w:before="18"/>
        <w:ind w:right="0"/>
        <w:jc w:val="left"/>
      </w:pPr>
      <w:r>
        <w:rPr/>
        <w:t>□ 适用 √</w:t>
      </w:r>
      <w:r>
        <w:rPr>
          <w:spacing w:val="-1"/>
        </w:rPr>
        <w:t> </w:t>
      </w:r>
      <w:r>
        <w:rPr/>
        <w:t>不适用</w:t>
      </w:r>
    </w:p>
    <w:p>
      <w:pPr>
        <w:pStyle w:val="Heading2"/>
        <w:spacing w:line="240" w:lineRule="auto"/>
        <w:ind w:left="1134" w:right="0"/>
        <w:jc w:val="left"/>
        <w:rPr>
          <w:b w:val="0"/>
          <w:bCs w:val="0"/>
        </w:rPr>
      </w:pPr>
      <w:bookmarkStart w:name="五、董事会、监事会、独立董事（如有）对会计师事务所本报告期“非标准审计报告”的说" w:id="68"/>
      <w:bookmarkEnd w:id="68"/>
      <w:r>
        <w:rPr>
          <w:b w:val="0"/>
          <w:bCs w:val="0"/>
        </w:rPr>
      </w:r>
      <w:r>
        <w:rPr>
          <w:spacing w:val="-3"/>
        </w:rPr>
        <w:t>五、董事会、监事会、独立董事（如有）对会计师事务所本报告期“非标准审计报告”的说明</w:t>
      </w:r>
      <w:r>
        <w:rPr>
          <w:b w:val="0"/>
          <w:bCs w:val="0"/>
          <w:spacing w:val="-3"/>
        </w:rPr>
      </w:r>
    </w:p>
    <w:p>
      <w:pPr>
        <w:pStyle w:val="BodyText"/>
        <w:spacing w:line="240" w:lineRule="auto" w:before="177"/>
        <w:ind w:right="0"/>
        <w:jc w:val="left"/>
      </w:pPr>
      <w:r>
        <w:rPr/>
        <w:t>□ 适用 √</w:t>
      </w:r>
      <w:r>
        <w:rPr>
          <w:spacing w:val="-1"/>
        </w:rPr>
        <w:t> </w:t>
      </w:r>
      <w:r>
        <w:rPr/>
        <w:t>不适用</w:t>
      </w:r>
    </w:p>
    <w:p>
      <w:pPr>
        <w:pStyle w:val="Heading2"/>
        <w:spacing w:line="240" w:lineRule="auto"/>
        <w:ind w:left="1134"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pStyle w:val="BodyText"/>
        <w:spacing w:line="240" w:lineRule="auto" w:before="177"/>
        <w:ind w:right="0"/>
        <w:jc w:val="left"/>
      </w:pPr>
      <w:r>
        <w:rPr/>
        <w:t>□ 适用 √</w:t>
      </w:r>
      <w:r>
        <w:rPr>
          <w:spacing w:val="-1"/>
        </w:rPr>
        <w:t> </w:t>
      </w:r>
      <w:r>
        <w:rPr/>
        <w:t>不适用</w:t>
      </w:r>
    </w:p>
    <w:p>
      <w:pPr>
        <w:pStyle w:val="Heading2"/>
        <w:spacing w:line="240" w:lineRule="auto"/>
        <w:ind w:left="1134"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pStyle w:val="BodyText"/>
        <w:spacing w:line="240" w:lineRule="auto" w:before="177"/>
        <w:ind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408" w:lineRule="auto"/>
        <w:ind w:right="1130" w:firstLine="423"/>
        <w:jc w:val="both"/>
      </w:pPr>
      <w:r>
        <w:rPr>
          <w:spacing w:val="-1"/>
        </w:rPr>
        <w:t>①</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24</w:t>
      </w:r>
      <w:r>
        <w:rPr>
          <w:spacing w:val="-1"/>
        </w:rPr>
        <w:t>日，经中国证券监督管理委员会《关于核准光一科技股份有限公司向任昌兆等发行股</w:t>
      </w:r>
      <w:r>
        <w:rPr/>
        <w:t> </w:t>
      </w:r>
      <w:r>
        <w:rPr>
          <w:spacing w:val="-1"/>
        </w:rPr>
        <w:t>份购买资产的批复》（证监许可</w:t>
      </w:r>
      <w:r>
        <w:rPr>
          <w:rFonts w:ascii="宋体" w:hAnsi="宋体" w:cs="宋体" w:eastAsia="宋体" w:hint="default"/>
          <w:spacing w:val="-1"/>
        </w:rPr>
        <w:t>[2014]1399</w:t>
      </w:r>
      <w:r>
        <w:rPr>
          <w:spacing w:val="-1"/>
        </w:rPr>
        <w:t>号）核准，公司以发行股份及支付现金购买资产的方式对索瑞</w:t>
      </w:r>
      <w:r>
        <w:rPr>
          <w:spacing w:val="-79"/>
        </w:rPr>
        <w:t> </w:t>
      </w:r>
      <w:r>
        <w:rPr>
          <w:spacing w:val="-79"/>
        </w:rPr>
      </w:r>
      <w:r>
        <w:rPr>
          <w:spacing w:val="-1"/>
        </w:rPr>
        <w:t>电气进行重大资产重组，索瑞电气于</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26</w:t>
      </w:r>
      <w:r>
        <w:rPr>
          <w:spacing w:val="-1"/>
        </w:rPr>
        <w:t>日完成工商变更，其资产负债表于</w:t>
      </w:r>
      <w:r>
        <w:rPr>
          <w:rFonts w:ascii="宋体" w:hAnsi="宋体" w:cs="宋体" w:eastAsia="宋体" w:hint="default"/>
          <w:spacing w:val="-1"/>
        </w:rPr>
        <w:t>2014</w:t>
      </w:r>
      <w:r>
        <w:rPr>
          <w:spacing w:val="-1"/>
        </w:rPr>
        <w:t>年期末纳入合并</w:t>
      </w:r>
      <w:r>
        <w:rPr>
          <w:spacing w:val="-80"/>
        </w:rPr>
        <w:t> </w:t>
      </w:r>
      <w:r>
        <w:rPr>
          <w:spacing w:val="-80"/>
        </w:rPr>
      </w:r>
      <w:r>
        <w:rPr/>
        <w:t>范围，其利润表和现金流量表于本报告期初纳入合并范围。</w:t>
      </w:r>
    </w:p>
    <w:p>
      <w:pPr>
        <w:pStyle w:val="BodyText"/>
        <w:spacing w:line="408" w:lineRule="auto" w:before="46"/>
        <w:ind w:right="1132" w:firstLine="423"/>
        <w:jc w:val="both"/>
      </w:pPr>
      <w:r>
        <w:rPr/>
        <w:t>②</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16</w:t>
      </w:r>
      <w:r>
        <w:rPr/>
        <w:t>日，公司披露了《关于投资设立全资子公司的公告》（公告编号：</w:t>
      </w:r>
      <w:r>
        <w:rPr>
          <w:rFonts w:ascii="宋体" w:hAnsi="宋体" w:cs="宋体" w:eastAsia="宋体" w:hint="default"/>
        </w:rPr>
        <w:t>2015-002</w:t>
      </w:r>
      <w:r>
        <w:rPr/>
        <w:t>），公司 以现金方式出资</w:t>
      </w:r>
      <w:r>
        <w:rPr>
          <w:rFonts w:ascii="宋体" w:hAnsi="宋体" w:cs="宋体" w:eastAsia="宋体" w:hint="default"/>
        </w:rPr>
        <w:t>1,000</w:t>
      </w:r>
      <w:r>
        <w:rPr/>
        <w:t>万元设立全资子公司江苏光一贵仁股权投资基金管理有限公司并已完成工商注册，</w:t>
      </w:r>
      <w:r>
        <w:rPr>
          <w:spacing w:val="-35"/>
        </w:rPr>
        <w:t> </w:t>
      </w:r>
      <w:r>
        <w:rPr>
          <w:spacing w:val="-35"/>
        </w:rPr>
      </w:r>
      <w:r>
        <w:rPr/>
        <w:t>光一贵仁于本报告期初纳入合并范围。</w:t>
      </w:r>
    </w:p>
    <w:p>
      <w:pPr>
        <w:pStyle w:val="BodyText"/>
        <w:spacing w:line="408" w:lineRule="auto" w:before="46"/>
        <w:ind w:right="1130" w:firstLine="420"/>
        <w:jc w:val="both"/>
      </w:pPr>
      <w:r>
        <w:rPr/>
        <w:t>③</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19</w:t>
      </w:r>
      <w:r>
        <w:rPr/>
        <w:t>日，公司披露了《关于收购资产的公告》（公告编号：</w:t>
      </w:r>
      <w:r>
        <w:rPr>
          <w:rFonts w:ascii="宋体" w:hAnsi="宋体" w:cs="宋体" w:eastAsia="宋体" w:hint="default"/>
        </w:rPr>
        <w:t>2015-039</w:t>
      </w:r>
      <w:r>
        <w:rPr/>
        <w:t>号），公司以自有资 金通过受让股权的方式分别以现金</w:t>
      </w:r>
      <w:r>
        <w:rPr>
          <w:rFonts w:ascii="宋体" w:hAnsi="宋体" w:cs="宋体" w:eastAsia="宋体" w:hint="default"/>
        </w:rPr>
        <w:t>700</w:t>
      </w:r>
      <w:r>
        <w:rPr/>
        <w:t>万元人民币收购德能工程</w:t>
      </w:r>
      <w:r>
        <w:rPr>
          <w:rFonts w:ascii="宋体" w:hAnsi="宋体" w:cs="宋体" w:eastAsia="宋体" w:hint="default"/>
        </w:rPr>
        <w:t>100%</w:t>
      </w:r>
      <w:r>
        <w:rPr/>
        <w:t>股权、以现金</w:t>
      </w:r>
      <w:r>
        <w:rPr>
          <w:rFonts w:ascii="宋体" w:hAnsi="宋体" w:cs="宋体" w:eastAsia="宋体" w:hint="default"/>
        </w:rPr>
        <w:t>2900</w:t>
      </w:r>
      <w:r>
        <w:rPr/>
        <w:t>万元人民币收购德</w:t>
      </w:r>
      <w:r>
        <w:rPr>
          <w:spacing w:val="-27"/>
        </w:rPr>
        <w:t> </w:t>
      </w:r>
      <w:r>
        <w:rPr>
          <w:spacing w:val="-27"/>
        </w:rPr>
      </w:r>
      <w:r>
        <w:rPr>
          <w:spacing w:val="-1"/>
        </w:rPr>
        <w:t>能设计</w:t>
      </w:r>
      <w:r>
        <w:rPr>
          <w:rFonts w:ascii="宋体" w:hAnsi="宋体" w:cs="宋体" w:eastAsia="宋体" w:hint="default"/>
          <w:spacing w:val="-1"/>
        </w:rPr>
        <w:t>100%</w:t>
      </w:r>
      <w:r>
        <w:rPr>
          <w:spacing w:val="-1"/>
        </w:rPr>
        <w:t>股权。德能工程和德能设计均已完成工商变更。根据会计准则的相关规定，德能工程于</w:t>
      </w:r>
      <w:r>
        <w:rPr>
          <w:rFonts w:ascii="宋体" w:hAnsi="宋体" w:cs="宋体" w:eastAsia="宋体" w:hint="default"/>
          <w:spacing w:val="-1"/>
        </w:rPr>
        <w:t>2015</w:t>
      </w:r>
      <w:r>
        <w:rPr>
          <w:spacing w:val="-1"/>
        </w:rPr>
        <w:t>年</w:t>
      </w:r>
      <w:r>
        <w:rPr>
          <w:spacing w:val="-79"/>
        </w:rPr>
        <w:t> </w:t>
      </w:r>
      <w:r>
        <w:rPr>
          <w:rFonts w:ascii="宋体" w:hAnsi="宋体" w:cs="宋体" w:eastAsia="宋体" w:hint="default"/>
        </w:rPr>
        <w:t>8</w:t>
      </w:r>
      <w:r>
        <w:rPr/>
        <w:t>月</w:t>
      </w:r>
      <w:r>
        <w:rPr>
          <w:rFonts w:ascii="宋体" w:hAnsi="宋体" w:cs="宋体" w:eastAsia="宋体" w:hint="default"/>
        </w:rPr>
        <w:t>1</w:t>
      </w:r>
      <w:r>
        <w:rPr/>
        <w:t>日、德能设计于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w:t>
      </w:r>
      <w:r>
        <w:rPr/>
        <w:t>日其财务报表纳入合并范围。</w:t>
      </w:r>
    </w:p>
    <w:p>
      <w:pPr>
        <w:pStyle w:val="Heading2"/>
        <w:spacing w:line="240" w:lineRule="auto" w:before="23"/>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pStyle w:val="BodyText"/>
        <w:spacing w:line="240" w:lineRule="auto" w:before="177"/>
        <w:ind w:right="0"/>
        <w:jc w:val="left"/>
      </w:pPr>
      <w:r>
        <w:rPr/>
        <w:t>现聘任的会计师事务所</w:t>
      </w:r>
    </w:p>
    <w:p>
      <w:pPr>
        <w:spacing w:line="240" w:lineRule="auto" w:before="9"/>
        <w:rPr>
          <w:rFonts w:ascii="宋体" w:hAnsi="宋体" w:cs="宋体" w:eastAsia="宋体" w:hint="default"/>
          <w:sz w:val="16"/>
          <w:szCs w:val="16"/>
        </w:rPr>
      </w:pPr>
    </w:p>
    <w:p>
      <w:pPr>
        <w:spacing w:before="0"/>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10"/>
          <w:szCs w:val="10"/>
        </w:rPr>
      </w:pPr>
    </w:p>
    <w:tbl>
      <w:tblPr>
        <w:tblW w:w="0" w:type="auto"/>
        <w:jc w:val="left"/>
        <w:tblInd w:w="1118" w:type="dxa"/>
        <w:tblLayout w:type="fixed"/>
        <w:tblCellMar>
          <w:top w:w="0" w:type="dxa"/>
          <w:left w:w="0" w:type="dxa"/>
          <w:bottom w:w="0" w:type="dxa"/>
          <w:right w:w="0" w:type="dxa"/>
        </w:tblCellMar>
        <w:tblLook w:val="01E0"/>
      </w:tblPr>
      <w:tblGrid>
        <w:gridCol w:w="3887"/>
        <w:gridCol w:w="5682"/>
      </w:tblGrid>
      <w:tr>
        <w:trPr>
          <w:trHeight w:val="416" w:hRule="exact"/>
        </w:trPr>
        <w:tc>
          <w:tcPr>
            <w:tcW w:w="388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7" w:hRule="exact"/>
        </w:trPr>
        <w:tc>
          <w:tcPr>
            <w:tcW w:w="38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境内会计师事务所报酬</w:t>
            </w:r>
          </w:p>
        </w:tc>
        <w:tc>
          <w:tcPr>
            <w:tcW w:w="56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65</w:t>
            </w:r>
          </w:p>
        </w:tc>
      </w:tr>
      <w:tr>
        <w:trPr>
          <w:trHeight w:val="407" w:hRule="exact"/>
        </w:trPr>
        <w:tc>
          <w:tcPr>
            <w:tcW w:w="38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4</w:t>
            </w:r>
          </w:p>
        </w:tc>
      </w:tr>
      <w:tr>
        <w:trPr>
          <w:trHeight w:val="414" w:hRule="exact"/>
        </w:trPr>
        <w:tc>
          <w:tcPr>
            <w:tcW w:w="388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文爱凤、陈芝莲</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right="0"/>
        <w:jc w:val="left"/>
      </w:pPr>
      <w:r>
        <w:rPr/>
        <w:t>是否改聘会计师事务所</w:t>
      </w:r>
    </w:p>
    <w:p>
      <w:pPr>
        <w:spacing w:line="240" w:lineRule="auto" w:before="10"/>
        <w:rPr>
          <w:rFonts w:ascii="宋体" w:hAnsi="宋体" w:cs="宋体" w:eastAsia="宋体" w:hint="default"/>
          <w:sz w:val="14"/>
          <w:szCs w:val="14"/>
        </w:rPr>
      </w:pPr>
    </w:p>
    <w:p>
      <w:pPr>
        <w:pStyle w:val="BodyText"/>
        <w:spacing w:line="408" w:lineRule="auto"/>
        <w:ind w:right="5503"/>
        <w:jc w:val="left"/>
      </w:pPr>
      <w:r>
        <w:rPr/>
        <w:t>□ 是 √ 否 聘请内部控制审计会计师事务所、财务顾问或保荐人情况</w:t>
      </w:r>
    </w:p>
    <w:p>
      <w:pPr>
        <w:pStyle w:val="BodyText"/>
        <w:spacing w:line="240" w:lineRule="auto" w:before="46"/>
        <w:ind w:right="0"/>
        <w:jc w:val="left"/>
      </w:pPr>
      <w:r>
        <w:rPr/>
        <w:t>□ 适用 √</w:t>
      </w:r>
      <w:r>
        <w:rPr>
          <w:spacing w:val="-1"/>
        </w:rPr>
        <w:t> </w:t>
      </w:r>
      <w:r>
        <w:rPr/>
        <w:t>不适用</w:t>
      </w:r>
    </w:p>
    <w:p>
      <w:pPr>
        <w:pStyle w:val="Heading2"/>
        <w:spacing w:line="240" w:lineRule="auto"/>
        <w:ind w:left="1134"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pStyle w:val="BodyText"/>
        <w:spacing w:line="240" w:lineRule="auto" w:before="177"/>
        <w:ind w:right="0"/>
        <w:jc w:val="left"/>
      </w:pPr>
      <w:r>
        <w:rPr/>
        <w:t>□ 适用 √</w:t>
      </w:r>
      <w:r>
        <w:rPr>
          <w:spacing w:val="-1"/>
        </w:rPr>
        <w:t> </w:t>
      </w:r>
      <w:r>
        <w:rPr/>
        <w:t>不适用</w:t>
      </w:r>
    </w:p>
    <w:p>
      <w:pPr>
        <w:pStyle w:val="Heading2"/>
        <w:spacing w:line="240" w:lineRule="auto"/>
        <w:ind w:left="1134" w:right="0"/>
        <w:jc w:val="left"/>
        <w:rPr>
          <w:b w:val="0"/>
          <w:bCs w:val="0"/>
        </w:rPr>
      </w:pPr>
      <w:bookmarkStart w:name="十、破产重整相关事项" w:id="73"/>
      <w:bookmarkEnd w:id="73"/>
      <w:r>
        <w:rPr>
          <w:b w:val="0"/>
          <w:bCs w:val="0"/>
        </w:rPr>
      </w:r>
      <w:r>
        <w:rPr/>
        <w:t>十、破产重整相关事项</w:t>
      </w:r>
      <w:r>
        <w:rPr>
          <w:b w:val="0"/>
          <w:bCs w:val="0"/>
        </w:rPr>
      </w:r>
    </w:p>
    <w:p>
      <w:pPr>
        <w:spacing w:line="398" w:lineRule="auto" w:before="177"/>
        <w:ind w:left="1134" w:right="7182" w:firstLine="0"/>
        <w:jc w:val="left"/>
        <w:rPr>
          <w:rFonts w:ascii="宋体" w:hAnsi="宋体" w:cs="宋体" w:eastAsia="宋体" w:hint="default"/>
          <w:sz w:val="24"/>
          <w:szCs w:val="24"/>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公司报告期未发生破产重整相关事项。 </w:t>
      </w:r>
      <w:bookmarkStart w:name="十一、重大诉讼、仲裁事项" w:id="74"/>
      <w:bookmarkEnd w:id="74"/>
      <w:r>
        <w:rPr>
          <w:rFonts w:ascii="宋体" w:hAnsi="宋体" w:cs="宋体" w:eastAsia="宋体" w:hint="default"/>
          <w:sz w:val="21"/>
          <w:szCs w:val="21"/>
        </w:rPr>
      </w:r>
      <w:r>
        <w:rPr>
          <w:rFonts w:ascii="宋体" w:hAnsi="宋体" w:cs="宋体" w:eastAsia="宋体" w:hint="default"/>
          <w:b/>
          <w:bCs/>
          <w:sz w:val="24"/>
          <w:szCs w:val="24"/>
        </w:rPr>
        <w:t>十一、重大诉讼、仲裁事项</w:t>
      </w:r>
      <w:r>
        <w:rPr>
          <w:rFonts w:ascii="宋体" w:hAnsi="宋体" w:cs="宋体" w:eastAsia="宋体" w:hint="default"/>
          <w:sz w:val="24"/>
          <w:szCs w:val="24"/>
        </w:rPr>
      </w:r>
    </w:p>
    <w:p>
      <w:pPr>
        <w:spacing w:line="398" w:lineRule="auto" w:before="18"/>
        <w:ind w:left="1134" w:right="7182" w:firstLine="0"/>
        <w:jc w:val="left"/>
        <w:rPr>
          <w:rFonts w:ascii="宋体" w:hAnsi="宋体" w:cs="宋体" w:eastAsia="宋体" w:hint="default"/>
          <w:sz w:val="24"/>
          <w:szCs w:val="24"/>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本报告期公司无重大诉讼、仲裁事项。 </w:t>
      </w:r>
      <w:bookmarkStart w:name="十二、处罚及整改情况" w:id="75"/>
      <w:bookmarkEnd w:id="75"/>
      <w:r>
        <w:rPr>
          <w:rFonts w:ascii="宋体" w:hAnsi="宋体" w:cs="宋体" w:eastAsia="宋体" w:hint="default"/>
          <w:sz w:val="21"/>
          <w:szCs w:val="21"/>
        </w:rPr>
      </w:r>
      <w:r>
        <w:rPr>
          <w:rFonts w:ascii="宋体" w:hAnsi="宋体" w:cs="宋体" w:eastAsia="宋体" w:hint="default"/>
          <w:b/>
          <w:bCs/>
          <w:sz w:val="24"/>
          <w:szCs w:val="24"/>
        </w:rPr>
        <w:t>十二、处罚及整改情况</w:t>
      </w:r>
      <w:r>
        <w:rPr>
          <w:rFonts w:ascii="宋体" w:hAnsi="宋体" w:cs="宋体" w:eastAsia="宋体" w:hint="default"/>
          <w:sz w:val="24"/>
          <w:szCs w:val="24"/>
        </w:rPr>
      </w:r>
    </w:p>
    <w:p>
      <w:pPr>
        <w:pStyle w:val="BodyText"/>
        <w:spacing w:line="408" w:lineRule="auto" w:before="18"/>
        <w:ind w:left="1134" w:right="7392"/>
        <w:jc w:val="left"/>
      </w:pPr>
      <w:r>
        <w:rPr/>
        <w:t>□ 适用 √</w:t>
      </w:r>
      <w:r>
        <w:rPr>
          <w:spacing w:val="-1"/>
        </w:rPr>
        <w:t> </w:t>
      </w:r>
      <w:r>
        <w:rPr/>
        <w:t>不适用</w:t>
      </w:r>
      <w:r>
        <w:rPr/>
        <w:t> 公司报告期不存在处罚及整改情况。</w:t>
      </w:r>
    </w:p>
    <w:p>
      <w:pPr>
        <w:pStyle w:val="Heading2"/>
        <w:spacing w:line="240" w:lineRule="auto" w:before="23"/>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pStyle w:val="BodyText"/>
        <w:spacing w:line="240" w:lineRule="auto" w:before="177"/>
        <w:ind w:right="0"/>
        <w:jc w:val="left"/>
      </w:pPr>
      <w:r>
        <w:rPr/>
        <w:t>□ 适用 √</w:t>
      </w:r>
      <w:r>
        <w:rPr>
          <w:spacing w:val="-1"/>
        </w:rPr>
        <w:t> </w:t>
      </w:r>
      <w:r>
        <w:rPr/>
        <w:t>不适用</w:t>
      </w:r>
    </w:p>
    <w:p>
      <w:pPr>
        <w:pStyle w:val="Heading2"/>
        <w:spacing w:line="240" w:lineRule="auto"/>
        <w:ind w:left="1134"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pStyle w:val="BodyText"/>
        <w:spacing w:line="408" w:lineRule="auto" w:before="177"/>
        <w:ind w:left="1554" w:right="0" w:hanging="420"/>
        <w:jc w:val="left"/>
      </w:pPr>
      <w:r>
        <w:rPr/>
        <w:t>√ 适用 □</w:t>
      </w:r>
      <w:r>
        <w:rPr>
          <w:spacing w:val="-1"/>
        </w:rPr>
        <w:t> </w:t>
      </w:r>
      <w:r>
        <w:rPr/>
        <w:t>不适用</w:t>
      </w:r>
      <w:r>
        <w:rPr/>
        <w:t> </w:t>
      </w:r>
      <w:r>
        <w:rPr>
          <w:spacing w:val="-1"/>
        </w:rPr>
        <w:t>报告期内，为建立、健全利益共享机制，充分调动公司员工的积极性，经公司第二届董事会第二十三</w:t>
      </w:r>
    </w:p>
    <w:p>
      <w:pPr>
        <w:pStyle w:val="BodyText"/>
        <w:spacing w:line="405" w:lineRule="auto" w:before="46"/>
        <w:ind w:right="1026"/>
        <w:jc w:val="left"/>
        <w:rPr>
          <w:rFonts w:ascii="宋体" w:hAnsi="宋体" w:cs="宋体" w:eastAsia="宋体" w:hint="default"/>
          <w:sz w:val="24"/>
          <w:szCs w:val="24"/>
        </w:rPr>
      </w:pPr>
      <w:r>
        <w:rPr>
          <w:spacing w:val="-5"/>
        </w:rPr>
        <w:t>次会议及</w:t>
      </w:r>
      <w:r>
        <w:rPr>
          <w:rFonts w:ascii="宋体" w:hAnsi="宋体" w:cs="宋体" w:eastAsia="宋体" w:hint="default"/>
          <w:spacing w:val="-5"/>
        </w:rPr>
        <w:t>2015</w:t>
      </w:r>
      <w:r>
        <w:rPr>
          <w:spacing w:val="-5"/>
        </w:rPr>
        <w:t>年第二次临时股东大会审议通过《关于</w:t>
      </w:r>
      <w:r>
        <w:rPr>
          <w:rFonts w:ascii="宋体" w:hAnsi="宋体" w:cs="宋体" w:eastAsia="宋体" w:hint="default"/>
          <w:spacing w:val="-5"/>
        </w:rPr>
        <w:t>&lt;</w:t>
      </w:r>
      <w:r>
        <w:rPr>
          <w:spacing w:val="-5"/>
        </w:rPr>
        <w:t>光一科技股份有限公司第一期员工持股计划（草案）</w:t>
      </w:r>
      <w:r>
        <w:rPr>
          <w:rFonts w:ascii="宋体" w:hAnsi="宋体" w:cs="宋体" w:eastAsia="宋体" w:hint="default"/>
          <w:spacing w:val="-5"/>
        </w:rPr>
        <w:t>&gt;</w:t>
      </w:r>
      <w:r>
        <w:rPr>
          <w:rFonts w:ascii="宋体" w:hAnsi="宋体" w:cs="宋体" w:eastAsia="宋体" w:hint="default"/>
          <w:spacing w:val="-90"/>
        </w:rPr>
        <w:t> </w:t>
      </w:r>
      <w:r>
        <w:rPr/>
        <w:t>及摘要的议案》，对公司整体业绩和中长期发展具有重要作用的公司核心关键人员不超过</w:t>
      </w:r>
      <w:r>
        <w:rPr>
          <w:rFonts w:ascii="宋体" w:hAnsi="宋体" w:cs="宋体" w:eastAsia="宋体" w:hint="default"/>
        </w:rPr>
        <w:t>100</w:t>
      </w:r>
      <w:r>
        <w:rPr/>
        <w:t>人，筹集资</w:t>
      </w:r>
      <w:r>
        <w:rPr>
          <w:spacing w:val="-27"/>
        </w:rPr>
        <w:t> </w:t>
      </w:r>
      <w:r>
        <w:rPr>
          <w:spacing w:val="-27"/>
        </w:rPr>
      </w:r>
      <w:r>
        <w:rPr/>
        <w:t>金总额不超过</w:t>
      </w:r>
      <w:r>
        <w:rPr>
          <w:rFonts w:ascii="宋体" w:hAnsi="宋体" w:cs="宋体" w:eastAsia="宋体" w:hint="default"/>
        </w:rPr>
        <w:t>2,800</w:t>
      </w:r>
      <w:r>
        <w:rPr/>
        <w:t>万元（公司实际控制人、董事长龙昌明先生向员工提供部分借款），委托南华期货股</w:t>
      </w:r>
      <w:r>
        <w:rPr>
          <w:spacing w:val="-32"/>
        </w:rPr>
        <w:t> </w:t>
      </w:r>
      <w:r>
        <w:rPr>
          <w:spacing w:val="-32"/>
        </w:rPr>
      </w:r>
      <w:r>
        <w:rPr>
          <w:spacing w:val="-5"/>
        </w:rPr>
        <w:t>份有限公司管理并认购南华期货光一科技攀登</w:t>
      </w:r>
      <w:r>
        <w:rPr>
          <w:rFonts w:ascii="宋体" w:hAnsi="宋体" w:cs="宋体" w:eastAsia="宋体" w:hint="default"/>
          <w:spacing w:val="-5"/>
        </w:rPr>
        <w:t>2</w:t>
      </w:r>
      <w:r>
        <w:rPr>
          <w:spacing w:val="-5"/>
        </w:rPr>
        <w:t>号资产管理计划的份额（以下简称“光一科技攀登</w:t>
      </w:r>
      <w:r>
        <w:rPr>
          <w:rFonts w:ascii="宋体" w:hAnsi="宋体" w:cs="宋体" w:eastAsia="宋体" w:hint="default"/>
          <w:spacing w:val="-5"/>
        </w:rPr>
        <w:t>2</w:t>
      </w:r>
      <w:r>
        <w:rPr>
          <w:spacing w:val="-5"/>
        </w:rPr>
        <w:t>号”），</w:t>
      </w:r>
      <w:r>
        <w:rPr>
          <w:spacing w:val="-58"/>
        </w:rPr>
        <w:t> </w:t>
      </w:r>
      <w:r>
        <w:rPr>
          <w:spacing w:val="-58"/>
        </w:rPr>
      </w:r>
      <w:r>
        <w:rPr>
          <w:spacing w:val="-3"/>
        </w:rPr>
        <w:t>主要通过二级市场购买、大宗交易等法律法规许可的方式取得并持有光一科技股票。截至</w:t>
      </w:r>
      <w:r>
        <w:rPr>
          <w:rFonts w:ascii="宋体" w:hAnsi="宋体" w:cs="宋体" w:eastAsia="宋体" w:hint="default"/>
          <w:spacing w:val="-3"/>
        </w:rPr>
        <w:t>2015</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26</w:t>
      </w:r>
      <w:r>
        <w:rPr>
          <w:spacing w:val="-3"/>
        </w:rPr>
        <w:t>日，</w:t>
      </w:r>
      <w:r>
        <w:rPr>
          <w:spacing w:val="-82"/>
        </w:rPr>
        <w:t> </w:t>
      </w:r>
      <w:r>
        <w:rPr/>
        <w:t>光一科技攀登</w:t>
      </w:r>
      <w:r>
        <w:rPr>
          <w:rFonts w:ascii="宋体" w:hAnsi="宋体" w:cs="宋体" w:eastAsia="宋体" w:hint="default"/>
        </w:rPr>
        <w:t>2</w:t>
      </w:r>
      <w:r>
        <w:rPr/>
        <w:t>号共计买入光一科技股票</w:t>
      </w:r>
      <w:r>
        <w:rPr>
          <w:rFonts w:ascii="宋体" w:hAnsi="宋体" w:cs="宋体" w:eastAsia="宋体" w:hint="default"/>
        </w:rPr>
        <w:t>1,299,996</w:t>
      </w:r>
      <w:r>
        <w:rPr/>
        <w:t>股，占公司总股本的</w:t>
      </w:r>
      <w:r>
        <w:rPr>
          <w:rFonts w:ascii="宋体" w:hAnsi="宋体" w:cs="宋体" w:eastAsia="宋体" w:hint="default"/>
        </w:rPr>
        <w:t>0.81%</w:t>
      </w:r>
      <w:r>
        <w:rPr/>
        <w:t>，均价</w:t>
      </w:r>
      <w:r>
        <w:rPr>
          <w:rFonts w:ascii="宋体" w:hAnsi="宋体" w:cs="宋体" w:eastAsia="宋体" w:hint="default"/>
        </w:rPr>
        <w:t>42.22</w:t>
      </w:r>
      <w:r>
        <w:rPr/>
        <w:t>元</w:t>
      </w:r>
      <w:r>
        <w:rPr>
          <w:rFonts w:ascii="宋体" w:hAnsi="宋体" w:cs="宋体" w:eastAsia="宋体" w:hint="default"/>
        </w:rPr>
        <w:t>/</w:t>
      </w:r>
      <w:r>
        <w:rPr/>
        <w:t>股，光一科</w:t>
      </w:r>
      <w:r>
        <w:rPr>
          <w:spacing w:val="-28"/>
        </w:rPr>
        <w:t> </w:t>
      </w:r>
      <w:r>
        <w:rPr>
          <w:spacing w:val="-28"/>
        </w:rPr>
      </w:r>
      <w:r>
        <w:rPr/>
        <w:t>技攀登</w:t>
      </w:r>
      <w:r>
        <w:rPr>
          <w:rFonts w:ascii="宋体" w:hAnsi="宋体" w:cs="宋体" w:eastAsia="宋体" w:hint="default"/>
        </w:rPr>
        <w:t>2</w:t>
      </w:r>
      <w:r>
        <w:rPr/>
        <w:t>号已购买完成，上述股份锁定期自</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27</w:t>
      </w:r>
      <w:r>
        <w:rPr/>
        <w:t>日开始计算，锁定期</w:t>
      </w:r>
      <w:r>
        <w:rPr>
          <w:rFonts w:ascii="宋体" w:hAnsi="宋体" w:cs="宋体" w:eastAsia="宋体" w:hint="default"/>
        </w:rPr>
        <w:t>12</w:t>
      </w:r>
      <w:r>
        <w:rPr/>
        <w:t>个月。 </w:t>
      </w:r>
      <w:bookmarkStart w:name="十五、重大关联交易" w:id="78"/>
      <w:bookmarkEnd w:id="78"/>
      <w:r>
        <w:rPr/>
      </w:r>
      <w:r>
        <w:rPr>
          <w:rFonts w:ascii="宋体" w:hAnsi="宋体" w:cs="宋体" w:eastAsia="宋体" w:hint="default"/>
          <w:b/>
          <w:bCs/>
          <w:sz w:val="24"/>
          <w:szCs w:val="24"/>
        </w:rPr>
        <w:t>十五、重大关联交易</w:t>
      </w:r>
      <w:r>
        <w:rPr>
          <w:rFonts w:ascii="宋体" w:hAnsi="宋体" w:cs="宋体" w:eastAsia="宋体" w:hint="default"/>
          <w:sz w:val="24"/>
          <w:szCs w:val="24"/>
        </w:rPr>
      </w:r>
    </w:p>
    <w:p>
      <w:pPr>
        <w:spacing w:before="20"/>
        <w:ind w:left="1134" w:right="0" w:firstLine="0"/>
        <w:jc w:val="left"/>
        <w:rPr>
          <w:rFonts w:ascii="宋体" w:hAnsi="宋体" w:cs="宋体" w:eastAsia="宋体" w:hint="default"/>
          <w:sz w:val="20"/>
          <w:szCs w:val="20"/>
        </w:rPr>
      </w:pPr>
      <w:bookmarkStart w:name="1、与日常经营相关的关联交易" w:id="79"/>
      <w:bookmarkEnd w:id="79"/>
      <w:r>
        <w:rPr/>
      </w:r>
      <w:r>
        <w:rPr>
          <w:rFonts w:ascii="宋体" w:hAnsi="宋体" w:cs="宋体" w:eastAsia="宋体" w:hint="default"/>
          <w:b/>
          <w:bCs/>
          <w:sz w:val="20"/>
          <w:szCs w:val="20"/>
        </w:rPr>
        <w:t>1</w:t>
      </w:r>
      <w:r>
        <w:rPr>
          <w:rFonts w:ascii="宋体" w:hAnsi="宋体" w:cs="宋体" w:eastAsia="宋体" w:hint="default"/>
          <w:b/>
          <w:bCs/>
          <w:sz w:val="20"/>
          <w:szCs w:val="20"/>
        </w:rPr>
        <w:t>、与日常经营相关的关联交易</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right="0"/>
        <w:jc w:val="left"/>
      </w:pPr>
      <w:r>
        <w:rPr/>
        <w:t>公司报告期未发生与日常经营相关的关联交易。</w:t>
      </w:r>
    </w:p>
    <w:p>
      <w:pPr>
        <w:spacing w:line="240" w:lineRule="auto" w:before="6"/>
        <w:rPr>
          <w:rFonts w:ascii="宋体" w:hAnsi="宋体" w:cs="宋体" w:eastAsia="宋体" w:hint="default"/>
          <w:sz w:val="15"/>
          <w:szCs w:val="15"/>
        </w:rPr>
      </w:pPr>
    </w:p>
    <w:p>
      <w:pPr>
        <w:spacing w:before="0"/>
        <w:ind w:left="1133" w:right="0" w:firstLine="0"/>
        <w:jc w:val="left"/>
        <w:rPr>
          <w:rFonts w:ascii="宋体" w:hAnsi="宋体" w:cs="宋体" w:eastAsia="宋体" w:hint="default"/>
          <w:sz w:val="20"/>
          <w:szCs w:val="20"/>
        </w:rPr>
      </w:pPr>
      <w:bookmarkStart w:name="2、资产或股权收购、出售发生的关联交易" w:id="80"/>
      <w:bookmarkEnd w:id="80"/>
      <w:r>
        <w:rPr/>
      </w:r>
      <w:r>
        <w:rPr>
          <w:rFonts w:ascii="宋体" w:hAnsi="宋体" w:cs="宋体" w:eastAsia="宋体" w:hint="default"/>
          <w:b/>
          <w:bCs/>
          <w:sz w:val="20"/>
          <w:szCs w:val="20"/>
        </w:rPr>
        <w:t>2</w:t>
      </w:r>
      <w:r>
        <w:rPr>
          <w:rFonts w:ascii="宋体" w:hAnsi="宋体" w:cs="宋体" w:eastAsia="宋体" w:hint="default"/>
          <w:b/>
          <w:bCs/>
          <w:sz w:val="20"/>
          <w:szCs w:val="20"/>
        </w:rPr>
        <w:t>、资产或股权收购、出售发生的关联交易</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spacing w:line="412" w:lineRule="auto" w:before="0"/>
        <w:ind w:left="1134" w:right="5712" w:firstLine="0"/>
        <w:jc w:val="left"/>
        <w:rPr>
          <w:rFonts w:ascii="宋体" w:hAnsi="宋体" w:cs="宋体" w:eastAsia="宋体" w:hint="default"/>
          <w:sz w:val="20"/>
          <w:szCs w:val="20"/>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公司报告期未发生资产或股权收购、出售的关联交易。 </w:t>
      </w:r>
      <w:bookmarkStart w:name="3、共同对外投资的关联交易" w:id="81"/>
      <w:bookmarkEnd w:id="81"/>
      <w:r>
        <w:rPr>
          <w:rFonts w:ascii="宋体" w:hAnsi="宋体" w:cs="宋体" w:eastAsia="宋体" w:hint="default"/>
          <w:sz w:val="21"/>
          <w:szCs w:val="21"/>
        </w:rPr>
      </w:r>
      <w:r>
        <w:rPr>
          <w:rFonts w:ascii="宋体" w:hAnsi="宋体" w:cs="宋体" w:eastAsia="宋体" w:hint="default"/>
          <w:b/>
          <w:bCs/>
          <w:sz w:val="20"/>
          <w:szCs w:val="20"/>
        </w:rPr>
        <w:t>3</w:t>
      </w:r>
      <w:r>
        <w:rPr>
          <w:rFonts w:ascii="宋体" w:hAnsi="宋体" w:cs="宋体" w:eastAsia="宋体" w:hint="default"/>
          <w:b/>
          <w:bCs/>
          <w:sz w:val="20"/>
          <w:szCs w:val="20"/>
        </w:rPr>
        <w:t>、共同对外投资的关联交易</w:t>
      </w:r>
      <w:r>
        <w:rPr>
          <w:rFonts w:ascii="宋体" w:hAnsi="宋体" w:cs="宋体" w:eastAsia="宋体" w:hint="default"/>
          <w:sz w:val="20"/>
          <w:szCs w:val="20"/>
        </w:rPr>
      </w:r>
    </w:p>
    <w:p>
      <w:pPr>
        <w:spacing w:line="412" w:lineRule="auto" w:before="53"/>
        <w:ind w:left="1134" w:right="6552" w:firstLine="0"/>
        <w:jc w:val="left"/>
        <w:rPr>
          <w:rFonts w:ascii="宋体" w:hAnsi="宋体" w:cs="宋体" w:eastAsia="宋体" w:hint="default"/>
          <w:sz w:val="20"/>
          <w:szCs w:val="20"/>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公司报告期未发生共同对外投资的关联交易。 </w:t>
      </w:r>
      <w:bookmarkStart w:name="4、关联债权债务往来" w:id="82"/>
      <w:bookmarkEnd w:id="82"/>
      <w:r>
        <w:rPr>
          <w:rFonts w:ascii="宋体" w:hAnsi="宋体" w:cs="宋体" w:eastAsia="宋体" w:hint="default"/>
          <w:sz w:val="21"/>
          <w:szCs w:val="21"/>
        </w:rPr>
      </w:r>
      <w:r>
        <w:rPr>
          <w:rFonts w:ascii="宋体" w:hAnsi="宋体" w:cs="宋体" w:eastAsia="宋体" w:hint="default"/>
          <w:b/>
          <w:bCs/>
          <w:sz w:val="20"/>
          <w:szCs w:val="20"/>
        </w:rPr>
        <w:t>4</w:t>
      </w:r>
      <w:r>
        <w:rPr>
          <w:rFonts w:ascii="宋体" w:hAnsi="宋体" w:cs="宋体" w:eastAsia="宋体" w:hint="default"/>
          <w:b/>
          <w:bCs/>
          <w:sz w:val="20"/>
          <w:szCs w:val="20"/>
        </w:rPr>
        <w:t>、关联债权债务往来</w:t>
      </w:r>
      <w:r>
        <w:rPr>
          <w:rFonts w:ascii="宋体" w:hAnsi="宋体" w:cs="宋体" w:eastAsia="宋体" w:hint="default"/>
          <w:sz w:val="20"/>
          <w:szCs w:val="20"/>
        </w:rPr>
      </w:r>
    </w:p>
    <w:p>
      <w:pPr>
        <w:pStyle w:val="BodyText"/>
        <w:spacing w:line="408" w:lineRule="auto" w:before="53"/>
        <w:ind w:left="1134" w:right="7392"/>
        <w:jc w:val="left"/>
      </w:pPr>
      <w:r>
        <w:rPr/>
        <w:t>√ 适用 □</w:t>
      </w:r>
      <w:r>
        <w:rPr>
          <w:spacing w:val="-1"/>
        </w:rPr>
        <w:t> </w:t>
      </w:r>
      <w:r>
        <w:rPr/>
        <w:t>不适用</w:t>
      </w:r>
      <w:r>
        <w:rPr/>
        <w:t> 是否存在非经营性关联债权债务往来</w:t>
      </w:r>
    </w:p>
    <w:p>
      <w:pPr>
        <w:pStyle w:val="BodyText"/>
        <w:spacing w:line="408" w:lineRule="auto" w:before="46"/>
        <w:ind w:left="1134" w:right="9282"/>
        <w:jc w:val="left"/>
      </w:pPr>
      <w:r>
        <w:rPr/>
        <w:t>√ 是 □ 否 应收关联方债权</w:t>
      </w:r>
    </w:p>
    <w:p>
      <w:pPr>
        <w:spacing w:line="229" w:lineRule="exact" w:before="0"/>
        <w:ind w:left="0" w:right="1488"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5"/>
          <w:szCs w:val="5"/>
        </w:rPr>
      </w:pPr>
    </w:p>
    <w:tbl>
      <w:tblPr>
        <w:tblW w:w="0" w:type="auto"/>
        <w:jc w:val="left"/>
        <w:tblInd w:w="1090" w:type="dxa"/>
        <w:tblLayout w:type="fixed"/>
        <w:tblCellMar>
          <w:top w:w="0" w:type="dxa"/>
          <w:left w:w="0" w:type="dxa"/>
          <w:bottom w:w="0" w:type="dxa"/>
          <w:right w:w="0" w:type="dxa"/>
        </w:tblCellMar>
        <w:tblLook w:val="01E0"/>
      </w:tblPr>
      <w:tblGrid>
        <w:gridCol w:w="1418"/>
        <w:gridCol w:w="709"/>
        <w:gridCol w:w="851"/>
        <w:gridCol w:w="1276"/>
        <w:gridCol w:w="851"/>
        <w:gridCol w:w="1162"/>
        <w:gridCol w:w="1276"/>
        <w:gridCol w:w="425"/>
        <w:gridCol w:w="426"/>
        <w:gridCol w:w="963"/>
      </w:tblGrid>
      <w:tr>
        <w:trPr>
          <w:trHeight w:val="766" w:hRule="exact"/>
        </w:trPr>
        <w:tc>
          <w:tcPr>
            <w:tcW w:w="141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60" w:lineRule="auto" w:before="51"/>
              <w:ind w:left="168" w:right="164"/>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8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71"/>
              <w:ind w:left="90" w:right="89"/>
              <w:jc w:val="left"/>
              <w:rPr>
                <w:rFonts w:ascii="宋体" w:hAnsi="宋体" w:cs="宋体" w:eastAsia="宋体" w:hint="default"/>
                <w:sz w:val="18"/>
                <w:szCs w:val="18"/>
              </w:rPr>
            </w:pPr>
            <w:r>
              <w:rPr>
                <w:rFonts w:ascii="宋体" w:hAnsi="宋体" w:cs="宋体" w:eastAsia="宋体" w:hint="default"/>
                <w:sz w:val="18"/>
                <w:szCs w:val="18"/>
              </w:rPr>
              <w:t>是否存在非经 营性资金占用</w:t>
            </w:r>
          </w:p>
        </w:tc>
        <w:tc>
          <w:tcPr>
            <w:tcW w:w="8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6"/>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116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本期新增金额</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本期收回金额</w:t>
            </w:r>
          </w:p>
        </w:tc>
        <w:tc>
          <w:tcPr>
            <w:tcW w:w="42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4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71"/>
              <w:ind w:left="25" w:right="24"/>
              <w:jc w:val="left"/>
              <w:rPr>
                <w:rFonts w:ascii="宋体" w:hAnsi="宋体" w:cs="宋体" w:eastAsia="宋体" w:hint="default"/>
                <w:sz w:val="18"/>
                <w:szCs w:val="18"/>
              </w:rPr>
            </w:pPr>
            <w:r>
              <w:rPr>
                <w:rFonts w:ascii="宋体" w:hAnsi="宋体" w:cs="宋体" w:eastAsia="宋体" w:hint="default"/>
                <w:sz w:val="18"/>
                <w:szCs w:val="18"/>
              </w:rPr>
              <w:t>本期 利息</w:t>
            </w:r>
          </w:p>
        </w:tc>
        <w:tc>
          <w:tcPr>
            <w:tcW w:w="96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9" w:hRule="exact"/>
        </w:trPr>
        <w:tc>
          <w:tcPr>
            <w:tcW w:w="1418"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120"/>
              <w:jc w:val="left"/>
              <w:rPr>
                <w:rFonts w:ascii="宋体" w:hAnsi="宋体" w:cs="宋体" w:eastAsia="宋体" w:hint="default"/>
                <w:sz w:val="18"/>
                <w:szCs w:val="18"/>
              </w:rPr>
            </w:pPr>
            <w:r>
              <w:rPr>
                <w:rFonts w:ascii="宋体" w:hAnsi="宋体" w:cs="宋体" w:eastAsia="宋体" w:hint="default"/>
                <w:sz w:val="18"/>
                <w:szCs w:val="18"/>
              </w:rPr>
              <w:t>江苏光一投资管 理有限责任公司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1" w:right="92"/>
              <w:jc w:val="left"/>
              <w:rPr>
                <w:rFonts w:ascii="宋体" w:hAnsi="宋体" w:cs="宋体" w:eastAsia="宋体" w:hint="default"/>
                <w:sz w:val="18"/>
                <w:szCs w:val="18"/>
              </w:rPr>
            </w:pPr>
            <w:r>
              <w:rPr>
                <w:rFonts w:ascii="宋体" w:hAnsi="宋体" w:cs="宋体" w:eastAsia="宋体" w:hint="default"/>
                <w:sz w:val="18"/>
                <w:szCs w:val="18"/>
              </w:rPr>
              <w:t>应收关联 方债权</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7,875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1" w:right="0"/>
              <w:jc w:val="left"/>
              <w:rPr>
                <w:rFonts w:ascii="宋体" w:hAnsi="宋体" w:cs="宋体" w:eastAsia="宋体" w:hint="default"/>
                <w:sz w:val="18"/>
                <w:szCs w:val="18"/>
              </w:rPr>
            </w:pPr>
            <w:r>
              <w:rPr>
                <w:rFonts w:ascii="宋体"/>
                <w:sz w:val="18"/>
              </w:rPr>
              <w:t>1,125</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9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sz w:val="18"/>
              </w:rPr>
              <w:t>6,750</w:t>
            </w:r>
          </w:p>
        </w:tc>
      </w:tr>
      <w:tr>
        <w:trPr>
          <w:trHeight w:val="727" w:hRule="exact"/>
        </w:trPr>
        <w:tc>
          <w:tcPr>
            <w:tcW w:w="2127" w:type="dxa"/>
            <w:gridSpan w:val="2"/>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52"/>
              <w:ind w:left="13" w:right="111"/>
              <w:jc w:val="left"/>
              <w:rPr>
                <w:rFonts w:ascii="宋体" w:hAnsi="宋体" w:cs="宋体" w:eastAsia="宋体" w:hint="default"/>
                <w:sz w:val="18"/>
                <w:szCs w:val="18"/>
              </w:rPr>
            </w:pPr>
            <w:r>
              <w:rPr>
                <w:rFonts w:ascii="宋体" w:hAnsi="宋体" w:cs="宋体" w:eastAsia="宋体" w:hint="default"/>
                <w:sz w:val="18"/>
                <w:szCs w:val="18"/>
              </w:rPr>
              <w:t>关联债权对公司经营成果 及财务状况的影响</w:t>
            </w:r>
          </w:p>
        </w:tc>
        <w:tc>
          <w:tcPr>
            <w:tcW w:w="7229" w:type="dxa"/>
            <w:gridSpan w:val="8"/>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3"/>
        <w:ind w:left="1134" w:right="0"/>
        <w:jc w:val="left"/>
      </w:pPr>
      <w:r>
        <w:rPr/>
        <w:t>应付关联方债务</w:t>
      </w:r>
    </w:p>
    <w:p>
      <w:pPr>
        <w:spacing w:line="240" w:lineRule="auto" w:before="10"/>
        <w:rPr>
          <w:rFonts w:ascii="宋体" w:hAnsi="宋体" w:cs="宋体" w:eastAsia="宋体" w:hint="default"/>
          <w:sz w:val="14"/>
          <w:szCs w:val="14"/>
        </w:rPr>
      </w:pPr>
    </w:p>
    <w:p>
      <w:pPr>
        <w:spacing w:line="408" w:lineRule="auto" w:before="0"/>
        <w:ind w:left="1134" w:right="874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其他重大关联交易" w:id="83"/>
      <w:bookmarkEnd w:id="83"/>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391" w:lineRule="auto" w:before="46"/>
        <w:ind w:left="1134" w:right="760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公司报告期无其他重大关联交易。 </w:t>
      </w:r>
      <w:bookmarkStart w:name="十六、重大合同及其履行情况" w:id="84"/>
      <w:bookmarkEnd w:id="84"/>
      <w:r>
        <w:rPr>
          <w:rFonts w:ascii="宋体" w:hAnsi="宋体" w:cs="宋体" w:eastAsia="宋体" w:hint="default"/>
          <w:sz w:val="21"/>
          <w:szCs w:val="21"/>
        </w:rPr>
      </w:r>
      <w:r>
        <w:rPr>
          <w:rFonts w:ascii="宋体" w:hAnsi="宋体" w:cs="宋体" w:eastAsia="宋体" w:hint="default"/>
          <w:b/>
          <w:bCs/>
          <w:sz w:val="24"/>
          <w:szCs w:val="24"/>
        </w:rPr>
        <w:t>十六、重大合同及其履行情况</w:t>
      </w:r>
      <w:r>
        <w:rPr>
          <w:rFonts w:ascii="宋体" w:hAnsi="宋体" w:cs="宋体" w:eastAsia="宋体" w:hint="default"/>
          <w:b/>
          <w:bCs/>
          <w:w w:val="99"/>
          <w:sz w:val="24"/>
          <w:szCs w:val="24"/>
        </w:rPr>
        <w:t> </w:t>
      </w:r>
      <w:bookmarkStart w:name="1、托管、承包、租赁事项情况" w:id="85"/>
      <w:bookmarkEnd w:id="85"/>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pStyle w:val="Heading4"/>
        <w:spacing w:line="240" w:lineRule="auto" w:before="61"/>
        <w:ind w:left="1134" w:right="0"/>
        <w:jc w:val="left"/>
        <w:rPr>
          <w:b w:val="0"/>
          <w:bCs w:val="0"/>
        </w:rPr>
      </w:pPr>
      <w:bookmarkStart w:name="（1）托管情况" w:id="86"/>
      <w:bookmarkEnd w:id="86"/>
      <w:r>
        <w:rPr>
          <w:b w:val="0"/>
          <w:bCs w:val="0"/>
        </w:rPr>
      </w:r>
      <w:r>
        <w:rPr/>
        <w:t>（</w:t>
      </w:r>
      <w:r>
        <w:rPr>
          <w:rFonts w:ascii="宋体" w:hAnsi="宋体" w:cs="宋体" w:eastAsia="宋体" w:hint="default"/>
        </w:rPr>
        <w:t>1</w:t>
      </w:r>
      <w:r>
        <w:rPr/>
        <w:t>）托管情况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1134" w:right="8022"/>
        <w:jc w:val="left"/>
      </w:pPr>
      <w:r>
        <w:rPr/>
        <w:t>□ 适用 √</w:t>
      </w:r>
      <w:r>
        <w:rPr>
          <w:spacing w:val="-1"/>
        </w:rPr>
        <w:t> </w:t>
      </w:r>
      <w:r>
        <w:rPr/>
        <w:t>不适用</w:t>
      </w:r>
      <w:r>
        <w:rPr/>
        <w:t> 公司报告期不存在托管情况。</w:t>
      </w:r>
    </w:p>
    <w:p>
      <w:pPr>
        <w:pStyle w:val="Heading4"/>
        <w:spacing w:line="240" w:lineRule="auto"/>
        <w:ind w:left="1134" w:right="0"/>
        <w:jc w:val="left"/>
        <w:rPr>
          <w:b w:val="0"/>
          <w:bCs w:val="0"/>
        </w:rPr>
      </w:pPr>
      <w:bookmarkStart w:name="（2）承包情况" w:id="87"/>
      <w:bookmarkEnd w:id="87"/>
      <w:r>
        <w:rPr>
          <w:b w:val="0"/>
          <w:bCs w:val="0"/>
        </w:rPr>
      </w:r>
      <w:r>
        <w:rPr/>
        <w:t>（</w:t>
      </w:r>
      <w:r>
        <w:rPr>
          <w:rFonts w:ascii="宋体" w:hAnsi="宋体" w:cs="宋体" w:eastAsia="宋体" w:hint="default"/>
        </w:rPr>
        <w:t>2</w:t>
      </w:r>
      <w:r>
        <w:rPr/>
        <w:t>）承包情况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1134" w:right="0"/>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right="0"/>
        <w:jc w:val="left"/>
      </w:pPr>
      <w:r>
        <w:rPr/>
        <w:t>公司报告期不存在承包情况。</w:t>
      </w:r>
    </w:p>
    <w:p>
      <w:pPr>
        <w:spacing w:line="240" w:lineRule="auto" w:before="10"/>
        <w:rPr>
          <w:rFonts w:ascii="宋体" w:hAnsi="宋体" w:cs="宋体" w:eastAsia="宋体" w:hint="default"/>
          <w:sz w:val="14"/>
          <w:szCs w:val="14"/>
        </w:rPr>
      </w:pPr>
    </w:p>
    <w:p>
      <w:pPr>
        <w:pStyle w:val="Heading4"/>
        <w:spacing w:line="240" w:lineRule="auto" w:before="0"/>
        <w:ind w:right="0"/>
        <w:jc w:val="left"/>
        <w:rPr>
          <w:b w:val="0"/>
          <w:bCs w:val="0"/>
        </w:rPr>
      </w:pPr>
      <w:bookmarkStart w:name="（3）租赁情况" w:id="88"/>
      <w:bookmarkEnd w:id="88"/>
      <w:r>
        <w:rPr>
          <w:b w:val="0"/>
          <w:bCs w:val="0"/>
        </w:rPr>
      </w:r>
      <w:r>
        <w:rPr/>
        <w:t>（</w:t>
      </w:r>
      <w:r>
        <w:rPr>
          <w:rFonts w:ascii="宋体" w:hAnsi="宋体" w:cs="宋体" w:eastAsia="宋体" w:hint="default"/>
        </w:rPr>
        <w:t>3</w:t>
      </w:r>
      <w:r>
        <w:rPr/>
        <w:t>）租赁情况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8023"/>
        <w:jc w:val="left"/>
        <w:rPr>
          <w:rFonts w:ascii="宋体" w:hAnsi="宋体" w:cs="宋体" w:eastAsia="宋体" w:hint="default"/>
        </w:rPr>
      </w:pPr>
      <w:r>
        <w:rPr/>
        <w:t>□ 适用 √</w:t>
      </w:r>
      <w:r>
        <w:rPr>
          <w:spacing w:val="-1"/>
        </w:rPr>
        <w:t> </w:t>
      </w:r>
      <w:r>
        <w:rPr/>
        <w:t>不适用</w:t>
      </w:r>
      <w:r>
        <w:rPr/>
        <w:t> 公司报告期不存在租赁情况。 </w:t>
      </w:r>
      <w:bookmarkStart w:name="2、重大担保" w:id="89"/>
      <w:bookmarkEnd w:id="89"/>
      <w:r>
        <w:rPr/>
      </w:r>
      <w:r>
        <w:rPr>
          <w:rFonts w:ascii="宋体" w:hAnsi="宋体" w:cs="宋体" w:eastAsia="宋体" w:hint="default"/>
          <w:b/>
          <w:bCs/>
        </w:rPr>
        <w:t>2</w:t>
      </w:r>
      <w:r>
        <w:rPr>
          <w:rFonts w:ascii="宋体" w:hAnsi="宋体" w:cs="宋体" w:eastAsia="宋体" w:hint="default"/>
          <w:b/>
          <w:bCs/>
        </w:rPr>
        <w:t>、重大担保</w:t>
      </w:r>
      <w:r>
        <w:rPr>
          <w:rFonts w:ascii="宋体" w:hAnsi="宋体" w:cs="宋体" w:eastAsia="宋体" w:hint="default"/>
        </w:rPr>
      </w:r>
    </w:p>
    <w:p>
      <w:pPr>
        <w:spacing w:line="408" w:lineRule="auto" w:before="46"/>
        <w:ind w:left="1134" w:right="748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公司报告期不存在担保情况。 </w:t>
      </w:r>
      <w:bookmarkStart w:name="3、委托他人进行现金资产管理情况" w:id="90"/>
      <w:bookmarkEnd w:id="90"/>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pStyle w:val="Heading4"/>
        <w:spacing w:line="240" w:lineRule="auto"/>
        <w:ind w:left="1134" w:right="0"/>
        <w:jc w:val="left"/>
        <w:rPr>
          <w:b w:val="0"/>
          <w:bCs w:val="0"/>
        </w:rPr>
      </w:pPr>
      <w:bookmarkStart w:name="（1）委托理财情况" w:id="91"/>
      <w:bookmarkEnd w:id="91"/>
      <w:r>
        <w:rPr>
          <w:b w:val="0"/>
          <w:bCs w:val="0"/>
        </w:rPr>
      </w:r>
      <w:r>
        <w:rPr/>
        <w:t>（</w:t>
      </w:r>
      <w:r>
        <w:rPr>
          <w:rFonts w:ascii="宋体" w:hAnsi="宋体" w:cs="宋体" w:eastAsia="宋体" w:hint="default"/>
        </w:rPr>
        <w:t>1</w:t>
      </w:r>
      <w:r>
        <w:rPr/>
        <w:t>）委托理财情况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1134" w:right="8022"/>
        <w:jc w:val="left"/>
      </w:pPr>
      <w:r>
        <w:rPr/>
        <w:t>□ 适用 √</w:t>
      </w:r>
      <w:r>
        <w:rPr>
          <w:spacing w:val="-1"/>
        </w:rPr>
        <w:t> </w:t>
      </w:r>
      <w:r>
        <w:rPr/>
        <w:t>不适用</w:t>
      </w:r>
      <w:r>
        <w:rPr/>
        <w:t> 公司报告期不存在委托理财。</w:t>
      </w:r>
    </w:p>
    <w:p>
      <w:pPr>
        <w:pStyle w:val="Heading4"/>
        <w:spacing w:line="240" w:lineRule="auto"/>
        <w:ind w:left="1134" w:right="0"/>
        <w:jc w:val="left"/>
        <w:rPr>
          <w:b w:val="0"/>
          <w:bCs w:val="0"/>
        </w:rPr>
      </w:pPr>
      <w:bookmarkStart w:name="（2）委托贷款情况" w:id="92"/>
      <w:bookmarkEnd w:id="92"/>
      <w:r>
        <w:rPr>
          <w:b w:val="0"/>
          <w:bCs w:val="0"/>
        </w:rPr>
      </w:r>
      <w:r>
        <w:rPr/>
        <w:t>（</w:t>
      </w:r>
      <w:r>
        <w:rPr>
          <w:rFonts w:ascii="宋体" w:hAnsi="宋体" w:cs="宋体" w:eastAsia="宋体" w:hint="default"/>
        </w:rPr>
        <w:t>2</w:t>
      </w:r>
      <w:r>
        <w:rPr/>
        <w:t>）委托贷款情况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02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公司报告期不存在委托贷款。 </w:t>
      </w:r>
      <w:bookmarkStart w:name="4、其他重大合同" w:id="93"/>
      <w:bookmarkEnd w:id="93"/>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398" w:lineRule="auto" w:before="46"/>
        <w:ind w:left="1134" w:right="7602" w:firstLine="0"/>
        <w:jc w:val="left"/>
        <w:rPr>
          <w:rFonts w:ascii="宋体" w:hAnsi="宋体" w:cs="宋体" w:eastAsia="宋体" w:hint="default"/>
          <w:sz w:val="24"/>
          <w:szCs w:val="24"/>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公司报告期不存在其他重大合同。 </w:t>
      </w:r>
      <w:bookmarkStart w:name="十七、其他重大事项的说明" w:id="94"/>
      <w:bookmarkEnd w:id="94"/>
      <w:r>
        <w:rPr>
          <w:rFonts w:ascii="宋体" w:hAnsi="宋体" w:cs="宋体" w:eastAsia="宋体" w:hint="default"/>
          <w:sz w:val="21"/>
          <w:szCs w:val="21"/>
        </w:rPr>
      </w:r>
      <w:r>
        <w:rPr>
          <w:rFonts w:ascii="宋体" w:hAnsi="宋体" w:cs="宋体" w:eastAsia="宋体" w:hint="default"/>
          <w:b/>
          <w:bCs/>
          <w:sz w:val="24"/>
          <w:szCs w:val="24"/>
        </w:rPr>
        <w:t>十七、其他重大事项的说明</w:t>
      </w:r>
      <w:r>
        <w:rPr>
          <w:rFonts w:ascii="宋体" w:hAnsi="宋体" w:cs="宋体" w:eastAsia="宋体" w:hint="default"/>
          <w:sz w:val="24"/>
          <w:szCs w:val="24"/>
        </w:rPr>
      </w:r>
    </w:p>
    <w:p>
      <w:pPr>
        <w:spacing w:line="398" w:lineRule="auto" w:before="18"/>
        <w:ind w:left="1134" w:right="6552" w:firstLine="0"/>
        <w:jc w:val="left"/>
        <w:rPr>
          <w:rFonts w:ascii="宋体" w:hAnsi="宋体" w:cs="宋体" w:eastAsia="宋体" w:hint="default"/>
          <w:sz w:val="24"/>
          <w:szCs w:val="24"/>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公司报告期不存在需要说明的其他重大事项。 </w:t>
      </w:r>
      <w:bookmarkStart w:name="十八、公司子公司重大事项" w:id="95"/>
      <w:bookmarkEnd w:id="95"/>
      <w:r>
        <w:rPr>
          <w:rFonts w:ascii="宋体" w:hAnsi="宋体" w:cs="宋体" w:eastAsia="宋体" w:hint="default"/>
          <w:sz w:val="21"/>
          <w:szCs w:val="21"/>
        </w:rPr>
      </w:r>
      <w:r>
        <w:rPr>
          <w:rFonts w:ascii="宋体" w:hAnsi="宋体" w:cs="宋体" w:eastAsia="宋体" w:hint="default"/>
          <w:b/>
          <w:bCs/>
          <w:sz w:val="24"/>
          <w:szCs w:val="24"/>
        </w:rPr>
        <w:t>十八、公司子公司重大事项</w:t>
      </w:r>
      <w:r>
        <w:rPr>
          <w:rFonts w:ascii="宋体" w:hAnsi="宋体" w:cs="宋体" w:eastAsia="宋体" w:hint="default"/>
          <w:sz w:val="24"/>
          <w:szCs w:val="24"/>
        </w:rPr>
      </w:r>
    </w:p>
    <w:p>
      <w:pPr>
        <w:pStyle w:val="BodyText"/>
        <w:spacing w:line="240" w:lineRule="auto" w:before="18"/>
        <w:ind w:left="113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408" w:lineRule="auto"/>
        <w:ind w:right="1130" w:firstLine="423"/>
        <w:jc w:val="both"/>
      </w:pPr>
      <w:r>
        <w:rPr>
          <w:spacing w:val="-1"/>
        </w:rPr>
        <w:t>①在公司收购索瑞电气重大资产重组中，根据公司与任昌兆等</w:t>
      </w:r>
      <w:r>
        <w:rPr>
          <w:rFonts w:ascii="宋体" w:hAnsi="宋体" w:cs="宋体" w:eastAsia="宋体" w:hint="default"/>
          <w:spacing w:val="-1"/>
        </w:rPr>
        <w:t>10</w:t>
      </w:r>
      <w:r>
        <w:rPr>
          <w:spacing w:val="-1"/>
        </w:rPr>
        <w:t>名交易对方签署的《盈利承诺及补偿</w:t>
      </w:r>
      <w:r>
        <w:rPr/>
        <w:t> </w:t>
      </w:r>
      <w:r>
        <w:rPr>
          <w:spacing w:val="-1"/>
        </w:rPr>
        <w:t>协议》、《盈利承诺及补偿之补充协议》，本次重组的业绩承诺方任昌兆、任晶晶、桂长钟、李善元、周</w:t>
      </w:r>
      <w:r>
        <w:rPr>
          <w:spacing w:val="-85"/>
        </w:rPr>
        <w:t> </w:t>
      </w:r>
      <w:r>
        <w:rPr>
          <w:spacing w:val="-85"/>
        </w:rPr>
      </w:r>
      <w:r>
        <w:rPr>
          <w:spacing w:val="-1"/>
        </w:rPr>
        <w:t>军、田裕树、方旭东、李强、徐光涛及湖北乾瀚投资有限公司承诺索瑞电气</w:t>
      </w:r>
      <w:r>
        <w:rPr>
          <w:rFonts w:ascii="宋体" w:hAnsi="宋体" w:cs="宋体" w:eastAsia="宋体" w:hint="default"/>
          <w:spacing w:val="-1"/>
        </w:rPr>
        <w:t>2014</w:t>
      </w:r>
      <w:r>
        <w:rPr>
          <w:spacing w:val="-1"/>
        </w:rPr>
        <w:t>年度、</w:t>
      </w:r>
      <w:r>
        <w:rPr>
          <w:rFonts w:ascii="宋体" w:hAnsi="宋体" w:cs="宋体" w:eastAsia="宋体" w:hint="default"/>
          <w:spacing w:val="-1"/>
        </w:rPr>
        <w:t>2015</w:t>
      </w:r>
      <w:r>
        <w:rPr>
          <w:spacing w:val="-1"/>
        </w:rPr>
        <w:t>年度、</w:t>
      </w:r>
      <w:r>
        <w:rPr>
          <w:rFonts w:ascii="宋体" w:hAnsi="宋体" w:cs="宋体" w:eastAsia="宋体" w:hint="default"/>
          <w:spacing w:val="-1"/>
        </w:rPr>
        <w:t>2016</w:t>
      </w:r>
      <w:r>
        <w:rPr>
          <w:spacing w:val="-1"/>
        </w:rPr>
        <w:t>年</w:t>
      </w:r>
      <w:r>
        <w:rPr>
          <w:spacing w:val="-77"/>
        </w:rPr>
        <w:t> </w:t>
      </w:r>
      <w:r>
        <w:rPr>
          <w:spacing w:val="-3"/>
        </w:rPr>
        <w:t>度实现的净利润比较扣非后的净利润按照孰低原则确定的净利润分别不低于</w:t>
      </w:r>
      <w:r>
        <w:rPr>
          <w:rFonts w:ascii="宋体" w:hAnsi="宋体" w:cs="宋体" w:eastAsia="宋体" w:hint="default"/>
          <w:spacing w:val="-3"/>
        </w:rPr>
        <w:t>7,500</w:t>
      </w:r>
      <w:r>
        <w:rPr>
          <w:spacing w:val="-3"/>
        </w:rPr>
        <w:t>万元、</w:t>
      </w:r>
      <w:r>
        <w:rPr>
          <w:rFonts w:ascii="宋体" w:hAnsi="宋体" w:cs="宋体" w:eastAsia="宋体" w:hint="default"/>
          <w:spacing w:val="-3"/>
        </w:rPr>
        <w:t>8,100</w:t>
      </w:r>
      <w:r>
        <w:rPr>
          <w:spacing w:val="-3"/>
        </w:rPr>
        <w:t>万元、</w:t>
      </w:r>
      <w:r>
        <w:rPr>
          <w:rFonts w:ascii="宋体" w:hAnsi="宋体" w:cs="宋体" w:eastAsia="宋体" w:hint="default"/>
          <w:spacing w:val="-3"/>
        </w:rPr>
        <w:t>8,400</w:t>
      </w:r>
      <w:r>
        <w:rPr>
          <w:rFonts w:ascii="宋体" w:hAnsi="宋体" w:cs="宋体" w:eastAsia="宋体" w:hint="default"/>
          <w:spacing w:val="-71"/>
        </w:rPr>
        <w:t> </w:t>
      </w:r>
      <w:r>
        <w:rPr>
          <w:rFonts w:ascii="宋体" w:hAnsi="宋体" w:cs="宋体" w:eastAsia="宋体" w:hint="default"/>
          <w:spacing w:val="-71"/>
        </w:rPr>
      </w:r>
      <w:r>
        <w:rPr/>
        <w:t>万元。</w:t>
      </w:r>
    </w:p>
    <w:p>
      <w:pPr>
        <w:pStyle w:val="BodyText"/>
        <w:spacing w:line="408" w:lineRule="auto" w:before="46"/>
        <w:ind w:right="1133" w:firstLine="423"/>
        <w:jc w:val="both"/>
      </w:pPr>
      <w:r>
        <w:rPr>
          <w:spacing w:val="-1"/>
        </w:rPr>
        <w:t>经众华会计师事务所（特殊普通合伙）审计并出具《光一科技股份有限公司关于重大资产重组购买资</w:t>
      </w:r>
      <w:r>
        <w:rPr/>
        <w:t> </w:t>
      </w:r>
      <w:r>
        <w:rPr>
          <w:spacing w:val="-1"/>
        </w:rPr>
        <w:t>产</w:t>
      </w:r>
      <w:r>
        <w:rPr>
          <w:rFonts w:ascii="宋体" w:hAnsi="宋体" w:cs="宋体" w:eastAsia="宋体" w:hint="default"/>
          <w:spacing w:val="-1"/>
        </w:rPr>
        <w:t>2015</w:t>
      </w:r>
      <w:r>
        <w:rPr>
          <w:spacing w:val="-1"/>
        </w:rPr>
        <w:t>年度业绩承诺实现情况的专项审核报告》（众会字（</w:t>
      </w:r>
      <w:r>
        <w:rPr>
          <w:rFonts w:ascii="宋体" w:hAnsi="宋体" w:cs="宋体" w:eastAsia="宋体" w:hint="default"/>
          <w:spacing w:val="-1"/>
        </w:rPr>
        <w:t>2016</w:t>
      </w:r>
      <w:r>
        <w:rPr>
          <w:spacing w:val="-1"/>
        </w:rPr>
        <w:t>）第</w:t>
      </w:r>
      <w:r>
        <w:rPr>
          <w:rFonts w:ascii="宋体" w:hAnsi="宋体" w:cs="宋体" w:eastAsia="宋体" w:hint="default"/>
          <w:spacing w:val="-1"/>
        </w:rPr>
        <w:t>2322</w:t>
      </w:r>
      <w:r>
        <w:rPr>
          <w:spacing w:val="-1"/>
        </w:rPr>
        <w:t>号），索瑞电气</w:t>
      </w:r>
      <w:r>
        <w:rPr>
          <w:rFonts w:ascii="宋体" w:hAnsi="宋体" w:cs="宋体" w:eastAsia="宋体" w:hint="default"/>
          <w:spacing w:val="-1"/>
        </w:rPr>
        <w:t>2015</w:t>
      </w:r>
      <w:r>
        <w:rPr>
          <w:spacing w:val="-1"/>
        </w:rPr>
        <w:t>年度归属于</w:t>
      </w:r>
      <w:r>
        <w:rPr>
          <w:spacing w:val="-79"/>
        </w:rPr>
        <w:t> </w:t>
      </w:r>
      <w:r>
        <w:rPr>
          <w:spacing w:val="12"/>
        </w:rPr>
        <w:t>公司普通股股东的净利润为</w:t>
      </w:r>
      <w:r>
        <w:rPr>
          <w:rFonts w:ascii="宋体" w:hAnsi="宋体" w:cs="宋体" w:eastAsia="宋体" w:hint="default"/>
          <w:spacing w:val="12"/>
        </w:rPr>
        <w:t>8,142.65</w:t>
      </w:r>
      <w:r>
        <w:rPr>
          <w:spacing w:val="12"/>
        </w:rPr>
        <w:t>万元，扣除非经常性损益后归属于公司普通股股东的净利润为</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8,102.68</w:t>
      </w:r>
      <w:r>
        <w:rPr/>
        <w:t>万元，超过盈利承诺水平，</w:t>
      </w:r>
      <w:r>
        <w:rPr>
          <w:rFonts w:ascii="宋体" w:hAnsi="宋体" w:cs="宋体" w:eastAsia="宋体" w:hint="default"/>
        </w:rPr>
        <w:t>2015</w:t>
      </w:r>
      <w:r>
        <w:rPr/>
        <w:t>年度业绩承诺已经实现。</w:t>
      </w:r>
    </w:p>
    <w:p>
      <w:pPr>
        <w:spacing w:line="240" w:lineRule="auto" w:before="10"/>
        <w:rPr>
          <w:rFonts w:ascii="宋体" w:hAnsi="宋体" w:cs="宋体" w:eastAsia="宋体" w:hint="default"/>
          <w:sz w:val="14"/>
          <w:szCs w:val="14"/>
        </w:rPr>
      </w:pPr>
    </w:p>
    <w:p>
      <w:pPr>
        <w:pStyle w:val="BodyText"/>
        <w:spacing w:line="408" w:lineRule="auto"/>
        <w:ind w:right="1131" w:firstLine="420"/>
        <w:jc w:val="both"/>
      </w:pPr>
      <w:r>
        <w:rPr>
          <w:spacing w:val="-1"/>
        </w:rPr>
        <w:t>②</w:t>
      </w:r>
      <w:r>
        <w:rPr>
          <w:rFonts w:ascii="宋体" w:hAnsi="宋体" w:cs="宋体" w:eastAsia="宋体" w:hint="default"/>
          <w:spacing w:val="-1"/>
        </w:rPr>
        <w:t>2015</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6</w:t>
      </w:r>
      <w:r>
        <w:rPr>
          <w:spacing w:val="-1"/>
        </w:rPr>
        <w:t>日，经公司第二届董事会第十七次会议审议通过了《关于与关联方共同投资设立合伙企</w:t>
      </w:r>
      <w:r>
        <w:rPr/>
        <w:t> 业的关联交易的议案》，同意全资子公司光一贵仁以现金出资</w:t>
      </w:r>
      <w:r>
        <w:rPr>
          <w:rFonts w:ascii="宋体" w:hAnsi="宋体" w:cs="宋体" w:eastAsia="宋体" w:hint="default"/>
        </w:rPr>
        <w:t>500</w:t>
      </w:r>
      <w:r>
        <w:rPr/>
        <w:t>万元与公司控股股东光一投资共同出资</w:t>
      </w:r>
      <w:r>
        <w:rPr>
          <w:spacing w:val="-29"/>
        </w:rPr>
        <w:t> </w:t>
      </w:r>
      <w:r>
        <w:rPr>
          <w:spacing w:val="-29"/>
        </w:rPr>
      </w:r>
      <w:r>
        <w:rPr/>
        <w:t>成立深圳贵仁创新产业基金合伙企业（有限合伙</w:t>
      </w:r>
      <w:r>
        <w:rPr>
          <w:rFonts w:ascii="宋体" w:hAnsi="宋体" w:cs="宋体" w:eastAsia="宋体" w:hint="default"/>
        </w:rPr>
        <w:t>)</w:t>
      </w:r>
      <w:r>
        <w:rPr>
          <w:rFonts w:ascii="宋体" w:hAnsi="宋体" w:cs="宋体" w:eastAsia="宋体" w:hint="default"/>
          <w:spacing w:val="-23"/>
        </w:rPr>
        <w:t> </w:t>
      </w:r>
      <w:r>
        <w:rPr/>
        <w:t>，具体内容详见《关于与关联方共同投资设立合伙企业 的关联交易的公告》（公告编号：</w:t>
      </w:r>
      <w:r>
        <w:rPr>
          <w:rFonts w:ascii="宋体" w:hAnsi="宋体" w:cs="宋体" w:eastAsia="宋体" w:hint="default"/>
        </w:rPr>
        <w:t>2015-006</w:t>
      </w:r>
      <w:r>
        <w:rPr/>
        <w:t>）。</w:t>
      </w:r>
    </w:p>
    <w:p>
      <w:pPr>
        <w:pStyle w:val="BodyText"/>
        <w:spacing w:line="240" w:lineRule="auto" w:before="46"/>
        <w:ind w:left="1557" w:right="0"/>
        <w:jc w:val="left"/>
      </w:pPr>
      <w:r>
        <w:rPr/>
        <w:t>③</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19</w:t>
      </w:r>
      <w:r>
        <w:rPr/>
        <w:t>日，公司与德能设计原股东签订《关于江苏德能电力设计咨询有限公司股权转让协议》</w:t>
      </w:r>
    </w:p>
    <w:p>
      <w:pPr>
        <w:spacing w:line="240" w:lineRule="auto" w:before="10"/>
        <w:rPr>
          <w:rFonts w:ascii="宋体" w:hAnsi="宋体" w:cs="宋体" w:eastAsia="宋体" w:hint="default"/>
          <w:sz w:val="14"/>
          <w:szCs w:val="14"/>
        </w:rPr>
      </w:pPr>
    </w:p>
    <w:p>
      <w:pPr>
        <w:pStyle w:val="BodyText"/>
        <w:spacing w:line="408" w:lineRule="auto"/>
        <w:ind w:right="1026"/>
        <w:jc w:val="left"/>
      </w:pPr>
      <w:r>
        <w:rPr/>
        <w:t>（以下简称“收购协议”），公司以自有资金</w:t>
      </w:r>
      <w:r>
        <w:rPr>
          <w:rFonts w:ascii="宋体" w:hAnsi="宋体" w:cs="宋体" w:eastAsia="宋体" w:hint="default"/>
        </w:rPr>
        <w:t>2,900</w:t>
      </w:r>
      <w:r>
        <w:rPr/>
        <w:t>万元收购德能设计</w:t>
      </w:r>
      <w:r>
        <w:rPr>
          <w:rFonts w:ascii="宋体" w:hAnsi="宋体" w:cs="宋体" w:eastAsia="宋体" w:hint="default"/>
        </w:rPr>
        <w:t>100%</w:t>
      </w:r>
      <w:r>
        <w:rPr/>
        <w:t>股权，具体内容详见《光一科</w:t>
      </w:r>
      <w:r>
        <w:rPr>
          <w:spacing w:val="-31"/>
        </w:rPr>
        <w:t> </w:t>
      </w:r>
      <w:r>
        <w:rPr>
          <w:spacing w:val="-31"/>
        </w:rPr>
      </w:r>
      <w:r>
        <w:rPr>
          <w:spacing w:val="-3"/>
        </w:rPr>
        <w:t>技股份有限公司关于收购资产的公告》（公告编号</w:t>
      </w:r>
      <w:r>
        <w:rPr>
          <w:rFonts w:ascii="宋体" w:hAnsi="宋体" w:cs="宋体" w:eastAsia="宋体" w:hint="default"/>
          <w:spacing w:val="-3"/>
        </w:rPr>
        <w:t>2015-039</w:t>
      </w:r>
      <w:r>
        <w:rPr>
          <w:spacing w:val="-3"/>
        </w:rPr>
        <w:t>）。在前述收购协议中，德能设计承诺</w:t>
      </w:r>
      <w:r>
        <w:rPr>
          <w:rFonts w:ascii="宋体" w:hAnsi="宋体" w:cs="宋体" w:eastAsia="宋体" w:hint="default"/>
          <w:spacing w:val="-3"/>
        </w:rPr>
        <w:t>2015</w:t>
      </w:r>
      <w:r>
        <w:rPr>
          <w:spacing w:val="-3"/>
        </w:rPr>
        <w:t>年、</w:t>
      </w:r>
      <w:r>
        <w:rPr>
          <w:spacing w:val="-79"/>
        </w:rPr>
        <w:t> </w:t>
      </w:r>
      <w:r>
        <w:rPr>
          <w:rFonts w:ascii="宋体" w:hAnsi="宋体" w:cs="宋体" w:eastAsia="宋体" w:hint="default"/>
        </w:rPr>
        <w:t>2016</w:t>
      </w:r>
      <w:r>
        <w:rPr/>
        <w:t>年、</w:t>
      </w:r>
      <w:r>
        <w:rPr>
          <w:rFonts w:ascii="宋体" w:hAnsi="宋体" w:cs="宋体" w:eastAsia="宋体" w:hint="default"/>
        </w:rPr>
        <w:t>2017</w:t>
      </w:r>
      <w:r>
        <w:rPr/>
        <w:t>年三个会计年度经具有证券业务资格的会计师事务所审计确认的扣除非经常性损益的税后净 利润分别不低于</w:t>
      </w:r>
      <w:r>
        <w:rPr>
          <w:rFonts w:ascii="宋体" w:hAnsi="宋体" w:cs="宋体" w:eastAsia="宋体" w:hint="default"/>
        </w:rPr>
        <w:t>700</w:t>
      </w:r>
      <w:r>
        <w:rPr/>
        <w:t>万元、</w:t>
      </w:r>
      <w:r>
        <w:rPr>
          <w:rFonts w:ascii="宋体" w:hAnsi="宋体" w:cs="宋体" w:eastAsia="宋体" w:hint="default"/>
        </w:rPr>
        <w:t>840</w:t>
      </w:r>
      <w:r>
        <w:rPr/>
        <w:t>万元、</w:t>
      </w:r>
      <w:r>
        <w:rPr>
          <w:rFonts w:ascii="宋体" w:hAnsi="宋体" w:cs="宋体" w:eastAsia="宋体" w:hint="default"/>
        </w:rPr>
        <w:t>1,008</w:t>
      </w:r>
      <w:r>
        <w:rPr/>
        <w:t>万元。</w:t>
      </w:r>
    </w:p>
    <w:p>
      <w:pPr>
        <w:pStyle w:val="BodyText"/>
        <w:spacing w:line="408" w:lineRule="auto" w:before="46"/>
        <w:ind w:right="1109" w:firstLine="423"/>
        <w:jc w:val="both"/>
      </w:pPr>
      <w:r>
        <w:rPr>
          <w:spacing w:val="-1"/>
        </w:rPr>
        <w:t>根据众华会计师事务所（特殊普通合伙）审计并出具《江苏德能电力设计咨询有限公司</w:t>
      </w:r>
      <w:r>
        <w:rPr>
          <w:rFonts w:ascii="宋体" w:hAnsi="宋体" w:cs="宋体" w:eastAsia="宋体" w:hint="default"/>
          <w:spacing w:val="-1"/>
        </w:rPr>
        <w:t>2015</w:t>
      </w:r>
      <w:r>
        <w:rPr>
          <w:spacing w:val="-1"/>
        </w:rPr>
        <w:t>年度审计</w:t>
      </w:r>
      <w:r>
        <w:rPr/>
        <w:t> 报告》（众会字（</w:t>
      </w:r>
      <w:r>
        <w:rPr>
          <w:rFonts w:ascii="宋体" w:hAnsi="宋体" w:cs="宋体" w:eastAsia="宋体" w:hint="default"/>
        </w:rPr>
        <w:t>2016</w:t>
      </w:r>
      <w:r>
        <w:rPr/>
        <w:t>）第</w:t>
      </w:r>
      <w:r>
        <w:rPr>
          <w:rFonts w:ascii="宋体" w:hAnsi="宋体" w:cs="宋体" w:eastAsia="宋体" w:hint="default"/>
        </w:rPr>
        <w:t>2327</w:t>
      </w:r>
      <w:r>
        <w:rPr/>
        <w:t>号），德能设计</w:t>
      </w:r>
      <w:r>
        <w:rPr>
          <w:rFonts w:ascii="宋体" w:hAnsi="宋体" w:cs="宋体" w:eastAsia="宋体" w:hint="default"/>
        </w:rPr>
        <w:t>2015</w:t>
      </w:r>
      <w:r>
        <w:rPr/>
        <w:t>年度归属于公司普通股股东的净利润为</w:t>
      </w:r>
      <w:r>
        <w:rPr>
          <w:rFonts w:ascii="宋体" w:hAnsi="宋体" w:cs="宋体" w:eastAsia="宋体" w:hint="default"/>
        </w:rPr>
        <w:t>423.17</w:t>
      </w:r>
      <w:r>
        <w:rPr/>
        <w:t>万元， </w:t>
      </w:r>
      <w:r>
        <w:rPr>
          <w:spacing w:val="-1"/>
        </w:rPr>
        <w:t>低于业绩承诺水平，公司尚未全额支付德能设计股权转让款，公司将严格按照收购协议中关于第一年业绩</w:t>
      </w:r>
      <w:r>
        <w:rPr>
          <w:spacing w:val="-81"/>
        </w:rPr>
        <w:t> </w:t>
      </w:r>
      <w:r>
        <w:rPr>
          <w:spacing w:val="-81"/>
        </w:rPr>
      </w:r>
      <w:r>
        <w:rPr/>
        <w:t>未达标的条款约定执行后续股权转让款的支付，并将与原股东沟通探讨其他解决方式。</w:t>
      </w:r>
    </w:p>
    <w:p>
      <w:pPr>
        <w:pStyle w:val="BodyText"/>
        <w:spacing w:line="408" w:lineRule="auto" w:before="46"/>
        <w:ind w:left="1134" w:right="1130" w:firstLine="421"/>
        <w:jc w:val="both"/>
      </w:pPr>
      <w:r>
        <w:rPr>
          <w:spacing w:val="-1"/>
        </w:rPr>
        <w:t>④</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25</w:t>
      </w:r>
      <w:r>
        <w:rPr>
          <w:spacing w:val="-1"/>
        </w:rPr>
        <w:t>日，公司与广东九联科技股份有限公司（以下简称“九联科技”）签署《增资扩股协</w:t>
      </w:r>
      <w:r>
        <w:rPr/>
        <w:t> </w:t>
      </w:r>
      <w:r>
        <w:rPr>
          <w:spacing w:val="-1"/>
        </w:rPr>
        <w:t>议》，公司以自有资金</w:t>
      </w:r>
      <w:r>
        <w:rPr>
          <w:rFonts w:ascii="宋体" w:hAnsi="宋体" w:cs="宋体" w:eastAsia="宋体" w:hint="default"/>
          <w:spacing w:val="-1"/>
        </w:rPr>
        <w:t>2,160</w:t>
      </w:r>
      <w:r>
        <w:rPr>
          <w:spacing w:val="-1"/>
        </w:rPr>
        <w:t>万元认购九联科技</w:t>
      </w:r>
      <w:r>
        <w:rPr>
          <w:rFonts w:ascii="宋体" w:hAnsi="宋体" w:cs="宋体" w:eastAsia="宋体" w:hint="default"/>
          <w:spacing w:val="-1"/>
        </w:rPr>
        <w:t>600</w:t>
      </w:r>
      <w:r>
        <w:rPr>
          <w:spacing w:val="-1"/>
        </w:rPr>
        <w:t>万股股份，持股比例为</w:t>
      </w:r>
      <w:r>
        <w:rPr>
          <w:rFonts w:ascii="宋体" w:hAnsi="宋体" w:cs="宋体" w:eastAsia="宋体" w:hint="default"/>
          <w:spacing w:val="-1"/>
        </w:rPr>
        <w:t>4%</w:t>
      </w:r>
      <w:r>
        <w:rPr>
          <w:spacing w:val="-1"/>
        </w:rPr>
        <w:t>，九联科技于</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w:t>
      </w:r>
      <w:r>
        <w:rPr>
          <w:spacing w:val="-85"/>
        </w:rPr>
        <w:t> </w:t>
      </w:r>
      <w:r>
        <w:rPr/>
        <w:t>完成工商变更，九联科技成为公司参股公司。九联科技主要从事是广电机顶盒业务、</w:t>
      </w:r>
      <w:r>
        <w:rPr>
          <w:rFonts w:ascii="宋体" w:hAnsi="宋体" w:cs="宋体" w:eastAsia="宋体" w:hint="default"/>
        </w:rPr>
        <w:t>OTT</w:t>
      </w:r>
      <w:r>
        <w:rPr/>
        <w:t>业务、智能电视</w:t>
      </w:r>
      <w:r>
        <w:rPr>
          <w:spacing w:val="-26"/>
        </w:rPr>
        <w:t> </w:t>
      </w:r>
      <w:r>
        <w:rPr>
          <w:spacing w:val="-26"/>
        </w:rPr>
      </w:r>
      <w:r>
        <w:rPr>
          <w:spacing w:val="-1"/>
        </w:rPr>
        <w:t>一体机业务，在广电、移动、电信拥有丰富的行业资源。公司通过参股九联科技，借助其在运营商体系的</w:t>
      </w:r>
      <w:r>
        <w:rPr>
          <w:spacing w:val="-83"/>
        </w:rPr>
        <w:t> </w:t>
      </w:r>
      <w:r>
        <w:rPr>
          <w:spacing w:val="-83"/>
        </w:rPr>
      </w:r>
      <w:r>
        <w:rPr>
          <w:spacing w:val="-1"/>
        </w:rPr>
        <w:t>资源、技术、内容、人才团队等资源优势，进一步布局智慧家庭战略，为公司版权云业务和健康管理业务</w:t>
      </w:r>
      <w:r>
        <w:rPr>
          <w:spacing w:val="-83"/>
        </w:rPr>
        <w:t> </w:t>
      </w:r>
      <w:r>
        <w:rPr>
          <w:spacing w:val="-83"/>
        </w:rPr>
      </w:r>
      <w:r>
        <w:rPr/>
        <w:t>开拓新的发展渠道。</w:t>
      </w:r>
    </w:p>
    <w:p>
      <w:pPr>
        <w:pStyle w:val="Heading2"/>
        <w:spacing w:line="240" w:lineRule="auto" w:before="23"/>
        <w:ind w:left="1134" w:right="0"/>
        <w:jc w:val="left"/>
        <w:rPr>
          <w:b w:val="0"/>
          <w:bCs w:val="0"/>
        </w:rPr>
      </w:pPr>
      <w:bookmarkStart w:name="十九、社会责任情况" w:id="96"/>
      <w:bookmarkEnd w:id="96"/>
      <w:r>
        <w:rPr>
          <w:b w:val="0"/>
          <w:bCs w:val="0"/>
        </w:rPr>
      </w:r>
      <w:r>
        <w:rPr/>
        <w:t>十九、社会责任情况</w:t>
      </w:r>
      <w:r>
        <w:rPr>
          <w:b w:val="0"/>
          <w:bCs w:val="0"/>
        </w:rPr>
      </w:r>
    </w:p>
    <w:p>
      <w:pPr>
        <w:pStyle w:val="BodyText"/>
        <w:spacing w:line="240" w:lineRule="auto" w:before="177"/>
        <w:ind w:left="1134" w:right="0"/>
        <w:jc w:val="left"/>
      </w:pPr>
      <w:r>
        <w:rPr/>
        <w:t>□ 适用 √</w:t>
      </w:r>
      <w:r>
        <w:rPr>
          <w:spacing w:val="-1"/>
        </w:rPr>
        <w:t> </w:t>
      </w:r>
      <w:r>
        <w:rPr/>
        <w:t>不适用</w:t>
      </w:r>
    </w:p>
    <w:p>
      <w:pPr>
        <w:pStyle w:val="BodyText"/>
        <w:spacing w:line="391" w:lineRule="auto" w:before="170"/>
        <w:ind w:right="1116"/>
        <w:jc w:val="left"/>
      </w:pPr>
      <w:bookmarkStart w:name="二十、公司债券相关情况" w:id="97"/>
      <w:bookmarkEnd w:id="97"/>
      <w:r>
        <w:rPr/>
      </w:r>
      <w:r>
        <w:rPr>
          <w:rFonts w:ascii="宋体" w:hAnsi="宋体" w:cs="宋体" w:eastAsia="宋体" w:hint="default"/>
          <w:b/>
          <w:bCs/>
          <w:sz w:val="24"/>
          <w:szCs w:val="24"/>
        </w:rPr>
        <w:t>二十、公司债券相关情况</w:t>
      </w:r>
      <w:r>
        <w:rPr>
          <w:rFonts w:ascii="宋体" w:hAnsi="宋体" w:cs="宋体" w:eastAsia="宋体" w:hint="default"/>
          <w:b/>
          <w:bCs/>
          <w:w w:val="99"/>
          <w:sz w:val="24"/>
          <w:szCs w:val="24"/>
        </w:rPr>
        <w:t> </w:t>
      </w:r>
      <w:r>
        <w:rPr>
          <w:spacing w:val="-1"/>
        </w:rPr>
        <w:t>公司是否存在公开发行并在证券交易所上市，且在年度报告批准报出日未到期或到期未能全额兑付的公司</w:t>
      </w:r>
      <w:r>
        <w:rPr>
          <w:spacing w:val="-80"/>
        </w:rPr>
        <w:t> </w:t>
      </w:r>
      <w:r>
        <w:rPr>
          <w:spacing w:val="-80"/>
        </w:rPr>
      </w:r>
      <w:r>
        <w:rPr/>
        <w:t>债券</w:t>
      </w:r>
    </w:p>
    <w:p>
      <w:pPr>
        <w:pStyle w:val="BodyText"/>
        <w:spacing w:line="240" w:lineRule="auto" w:before="61"/>
        <w:ind w:left="1134" w:right="0"/>
        <w:jc w:val="left"/>
      </w:pPr>
      <w:r>
        <w:rPr/>
        <w:t>否</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3945" w:right="0"/>
        <w:jc w:val="left"/>
        <w:rPr>
          <w:b w:val="0"/>
          <w:bCs w:val="0"/>
        </w:rPr>
      </w:pPr>
      <w:bookmarkStart w:name="第六节 股份变动及股东情况" w:id="98"/>
      <w:bookmarkEnd w:id="98"/>
      <w:r>
        <w:rPr>
          <w:b w:val="0"/>
          <w:bCs w:val="0"/>
        </w:rPr>
      </w:r>
      <w:bookmarkStart w:name="_bookmark5" w:id="99"/>
      <w:bookmarkEnd w:id="99"/>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0"/>
      <w:bookmarkEnd w:id="100"/>
      <w:r>
        <w:rPr>
          <w:b w:val="0"/>
          <w:bCs w:val="0"/>
        </w:rPr>
      </w:r>
      <w:r>
        <w:rPr/>
        <w:t>一、股份变动情况</w:t>
      </w:r>
      <w:r>
        <w:rPr>
          <w:b w:val="0"/>
          <w:bCs w:val="0"/>
        </w:rPr>
      </w:r>
    </w:p>
    <w:p>
      <w:pPr>
        <w:spacing w:line="240" w:lineRule="auto" w:before="4"/>
        <w:rPr>
          <w:rFonts w:ascii="宋体" w:hAnsi="宋体" w:cs="宋体" w:eastAsia="宋体" w:hint="default"/>
          <w:b/>
          <w:bCs/>
          <w:sz w:val="25"/>
          <w:szCs w:val="25"/>
        </w:rPr>
      </w:pPr>
    </w:p>
    <w:p>
      <w:pPr>
        <w:spacing w:before="0"/>
        <w:ind w:left="1133" w:right="0" w:firstLine="0"/>
        <w:jc w:val="left"/>
        <w:rPr>
          <w:rFonts w:ascii="宋体" w:hAnsi="宋体" w:cs="宋体" w:eastAsia="宋体" w:hint="default"/>
          <w:sz w:val="20"/>
          <w:szCs w:val="20"/>
        </w:rPr>
      </w:pPr>
      <w:bookmarkStart w:name="1、股份变动情况" w:id="101"/>
      <w:bookmarkEnd w:id="101"/>
      <w:r>
        <w:rPr/>
      </w:r>
      <w:r>
        <w:rPr>
          <w:rFonts w:ascii="宋体" w:hAnsi="宋体" w:cs="宋体" w:eastAsia="宋体" w:hint="default"/>
          <w:b/>
          <w:bCs/>
          <w:sz w:val="20"/>
          <w:szCs w:val="20"/>
        </w:rPr>
        <w:t>1</w:t>
      </w:r>
      <w:r>
        <w:rPr>
          <w:rFonts w:ascii="宋体" w:hAnsi="宋体" w:cs="宋体" w:eastAsia="宋体" w:hint="default"/>
          <w:b/>
          <w:bCs/>
          <w:sz w:val="20"/>
          <w:szCs w:val="20"/>
        </w:rPr>
        <w:t>、股份变动情况</w:t>
      </w:r>
      <w:r>
        <w:rPr>
          <w:rFonts w:ascii="宋体" w:hAnsi="宋体" w:cs="宋体" w:eastAsia="宋体" w:hint="default"/>
          <w:sz w:val="20"/>
          <w:szCs w:val="20"/>
        </w:rPr>
      </w:r>
    </w:p>
    <w:p>
      <w:pPr>
        <w:spacing w:line="240" w:lineRule="auto" w:before="9"/>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9"/>
        <w:rPr>
          <w:rFonts w:ascii="宋体" w:hAnsi="宋体" w:cs="宋体" w:eastAsia="宋体" w:hint="default"/>
          <w:sz w:val="9"/>
          <w:szCs w:val="9"/>
        </w:rPr>
      </w:pPr>
    </w:p>
    <w:tbl>
      <w:tblPr>
        <w:tblW w:w="0" w:type="auto"/>
        <w:jc w:val="left"/>
        <w:tblInd w:w="1046" w:type="dxa"/>
        <w:tblLayout w:type="fixed"/>
        <w:tblCellMar>
          <w:top w:w="0" w:type="dxa"/>
          <w:left w:w="0" w:type="dxa"/>
          <w:bottom w:w="0" w:type="dxa"/>
          <w:right w:w="0" w:type="dxa"/>
        </w:tblCellMar>
        <w:tblLook w:val="01E0"/>
      </w:tblPr>
      <w:tblGrid>
        <w:gridCol w:w="1703"/>
        <w:gridCol w:w="1134"/>
        <w:gridCol w:w="708"/>
        <w:gridCol w:w="993"/>
        <w:gridCol w:w="426"/>
        <w:gridCol w:w="708"/>
        <w:gridCol w:w="1134"/>
        <w:gridCol w:w="1134"/>
        <w:gridCol w:w="1134"/>
        <w:gridCol w:w="709"/>
      </w:tblGrid>
      <w:tr>
        <w:trPr>
          <w:trHeight w:val="369" w:hRule="exact"/>
        </w:trPr>
        <w:tc>
          <w:tcPr>
            <w:tcW w:w="1703"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842"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46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5" w:type="dxa"/>
            <w:gridSpan w:val="5"/>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120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3" w:type="dxa"/>
            <w:gridSpan w:val="2"/>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46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3" w:hRule="exact"/>
        </w:trPr>
        <w:tc>
          <w:tcPr>
            <w:tcW w:w="1703" w:type="dxa"/>
            <w:vMerge w:val="restart"/>
            <w:tcBorders>
              <w:top w:val="nil" w:sz="6" w:space="0" w:color="auto"/>
              <w:left w:val="single" w:sz="12" w:space="0" w:color="000000"/>
              <w:right w:val="single" w:sz="6" w:space="0" w:color="000000"/>
            </w:tcBorders>
            <w:shd w:val="clear" w:color="auto" w:fill="D2D2D2"/>
          </w:tcPr>
          <w:p>
            <w:pPr/>
          </w:p>
        </w:tc>
        <w:tc>
          <w:tcPr>
            <w:tcW w:w="1134" w:type="dxa"/>
            <w:tcBorders>
              <w:top w:val="single" w:sz="6" w:space="0" w:color="000000"/>
              <w:left w:val="single" w:sz="6" w:space="0" w:color="000000"/>
              <w:bottom w:val="nil" w:sz="6" w:space="0" w:color="auto"/>
              <w:right w:val="single" w:sz="6" w:space="0" w:color="000000"/>
            </w:tcBorders>
            <w:shd w:val="clear" w:color="auto" w:fill="D2D2D2"/>
          </w:tcPr>
          <w:p>
            <w:pPr/>
          </w:p>
        </w:tc>
        <w:tc>
          <w:tcPr>
            <w:tcW w:w="708" w:type="dxa"/>
            <w:tcBorders>
              <w:top w:val="single" w:sz="6" w:space="0" w:color="000000"/>
              <w:left w:val="single" w:sz="6" w:space="0" w:color="000000"/>
              <w:bottom w:val="nil" w:sz="6" w:space="0" w:color="auto"/>
              <w:right w:val="single" w:sz="6" w:space="0" w:color="000000"/>
            </w:tcBorders>
            <w:shd w:val="clear" w:color="auto" w:fill="D2D2D2"/>
          </w:tcPr>
          <w:p>
            <w:pPr/>
          </w:p>
        </w:tc>
        <w:tc>
          <w:tcPr>
            <w:tcW w:w="993" w:type="dxa"/>
            <w:tcBorders>
              <w:top w:val="single" w:sz="6" w:space="0" w:color="000000"/>
              <w:left w:val="single" w:sz="6" w:space="0" w:color="000000"/>
              <w:bottom w:val="nil" w:sz="6" w:space="0" w:color="auto"/>
              <w:right w:val="single" w:sz="6" w:space="0" w:color="000000"/>
            </w:tcBorders>
            <w:shd w:val="clear" w:color="auto" w:fill="D2D2D2"/>
          </w:tcPr>
          <w:p>
            <w:pPr/>
          </w:p>
        </w:tc>
        <w:tc>
          <w:tcPr>
            <w:tcW w:w="426" w:type="dxa"/>
            <w:tcBorders>
              <w:top w:val="single" w:sz="6" w:space="0" w:color="000000"/>
              <w:left w:val="single" w:sz="6" w:space="0" w:color="000000"/>
              <w:bottom w:val="nil" w:sz="6" w:space="0" w:color="auto"/>
              <w:right w:val="single" w:sz="6" w:space="0" w:color="000000"/>
            </w:tcBorders>
            <w:shd w:val="clear" w:color="auto" w:fill="D2D2D2"/>
          </w:tcPr>
          <w:p>
            <w:pPr/>
          </w:p>
        </w:tc>
        <w:tc>
          <w:tcPr>
            <w:tcW w:w="708"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40"/>
              <w:ind w:left="165" w:right="77"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3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tcBorders>
              <w:top w:val="single" w:sz="6" w:space="0" w:color="000000"/>
              <w:left w:val="single" w:sz="6" w:space="0" w:color="000000"/>
              <w:bottom w:val="nil" w:sz="6" w:space="0" w:color="auto"/>
              <w:right w:val="single" w:sz="6" w:space="0" w:color="000000"/>
            </w:tcBorders>
            <w:shd w:val="clear" w:color="auto" w:fill="D2D2D2"/>
          </w:tcPr>
          <w:p>
            <w:pPr/>
          </w:p>
        </w:tc>
        <w:tc>
          <w:tcPr>
            <w:tcW w:w="709"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06" w:hRule="exact"/>
        </w:trPr>
        <w:tc>
          <w:tcPr>
            <w:tcW w:w="1703" w:type="dxa"/>
            <w:vMerge/>
            <w:tcBorders>
              <w:left w:val="single" w:sz="12" w:space="0" w:color="000000"/>
              <w:bottom w:val="nil" w:sz="6" w:space="0" w:color="auto"/>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3"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10"/>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703" w:type="dxa"/>
            <w:vMerge w:val="restart"/>
            <w:tcBorders>
              <w:top w:val="nil" w:sz="6" w:space="0" w:color="auto"/>
              <w:left w:val="single" w:sz="12"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708" w:type="dxa"/>
            <w:vMerge/>
            <w:tcBorders>
              <w:left w:val="single" w:sz="6" w:space="0" w:color="000000"/>
              <w:bottom w:val="nil" w:sz="6" w:space="0" w:color="auto"/>
              <w:right w:val="single" w:sz="6" w:space="0" w:color="000000"/>
            </w:tcBorders>
            <w:shd w:val="clear" w:color="auto" w:fill="D2D2D2"/>
          </w:tcPr>
          <w:p>
            <w:pPr/>
          </w:p>
        </w:tc>
        <w:tc>
          <w:tcPr>
            <w:tcW w:w="993" w:type="dxa"/>
            <w:vMerge/>
            <w:tcBorders>
              <w:left w:val="single" w:sz="6" w:space="0" w:color="000000"/>
              <w:bottom w:val="nil" w:sz="6" w:space="0" w:color="auto"/>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708"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709" w:type="dxa"/>
            <w:vMerge/>
            <w:tcBorders>
              <w:left w:val="single" w:sz="6" w:space="0" w:color="000000"/>
              <w:bottom w:val="nil" w:sz="6" w:space="0" w:color="auto"/>
              <w:right w:val="single" w:sz="12" w:space="0" w:color="000000"/>
            </w:tcBorders>
            <w:shd w:val="clear" w:color="auto" w:fill="D2D2D2"/>
          </w:tcPr>
          <w:p>
            <w:pPr/>
          </w:p>
        </w:tc>
      </w:tr>
      <w:tr>
        <w:trPr>
          <w:trHeight w:val="163" w:hRule="exact"/>
        </w:trPr>
        <w:tc>
          <w:tcPr>
            <w:tcW w:w="1703" w:type="dxa"/>
            <w:vMerge/>
            <w:tcBorders>
              <w:left w:val="single" w:sz="12" w:space="0" w:color="000000"/>
              <w:bottom w:val="single" w:sz="6" w:space="0" w:color="000000"/>
              <w:right w:val="single" w:sz="6" w:space="0" w:color="000000"/>
            </w:tcBorders>
            <w:shd w:val="clear" w:color="auto" w:fill="D2D2D2"/>
          </w:tcPr>
          <w:p>
            <w:pPr/>
          </w:p>
        </w:tc>
        <w:tc>
          <w:tcPr>
            <w:tcW w:w="1134" w:type="dxa"/>
            <w:tcBorders>
              <w:top w:val="nil" w:sz="6" w:space="0" w:color="auto"/>
              <w:left w:val="single" w:sz="6" w:space="0" w:color="000000"/>
              <w:bottom w:val="single" w:sz="6" w:space="0" w:color="000000"/>
              <w:right w:val="single" w:sz="6" w:space="0" w:color="000000"/>
            </w:tcBorders>
            <w:shd w:val="clear" w:color="auto" w:fill="D2D2D2"/>
          </w:tcPr>
          <w:p>
            <w:pPr/>
          </w:p>
        </w:tc>
        <w:tc>
          <w:tcPr>
            <w:tcW w:w="708" w:type="dxa"/>
            <w:tcBorders>
              <w:top w:val="nil" w:sz="6" w:space="0" w:color="auto"/>
              <w:left w:val="single" w:sz="6" w:space="0" w:color="000000"/>
              <w:bottom w:val="single" w:sz="6" w:space="0" w:color="000000"/>
              <w:right w:val="single" w:sz="6" w:space="0" w:color="000000"/>
            </w:tcBorders>
            <w:shd w:val="clear" w:color="auto" w:fill="D2D2D2"/>
          </w:tcPr>
          <w:p>
            <w:pPr/>
          </w:p>
        </w:tc>
        <w:tc>
          <w:tcPr>
            <w:tcW w:w="993" w:type="dxa"/>
            <w:tcBorders>
              <w:top w:val="nil" w:sz="6" w:space="0" w:color="auto"/>
              <w:left w:val="single" w:sz="6" w:space="0" w:color="000000"/>
              <w:bottom w:val="single" w:sz="6" w:space="0" w:color="000000"/>
              <w:right w:val="single" w:sz="6" w:space="0" w:color="000000"/>
            </w:tcBorders>
            <w:shd w:val="clear" w:color="auto" w:fill="D2D2D2"/>
          </w:tcPr>
          <w:p>
            <w:pPr/>
          </w:p>
        </w:tc>
        <w:tc>
          <w:tcPr>
            <w:tcW w:w="426" w:type="dxa"/>
            <w:tcBorders>
              <w:top w:val="nil" w:sz="6" w:space="0" w:color="auto"/>
              <w:left w:val="single" w:sz="6" w:space="0" w:color="000000"/>
              <w:bottom w:val="single" w:sz="6" w:space="0" w:color="000000"/>
              <w:right w:val="single" w:sz="6" w:space="0" w:color="000000"/>
            </w:tcBorders>
            <w:shd w:val="clear" w:color="auto" w:fill="D2D2D2"/>
          </w:tcPr>
          <w:p>
            <w:pPr/>
          </w:p>
        </w:tc>
        <w:tc>
          <w:tcPr>
            <w:tcW w:w="708" w:type="dxa"/>
            <w:vMerge/>
            <w:tcBorders>
              <w:left w:val="single" w:sz="6" w:space="0" w:color="000000"/>
              <w:bottom w:val="single" w:sz="6" w:space="0" w:color="000000"/>
              <w:right w:val="single" w:sz="6" w:space="0" w:color="000000"/>
            </w:tcBorders>
            <w:shd w:val="clear" w:color="auto" w:fill="D2D2D2"/>
          </w:tcPr>
          <w:p>
            <w:pPr/>
          </w:p>
        </w:tc>
        <w:tc>
          <w:tcPr>
            <w:tcW w:w="113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3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34" w:type="dxa"/>
            <w:tcBorders>
              <w:top w:val="nil" w:sz="6" w:space="0" w:color="auto"/>
              <w:left w:val="single" w:sz="6" w:space="0" w:color="000000"/>
              <w:bottom w:val="single" w:sz="6" w:space="0" w:color="000000"/>
              <w:right w:val="single" w:sz="6" w:space="0" w:color="000000"/>
            </w:tcBorders>
            <w:shd w:val="clear" w:color="auto" w:fill="D2D2D2"/>
          </w:tcPr>
          <w:p>
            <w:pPr/>
          </w:p>
        </w:tc>
        <w:tc>
          <w:tcPr>
            <w:tcW w:w="709"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12" w:hRule="exact"/>
        </w:trPr>
        <w:tc>
          <w:tcPr>
            <w:tcW w:w="17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left="172" w:right="0"/>
              <w:jc w:val="center"/>
              <w:rPr>
                <w:rFonts w:ascii="宋体" w:hAnsi="宋体" w:cs="宋体" w:eastAsia="宋体" w:hint="default"/>
                <w:sz w:val="18"/>
                <w:szCs w:val="18"/>
              </w:rPr>
            </w:pPr>
            <w:r>
              <w:rPr>
                <w:rFonts w:ascii="宋体"/>
                <w:sz w:val="18"/>
              </w:rPr>
              <w:t>63,059,343</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48.51%</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6" w:right="0"/>
              <w:jc w:val="center"/>
              <w:rPr>
                <w:rFonts w:ascii="宋体" w:hAnsi="宋体" w:cs="宋体" w:eastAsia="宋体" w:hint="default"/>
                <w:sz w:val="18"/>
                <w:szCs w:val="18"/>
              </w:rPr>
            </w:pPr>
            <w:r>
              <w:rPr>
                <w:rFonts w:ascii="宋体"/>
                <w:sz w:val="18"/>
              </w:rPr>
              <w:t>31,216,848</w:t>
            </w: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-47,060,259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-15,843,411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76" w:right="0"/>
              <w:jc w:val="center"/>
              <w:rPr>
                <w:rFonts w:ascii="宋体" w:hAnsi="宋体" w:cs="宋体" w:eastAsia="宋体" w:hint="default"/>
                <w:sz w:val="18"/>
                <w:szCs w:val="18"/>
              </w:rPr>
            </w:pPr>
            <w:r>
              <w:rPr>
                <w:rFonts w:ascii="宋体"/>
                <w:sz w:val="18"/>
              </w:rPr>
              <w:t>47,215,932</w:t>
            </w:r>
          </w:p>
        </w:tc>
        <w:tc>
          <w:tcPr>
            <w:tcW w:w="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29.29%</w:t>
            </w:r>
          </w:p>
        </w:tc>
      </w:tr>
      <w:tr>
        <w:trPr>
          <w:trHeight w:val="413" w:hRule="exact"/>
        </w:trPr>
        <w:tc>
          <w:tcPr>
            <w:tcW w:w="17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1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left="172" w:right="0"/>
              <w:jc w:val="center"/>
              <w:rPr>
                <w:rFonts w:ascii="宋体" w:hAnsi="宋体" w:cs="宋体" w:eastAsia="宋体" w:hint="default"/>
                <w:sz w:val="18"/>
                <w:szCs w:val="18"/>
              </w:rPr>
            </w:pPr>
            <w:r>
              <w:rPr>
                <w:rFonts w:ascii="宋体"/>
                <w:sz w:val="18"/>
              </w:rPr>
              <w:t>63,059,343</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48.51%</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6" w:right="0"/>
              <w:jc w:val="center"/>
              <w:rPr>
                <w:rFonts w:ascii="宋体" w:hAnsi="宋体" w:cs="宋体" w:eastAsia="宋体" w:hint="default"/>
                <w:sz w:val="18"/>
                <w:szCs w:val="18"/>
              </w:rPr>
            </w:pPr>
            <w:r>
              <w:rPr>
                <w:rFonts w:ascii="宋体"/>
                <w:sz w:val="18"/>
              </w:rPr>
              <w:t>31,216,848</w:t>
            </w: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-47,060,259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-15,843,411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76" w:right="0"/>
              <w:jc w:val="center"/>
              <w:rPr>
                <w:rFonts w:ascii="宋体" w:hAnsi="宋体" w:cs="宋体" w:eastAsia="宋体" w:hint="default"/>
                <w:sz w:val="18"/>
                <w:szCs w:val="18"/>
              </w:rPr>
            </w:pPr>
            <w:r>
              <w:rPr>
                <w:rFonts w:ascii="宋体"/>
                <w:sz w:val="18"/>
              </w:rPr>
              <w:t>47,215,932</w:t>
            </w:r>
          </w:p>
        </w:tc>
        <w:tc>
          <w:tcPr>
            <w:tcW w:w="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29.29%</w:t>
            </w:r>
          </w:p>
        </w:tc>
      </w:tr>
      <w:tr>
        <w:trPr>
          <w:trHeight w:val="412" w:hRule="exact"/>
        </w:trPr>
        <w:tc>
          <w:tcPr>
            <w:tcW w:w="17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left="172" w:right="0"/>
              <w:jc w:val="center"/>
              <w:rPr>
                <w:rFonts w:ascii="宋体" w:hAnsi="宋体" w:cs="宋体" w:eastAsia="宋体" w:hint="default"/>
                <w:sz w:val="18"/>
                <w:szCs w:val="18"/>
              </w:rPr>
            </w:pPr>
            <w:r>
              <w:rPr>
                <w:rFonts w:ascii="宋体"/>
                <w:sz w:val="18"/>
              </w:rPr>
              <w:t>42,600,000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32.77%</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6" w:right="0"/>
              <w:jc w:val="center"/>
              <w:rPr>
                <w:rFonts w:ascii="宋体" w:hAnsi="宋体" w:cs="宋体" w:eastAsia="宋体" w:hint="default"/>
                <w:sz w:val="18"/>
                <w:szCs w:val="18"/>
              </w:rPr>
            </w:pPr>
            <w:r>
              <w:rPr>
                <w:rFonts w:ascii="宋体"/>
                <w:sz w:val="18"/>
              </w:rPr>
              <w:t>24,106,160</w:t>
            </w: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-42,600,000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-18,493,840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76" w:right="0"/>
              <w:jc w:val="center"/>
              <w:rPr>
                <w:rFonts w:ascii="宋体" w:hAnsi="宋体" w:cs="宋体" w:eastAsia="宋体" w:hint="default"/>
                <w:sz w:val="18"/>
                <w:szCs w:val="18"/>
              </w:rPr>
            </w:pPr>
            <w:r>
              <w:rPr>
                <w:rFonts w:ascii="宋体"/>
                <w:sz w:val="18"/>
              </w:rPr>
              <w:t>24,106,160</w:t>
            </w:r>
          </w:p>
        </w:tc>
        <w:tc>
          <w:tcPr>
            <w:tcW w:w="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14.95%</w:t>
            </w:r>
          </w:p>
        </w:tc>
      </w:tr>
      <w:tr>
        <w:trPr>
          <w:trHeight w:val="412" w:hRule="exact"/>
        </w:trPr>
        <w:tc>
          <w:tcPr>
            <w:tcW w:w="17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left="172" w:right="0"/>
              <w:jc w:val="center"/>
              <w:rPr>
                <w:rFonts w:ascii="宋体" w:hAnsi="宋体" w:cs="宋体" w:eastAsia="宋体" w:hint="default"/>
                <w:sz w:val="18"/>
                <w:szCs w:val="18"/>
              </w:rPr>
            </w:pPr>
            <w:r>
              <w:rPr>
                <w:rFonts w:ascii="宋体"/>
                <w:sz w:val="18"/>
              </w:rPr>
              <w:t>20,459,343</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15.74%</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26" w:right="0"/>
              <w:jc w:val="center"/>
              <w:rPr>
                <w:rFonts w:ascii="宋体" w:hAnsi="宋体" w:cs="宋体" w:eastAsia="宋体" w:hint="default"/>
                <w:sz w:val="18"/>
                <w:szCs w:val="18"/>
              </w:rPr>
            </w:pPr>
            <w:r>
              <w:rPr>
                <w:rFonts w:ascii="宋体"/>
                <w:sz w:val="18"/>
              </w:rPr>
              <w:t>7,110,688</w:t>
            </w: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-4,460,259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2,650,429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76" w:right="0"/>
              <w:jc w:val="center"/>
              <w:rPr>
                <w:rFonts w:ascii="宋体" w:hAnsi="宋体" w:cs="宋体" w:eastAsia="宋体" w:hint="default"/>
                <w:sz w:val="18"/>
                <w:szCs w:val="18"/>
              </w:rPr>
            </w:pPr>
            <w:r>
              <w:rPr>
                <w:rFonts w:ascii="宋体"/>
                <w:sz w:val="18"/>
              </w:rPr>
              <w:t>23,109,772</w:t>
            </w:r>
          </w:p>
        </w:tc>
        <w:tc>
          <w:tcPr>
            <w:tcW w:w="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14.33%</w:t>
            </w:r>
          </w:p>
        </w:tc>
      </w:tr>
      <w:tr>
        <w:trPr>
          <w:trHeight w:val="413" w:hRule="exact"/>
        </w:trPr>
        <w:tc>
          <w:tcPr>
            <w:tcW w:w="17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left="172" w:right="0"/>
              <w:jc w:val="center"/>
              <w:rPr>
                <w:rFonts w:ascii="宋体" w:hAnsi="宋体" w:cs="宋体" w:eastAsia="宋体" w:hint="default"/>
                <w:sz w:val="18"/>
                <w:szCs w:val="18"/>
              </w:rPr>
            </w:pPr>
            <w:r>
              <w:rPr>
                <w:rFonts w:ascii="宋体"/>
                <w:sz w:val="18"/>
              </w:rPr>
              <w:t>66,945,657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51.49%</w:t>
            </w:r>
          </w:p>
        </w:tc>
        <w:tc>
          <w:tcPr>
            <w:tcW w:w="99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47,060,259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47,060,259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86" w:right="0"/>
              <w:jc w:val="center"/>
              <w:rPr>
                <w:rFonts w:ascii="宋体" w:hAnsi="宋体" w:cs="宋体" w:eastAsia="宋体" w:hint="default"/>
                <w:sz w:val="18"/>
                <w:szCs w:val="18"/>
              </w:rPr>
            </w:pPr>
            <w:r>
              <w:rPr>
                <w:rFonts w:ascii="宋体"/>
                <w:sz w:val="18"/>
              </w:rPr>
              <w:t>114,005,916</w:t>
            </w:r>
          </w:p>
        </w:tc>
        <w:tc>
          <w:tcPr>
            <w:tcW w:w="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70.71%</w:t>
            </w:r>
          </w:p>
        </w:tc>
      </w:tr>
      <w:tr>
        <w:trPr>
          <w:trHeight w:val="412" w:hRule="exact"/>
        </w:trPr>
        <w:tc>
          <w:tcPr>
            <w:tcW w:w="17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1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left="172" w:right="0"/>
              <w:jc w:val="center"/>
              <w:rPr>
                <w:rFonts w:ascii="宋体" w:hAnsi="宋体" w:cs="宋体" w:eastAsia="宋体" w:hint="default"/>
                <w:sz w:val="18"/>
                <w:szCs w:val="18"/>
              </w:rPr>
            </w:pPr>
            <w:r>
              <w:rPr>
                <w:rFonts w:ascii="宋体"/>
                <w:sz w:val="18"/>
              </w:rPr>
              <w:t>66,945,657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51.49%</w:t>
            </w:r>
          </w:p>
        </w:tc>
        <w:tc>
          <w:tcPr>
            <w:tcW w:w="99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47,060,259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47,060,259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86" w:right="0"/>
              <w:jc w:val="center"/>
              <w:rPr>
                <w:rFonts w:ascii="宋体" w:hAnsi="宋体" w:cs="宋体" w:eastAsia="宋体" w:hint="default"/>
                <w:sz w:val="18"/>
                <w:szCs w:val="18"/>
              </w:rPr>
            </w:pPr>
            <w:r>
              <w:rPr>
                <w:rFonts w:ascii="宋体"/>
                <w:sz w:val="18"/>
              </w:rPr>
              <w:t>114,005,916</w:t>
            </w:r>
          </w:p>
        </w:tc>
        <w:tc>
          <w:tcPr>
            <w:tcW w:w="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70.71%</w:t>
            </w:r>
          </w:p>
        </w:tc>
      </w:tr>
      <w:tr>
        <w:trPr>
          <w:trHeight w:val="419" w:hRule="exact"/>
        </w:trPr>
        <w:tc>
          <w:tcPr>
            <w:tcW w:w="170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3"/>
              <w:ind w:left="82" w:right="0"/>
              <w:jc w:val="center"/>
              <w:rPr>
                <w:rFonts w:ascii="宋体" w:hAnsi="宋体" w:cs="宋体" w:eastAsia="宋体" w:hint="default"/>
                <w:sz w:val="18"/>
                <w:szCs w:val="18"/>
              </w:rPr>
            </w:pPr>
            <w:r>
              <w:rPr>
                <w:rFonts w:ascii="宋体"/>
                <w:sz w:val="18"/>
              </w:rPr>
              <w:t>130,005,000</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100.00%</w:t>
            </w:r>
          </w:p>
        </w:tc>
        <w:tc>
          <w:tcPr>
            <w:tcW w:w="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36" w:right="0"/>
              <w:jc w:val="center"/>
              <w:rPr>
                <w:rFonts w:ascii="宋体" w:hAnsi="宋体" w:cs="宋体" w:eastAsia="宋体" w:hint="default"/>
                <w:sz w:val="18"/>
                <w:szCs w:val="18"/>
              </w:rPr>
            </w:pPr>
            <w:r>
              <w:rPr>
                <w:rFonts w:ascii="宋体"/>
                <w:sz w:val="18"/>
              </w:rPr>
              <w:t>31,216,848</w:t>
            </w:r>
          </w:p>
        </w:tc>
        <w:tc>
          <w:tcPr>
            <w:tcW w:w="426" w:type="dxa"/>
            <w:tcBorders>
              <w:top w:val="single" w:sz="6" w:space="0" w:color="000000"/>
              <w:left w:val="single" w:sz="6"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31,216,848</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86" w:right="0"/>
              <w:jc w:val="center"/>
              <w:rPr>
                <w:rFonts w:ascii="宋体" w:hAnsi="宋体" w:cs="宋体" w:eastAsia="宋体" w:hint="default"/>
                <w:sz w:val="18"/>
                <w:szCs w:val="18"/>
              </w:rPr>
            </w:pPr>
            <w:r>
              <w:rPr>
                <w:rFonts w:ascii="宋体"/>
                <w:sz w:val="18"/>
              </w:rPr>
              <w:t>161,221,848</w:t>
            </w:r>
          </w:p>
        </w:tc>
        <w:tc>
          <w:tcPr>
            <w:tcW w:w="70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100.00%</w:t>
            </w:r>
          </w:p>
        </w:tc>
      </w:tr>
    </w:tbl>
    <w:p>
      <w:pPr>
        <w:pStyle w:val="BodyText"/>
        <w:spacing w:line="240" w:lineRule="auto" w:before="63"/>
        <w:ind w:left="1134" w:right="0"/>
        <w:jc w:val="left"/>
      </w:pPr>
      <w:r>
        <w:rPr/>
        <w:t>股份变动的原因</w:t>
      </w:r>
    </w:p>
    <w:p>
      <w:pPr>
        <w:spacing w:line="240" w:lineRule="auto" w:before="10"/>
        <w:rPr>
          <w:rFonts w:ascii="宋体" w:hAnsi="宋体" w:cs="宋体" w:eastAsia="宋体" w:hint="default"/>
          <w:sz w:val="14"/>
          <w:szCs w:val="14"/>
        </w:rPr>
      </w:pPr>
    </w:p>
    <w:p>
      <w:pPr>
        <w:pStyle w:val="BodyText"/>
        <w:spacing w:line="408" w:lineRule="auto"/>
        <w:ind w:left="1491" w:right="0" w:hanging="358"/>
        <w:jc w:val="left"/>
      </w:pPr>
      <w:r>
        <w:rPr/>
        <w:t>√ 适用 □</w:t>
      </w:r>
      <w:r>
        <w:rPr>
          <w:spacing w:val="-1"/>
        </w:rPr>
        <w:t> </w:t>
      </w:r>
      <w:r>
        <w:rPr/>
        <w:t>不适用</w:t>
      </w:r>
      <w:r>
        <w:rPr/>
        <w:t> 经中国证券监督管理委员会证监许可</w:t>
      </w:r>
      <w:r>
        <w:rPr>
          <w:rFonts w:ascii="宋体" w:hAnsi="宋体" w:cs="宋体" w:eastAsia="宋体" w:hint="default"/>
        </w:rPr>
        <w:t>[2014]1399</w:t>
      </w:r>
      <w:r>
        <w:rPr/>
        <w:t>号核准，公司以发行股份及支付现金的方式对索瑞电</w:t>
      </w:r>
    </w:p>
    <w:p>
      <w:pPr>
        <w:pStyle w:val="BodyText"/>
        <w:spacing w:line="408" w:lineRule="auto" w:before="46"/>
        <w:ind w:right="1026"/>
        <w:jc w:val="left"/>
      </w:pPr>
      <w:r>
        <w:rPr>
          <w:spacing w:val="-3"/>
        </w:rPr>
        <w:t>气进行重大资产重组，公司向任昌兆等</w:t>
      </w:r>
      <w:r>
        <w:rPr>
          <w:rFonts w:ascii="宋体" w:hAnsi="宋体" w:cs="宋体" w:eastAsia="宋体" w:hint="default"/>
          <w:spacing w:val="-3"/>
        </w:rPr>
        <w:t>33</w:t>
      </w:r>
      <w:r>
        <w:rPr>
          <w:spacing w:val="-3"/>
        </w:rPr>
        <w:t>名交易对方定向发行股份</w:t>
      </w:r>
      <w:r>
        <w:rPr>
          <w:rFonts w:ascii="宋体" w:hAnsi="宋体" w:cs="宋体" w:eastAsia="宋体" w:hint="default"/>
          <w:spacing w:val="-3"/>
        </w:rPr>
        <w:t>31,216,848</w:t>
      </w:r>
      <w:r>
        <w:rPr>
          <w:spacing w:val="-3"/>
        </w:rPr>
        <w:t>股，全部为有限售条件股份，</w:t>
      </w:r>
      <w:r>
        <w:rPr>
          <w:spacing w:val="-76"/>
        </w:rPr>
        <w:t> </w:t>
      </w:r>
      <w:r>
        <w:rPr>
          <w:spacing w:val="-76"/>
        </w:rPr>
      </w:r>
      <w:r>
        <w:rPr/>
        <w:t>其中境内法人股</w:t>
      </w:r>
      <w:r>
        <w:rPr>
          <w:rFonts w:ascii="宋体" w:hAnsi="宋体" w:cs="宋体" w:eastAsia="宋体" w:hint="default"/>
        </w:rPr>
        <w:t>24,106,160</w:t>
      </w:r>
      <w:r>
        <w:rPr/>
        <w:t>股、境内自然人股</w:t>
      </w:r>
      <w:r>
        <w:rPr>
          <w:rFonts w:ascii="宋体" w:hAnsi="宋体" w:cs="宋体" w:eastAsia="宋体" w:hint="default"/>
        </w:rPr>
        <w:t>7,110,688</w:t>
      </w:r>
      <w:r>
        <w:rPr/>
        <w:t>股。上述股份于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4</w:t>
      </w:r>
      <w:r>
        <w:rPr/>
        <w:t>日在深圳证券交易所</w:t>
      </w:r>
      <w:r>
        <w:rPr>
          <w:spacing w:val="-30"/>
        </w:rPr>
        <w:t> </w:t>
      </w:r>
      <w:r>
        <w:rPr>
          <w:spacing w:val="-30"/>
        </w:rPr>
      </w:r>
      <w:r>
        <w:rPr/>
        <w:t>上市。</w:t>
      </w:r>
    </w:p>
    <w:p>
      <w:pPr>
        <w:pStyle w:val="BodyText"/>
        <w:spacing w:line="408" w:lineRule="auto" w:before="46"/>
        <w:ind w:right="1136" w:firstLine="357"/>
        <w:jc w:val="left"/>
      </w:pPr>
      <w:r>
        <w:rPr/>
        <w:t>本次变动其他，主要是公司董事、监事、高管持有的限售股份在报告期内自动解锁部份及首次公开发 行前已发行股份上市流通部分（详见公告</w:t>
      </w:r>
      <w:r>
        <w:rPr>
          <w:rFonts w:ascii="宋体" w:hAnsi="宋体" w:cs="宋体" w:eastAsia="宋体" w:hint="default"/>
        </w:rPr>
        <w:t>2015-066</w:t>
      </w:r>
      <w:r>
        <w:rPr/>
        <w:t>）。</w:t>
      </w:r>
    </w:p>
    <w:p>
      <w:pPr>
        <w:pStyle w:val="BodyText"/>
        <w:spacing w:line="240" w:lineRule="auto" w:before="46"/>
        <w:ind w:left="1134" w:right="0"/>
        <w:jc w:val="left"/>
      </w:pPr>
      <w:r>
        <w:rPr/>
        <w:t>股份变动的批准情况</w:t>
      </w:r>
    </w:p>
    <w:p>
      <w:pPr>
        <w:spacing w:line="240" w:lineRule="auto" w:before="10"/>
        <w:rPr>
          <w:rFonts w:ascii="宋体" w:hAnsi="宋体" w:cs="宋体" w:eastAsia="宋体" w:hint="default"/>
          <w:sz w:val="14"/>
          <w:szCs w:val="14"/>
        </w:rPr>
      </w:pPr>
    </w:p>
    <w:p>
      <w:pPr>
        <w:pStyle w:val="BodyText"/>
        <w:spacing w:line="408" w:lineRule="auto"/>
        <w:ind w:left="1449" w:right="3297" w:hanging="316"/>
        <w:jc w:val="left"/>
      </w:pPr>
      <w:r>
        <w:rPr/>
        <w:t>√ 适用 □</w:t>
      </w:r>
      <w:r>
        <w:rPr>
          <w:spacing w:val="-1"/>
        </w:rPr>
        <w:t> </w:t>
      </w:r>
      <w:r>
        <w:rPr/>
        <w:t>不适用</w:t>
      </w:r>
      <w:r>
        <w:rPr/>
        <w:t> 公司上述新增股份已经中国证券监督管理委员会证监许可</w:t>
      </w:r>
      <w:r>
        <w:rPr>
          <w:rFonts w:ascii="宋体" w:hAnsi="宋体" w:cs="宋体" w:eastAsia="宋体" w:hint="default"/>
        </w:rPr>
        <w:t>[2014]1399</w:t>
      </w:r>
      <w:r>
        <w:rPr/>
        <w:t>号核准。</w:t>
      </w:r>
    </w:p>
    <w:p>
      <w:pPr>
        <w:pStyle w:val="BodyText"/>
        <w:spacing w:line="240" w:lineRule="auto" w:before="46"/>
        <w:ind w:right="0"/>
        <w:jc w:val="left"/>
      </w:pPr>
      <w:r>
        <w:rPr/>
        <w:t>股份变动的过户情况</w:t>
      </w:r>
    </w:p>
    <w:p>
      <w:pPr>
        <w:spacing w:line="240" w:lineRule="auto" w:before="10"/>
        <w:rPr>
          <w:rFonts w:ascii="宋体" w:hAnsi="宋体" w:cs="宋体" w:eastAsia="宋体" w:hint="default"/>
          <w:sz w:val="14"/>
          <w:szCs w:val="14"/>
        </w:rPr>
      </w:pPr>
    </w:p>
    <w:p>
      <w:pPr>
        <w:pStyle w:val="BodyText"/>
        <w:spacing w:line="240" w:lineRule="auto"/>
        <w:ind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240" w:lineRule="auto"/>
        <w:ind w:left="1554" w:right="0"/>
        <w:jc w:val="left"/>
      </w:pPr>
      <w:r>
        <w:rPr>
          <w:rFonts w:ascii="宋体" w:hAnsi="宋体" w:cs="宋体" w:eastAsia="宋体" w:hint="default"/>
        </w:rPr>
        <w:t>2015</w:t>
      </w:r>
      <w:r>
        <w:rPr>
          <w:rFonts w:ascii="宋体" w:hAnsi="宋体" w:cs="宋体" w:eastAsia="宋体" w:hint="default"/>
          <w:spacing w:val="-79"/>
        </w:rPr>
        <w:t> </w:t>
      </w:r>
      <w:r>
        <w:rPr/>
        <w:t>年</w:t>
      </w:r>
      <w:r>
        <w:rPr>
          <w:spacing w:val="-80"/>
        </w:rPr>
        <w:t> </w:t>
      </w:r>
      <w:r>
        <w:rPr>
          <w:rFonts w:ascii="宋体" w:hAnsi="宋体" w:cs="宋体" w:eastAsia="宋体" w:hint="default"/>
        </w:rPr>
        <w:t>1</w:t>
      </w:r>
      <w:r>
        <w:rPr>
          <w:rFonts w:ascii="宋体" w:hAnsi="宋体" w:cs="宋体" w:eastAsia="宋体" w:hint="default"/>
          <w:spacing w:val="-80"/>
        </w:rPr>
        <w:t> </w:t>
      </w:r>
      <w:r>
        <w:rPr/>
        <w:t>月</w:t>
      </w:r>
      <w:r>
        <w:rPr>
          <w:spacing w:val="-80"/>
        </w:rPr>
        <w:t> </w:t>
      </w:r>
      <w:r>
        <w:rPr>
          <w:rFonts w:ascii="宋体" w:hAnsi="宋体" w:cs="宋体" w:eastAsia="宋体" w:hint="default"/>
        </w:rPr>
        <w:t>20</w:t>
      </w:r>
      <w:r>
        <w:rPr>
          <w:rFonts w:ascii="宋体" w:hAnsi="宋体" w:cs="宋体" w:eastAsia="宋体" w:hint="default"/>
          <w:spacing w:val="-80"/>
        </w:rPr>
        <w:t> </w:t>
      </w:r>
      <w:r>
        <w:rPr>
          <w:spacing w:val="11"/>
        </w:rPr>
        <w:t>日，</w:t>
      </w:r>
      <w:r>
        <w:rPr>
          <w:spacing w:val="-81"/>
        </w:rPr>
        <w:t> </w:t>
      </w:r>
      <w:r>
        <w:rPr>
          <w:spacing w:val="21"/>
        </w:rPr>
        <w:t>中国证券登记结算有限责任公</w:t>
      </w:r>
      <w:r>
        <w:rPr>
          <w:spacing w:val="-77"/>
        </w:rPr>
        <w:t> </w:t>
      </w:r>
      <w:r>
        <w:rPr>
          <w:spacing w:val="22"/>
        </w:rPr>
        <w:t>司深圳分公司对公司收购索瑞电气新增股份</w:t>
      </w:r>
    </w:p>
    <w:p>
      <w:pPr>
        <w:spacing w:line="240" w:lineRule="auto" w:before="10"/>
        <w:rPr>
          <w:rFonts w:ascii="宋体" w:hAnsi="宋体" w:cs="宋体" w:eastAsia="宋体" w:hint="default"/>
          <w:sz w:val="14"/>
          <w:szCs w:val="14"/>
        </w:rPr>
      </w:pPr>
    </w:p>
    <w:p>
      <w:pPr>
        <w:pStyle w:val="BodyText"/>
        <w:spacing w:line="240" w:lineRule="auto"/>
        <w:ind w:left="1134" w:right="0"/>
        <w:jc w:val="left"/>
      </w:pPr>
      <w:r>
        <w:rPr>
          <w:rFonts w:ascii="宋体" w:hAnsi="宋体" w:cs="宋体" w:eastAsia="宋体" w:hint="default"/>
        </w:rPr>
        <w:t>31,216,848</w:t>
      </w:r>
      <w:r>
        <w:rPr/>
        <w:t>股办理完毕登记手续，上述股份于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4</w:t>
      </w:r>
      <w:r>
        <w:rPr/>
        <w:t>日在深圳证券交易所上市。</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right="0"/>
        <w:jc w:val="left"/>
      </w:pPr>
      <w:r>
        <w:rPr>
          <w:spacing w:val="-1"/>
        </w:rPr>
        <w:t>股份变动对最近一年和最近一期基本每股收益和稀释每股收益、归属于公司普通股股东的每股净资产等财</w:t>
      </w:r>
      <w:r>
        <w:rPr>
          <w:spacing w:val="-81"/>
        </w:rPr>
        <w:t> </w:t>
      </w:r>
      <w:r>
        <w:rPr>
          <w:spacing w:val="-81"/>
        </w:rPr>
      </w:r>
      <w:r>
        <w:rPr/>
        <w:t>务指标的影响</w:t>
      </w:r>
    </w:p>
    <w:p>
      <w:pPr>
        <w:pStyle w:val="BodyText"/>
        <w:spacing w:line="408" w:lineRule="auto" w:before="46"/>
        <w:ind w:left="1134" w:right="6132"/>
        <w:jc w:val="left"/>
      </w:pPr>
      <w:r>
        <w:rPr/>
        <w:t>□ 适用 √</w:t>
      </w:r>
      <w:r>
        <w:rPr>
          <w:spacing w:val="-1"/>
        </w:rPr>
        <w:t> </w:t>
      </w:r>
      <w:r>
        <w:rPr/>
        <w:t>不适用</w:t>
      </w:r>
      <w:r>
        <w:rPr/>
        <w:t> 公司认为必要或证券监管机构要求披露的其他内容</w:t>
      </w:r>
    </w:p>
    <w:p>
      <w:pPr>
        <w:pStyle w:val="BodyText"/>
        <w:spacing w:line="240" w:lineRule="auto" w:before="46"/>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限售股份变动情况" w:id="102"/>
      <w:bookmarkEnd w:id="102"/>
      <w:r>
        <w:rPr/>
      </w:r>
      <w:r>
        <w:rPr>
          <w:rFonts w:ascii="宋体" w:hAnsi="宋体" w:cs="宋体" w:eastAsia="宋体" w:hint="default"/>
          <w:b/>
          <w:bCs/>
          <w:sz w:val="20"/>
          <w:szCs w:val="20"/>
        </w:rPr>
        <w:t>2</w:t>
      </w:r>
      <w:r>
        <w:rPr>
          <w:rFonts w:ascii="宋体" w:hAnsi="宋体" w:cs="宋体" w:eastAsia="宋体" w:hint="default"/>
          <w:b/>
          <w:bCs/>
          <w:sz w:val="20"/>
          <w:szCs w:val="20"/>
        </w:rPr>
        <w:t>、限售股份变动情况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11"/>
        <w:rPr>
          <w:rFonts w:ascii="宋体" w:hAnsi="宋体" w:cs="宋体" w:eastAsia="宋体" w:hint="default"/>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861" w:type="dxa"/>
        <w:tblLayout w:type="fixed"/>
        <w:tblCellMar>
          <w:top w:w="0" w:type="dxa"/>
          <w:left w:w="0" w:type="dxa"/>
          <w:bottom w:w="0" w:type="dxa"/>
          <w:right w:w="0" w:type="dxa"/>
        </w:tblCellMar>
        <w:tblLook w:val="01E0"/>
      </w:tblPr>
      <w:tblGrid>
        <w:gridCol w:w="1479"/>
        <w:gridCol w:w="1349"/>
        <w:gridCol w:w="1512"/>
        <w:gridCol w:w="1559"/>
        <w:gridCol w:w="1276"/>
        <w:gridCol w:w="1559"/>
        <w:gridCol w:w="1418"/>
      </w:tblGrid>
      <w:tr>
        <w:trPr>
          <w:trHeight w:val="413" w:hRule="exact"/>
        </w:trPr>
        <w:tc>
          <w:tcPr>
            <w:tcW w:w="147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1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28"/>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1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9" w:hRule="exact"/>
        </w:trPr>
        <w:tc>
          <w:tcPr>
            <w:tcW w:w="147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93" w:right="101"/>
              <w:jc w:val="left"/>
              <w:rPr>
                <w:rFonts w:ascii="宋体" w:hAnsi="宋体" w:cs="宋体" w:eastAsia="宋体" w:hint="default"/>
                <w:sz w:val="18"/>
                <w:szCs w:val="18"/>
              </w:rPr>
            </w:pPr>
            <w:r>
              <w:rPr>
                <w:rFonts w:ascii="宋体" w:hAnsi="宋体" w:cs="宋体" w:eastAsia="宋体" w:hint="default"/>
                <w:sz w:val="18"/>
                <w:szCs w:val="18"/>
              </w:rPr>
              <w:t>江苏光一投资管 理有限责任公司</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42,600,000</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42,600,000</w:t>
            </w:r>
          </w:p>
        </w:tc>
        <w:tc>
          <w:tcPr>
            <w:tcW w:w="155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w:t>
            </w:r>
          </w:p>
        </w:tc>
      </w:tr>
      <w:tr>
        <w:trPr>
          <w:trHeight w:val="720" w:hRule="exact"/>
        </w:trPr>
        <w:tc>
          <w:tcPr>
            <w:tcW w:w="147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453" w:right="101" w:hanging="360"/>
              <w:jc w:val="left"/>
              <w:rPr>
                <w:rFonts w:ascii="宋体" w:hAnsi="宋体" w:cs="宋体" w:eastAsia="宋体" w:hint="default"/>
                <w:sz w:val="18"/>
                <w:szCs w:val="18"/>
              </w:rPr>
            </w:pPr>
            <w:r>
              <w:rPr>
                <w:rFonts w:ascii="宋体" w:hAnsi="宋体" w:cs="宋体" w:eastAsia="宋体" w:hint="default"/>
                <w:sz w:val="18"/>
                <w:szCs w:val="18"/>
              </w:rPr>
              <w:t>湖北乾瀚投资有 限公司</w:t>
            </w:r>
          </w:p>
        </w:tc>
        <w:tc>
          <w:tcPr>
            <w:tcW w:w="1349"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21,767,211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21,767,211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重组承诺</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7" w:hRule="exact"/>
        </w:trPr>
        <w:tc>
          <w:tcPr>
            <w:tcW w:w="14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14,953,500</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14,953,500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11,268,975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11,268,975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7" w:hRule="exact"/>
        </w:trPr>
        <w:tc>
          <w:tcPr>
            <w:tcW w:w="14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任昌兆</w:t>
            </w:r>
          </w:p>
        </w:tc>
        <w:tc>
          <w:tcPr>
            <w:tcW w:w="1349"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2,792,616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2,792,616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重组承诺</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7" w:hRule="exact"/>
        </w:trPr>
        <w:tc>
          <w:tcPr>
            <w:tcW w:w="14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徐一宁</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2,141,250</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36,375</w:t>
            </w:r>
          </w:p>
        </w:tc>
        <w:tc>
          <w:tcPr>
            <w:tcW w:w="155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2,104,875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离任高管锁定股份</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7</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15</w:t>
            </w:r>
            <w:r>
              <w:rPr>
                <w:rFonts w:ascii="宋体" w:hAnsi="宋体" w:cs="宋体" w:eastAsia="宋体" w:hint="default"/>
                <w:spacing w:val="-52"/>
                <w:sz w:val="18"/>
                <w:szCs w:val="18"/>
              </w:rPr>
              <w:t> </w:t>
            </w:r>
            <w:r>
              <w:rPr>
                <w:rFonts w:ascii="宋体" w:hAnsi="宋体" w:cs="宋体" w:eastAsia="宋体" w:hint="default"/>
                <w:sz w:val="18"/>
                <w:szCs w:val="18"/>
              </w:rPr>
              <w:t>日</w:t>
            </w:r>
          </w:p>
        </w:tc>
      </w:tr>
      <w:tr>
        <w:trPr>
          <w:trHeight w:val="407" w:hRule="exact"/>
        </w:trPr>
        <w:tc>
          <w:tcPr>
            <w:tcW w:w="14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熊  珂</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1,687,500</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1,687,500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1,265,625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1,265,625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7" w:hRule="exact"/>
        </w:trPr>
        <w:tc>
          <w:tcPr>
            <w:tcW w:w="14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任晶晶</w:t>
            </w:r>
          </w:p>
        </w:tc>
        <w:tc>
          <w:tcPr>
            <w:tcW w:w="1349"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1,189,342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1,189,342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重组承诺</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20" w:hRule="exact"/>
        </w:trPr>
        <w:tc>
          <w:tcPr>
            <w:tcW w:w="147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83" w:right="101" w:hanging="90"/>
              <w:jc w:val="left"/>
              <w:rPr>
                <w:rFonts w:ascii="宋体" w:hAnsi="宋体" w:cs="宋体" w:eastAsia="宋体" w:hint="default"/>
                <w:sz w:val="18"/>
                <w:szCs w:val="18"/>
              </w:rPr>
            </w:pPr>
            <w:r>
              <w:rPr>
                <w:rFonts w:ascii="宋体" w:hAnsi="宋体" w:cs="宋体" w:eastAsia="宋体" w:hint="default"/>
                <w:sz w:val="18"/>
                <w:szCs w:val="18"/>
              </w:rPr>
              <w:t>深圳市创新投资 集团有限公司</w:t>
            </w:r>
          </w:p>
        </w:tc>
        <w:tc>
          <w:tcPr>
            <w:tcW w:w="1349"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925,232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925,232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重组承诺</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7" w:hRule="exact"/>
        </w:trPr>
        <w:tc>
          <w:tcPr>
            <w:tcW w:w="14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魏法旭</w:t>
            </w:r>
          </w:p>
        </w:tc>
        <w:tc>
          <w:tcPr>
            <w:tcW w:w="1349"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815,954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815,954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重组承诺</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7" w:hRule="exact"/>
        </w:trPr>
        <w:tc>
          <w:tcPr>
            <w:tcW w:w="14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郑丽蓉</w:t>
            </w:r>
          </w:p>
        </w:tc>
        <w:tc>
          <w:tcPr>
            <w:tcW w:w="1349"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654,115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654,115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重组承诺</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7" w:hRule="exact"/>
        </w:trPr>
        <w:tc>
          <w:tcPr>
            <w:tcW w:w="14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其他小计</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1,677,093</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317,484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3,072,378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4,431,987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w:t>
            </w:r>
          </w:p>
        </w:tc>
      </w:tr>
      <w:tr>
        <w:trPr>
          <w:trHeight w:val="415" w:hRule="exact"/>
        </w:trPr>
        <w:tc>
          <w:tcPr>
            <w:tcW w:w="147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63,059,343</w:t>
            </w:r>
          </w:p>
        </w:tc>
        <w:tc>
          <w:tcPr>
            <w:tcW w:w="15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59,594,859</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43,751,448</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47,215,932</w:t>
            </w:r>
          </w:p>
        </w:tc>
        <w:tc>
          <w:tcPr>
            <w:tcW w:w="155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1418"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sz w:val="18"/>
              </w:rPr>
              <w:t>--</w:t>
            </w:r>
          </w:p>
        </w:tc>
      </w:tr>
    </w:tbl>
    <w:p>
      <w:pPr>
        <w:pStyle w:val="Heading2"/>
        <w:spacing w:line="240" w:lineRule="auto" w:before="40"/>
        <w:ind w:left="1134" w:right="0"/>
        <w:jc w:val="left"/>
        <w:rPr>
          <w:b w:val="0"/>
          <w:bCs w:val="0"/>
        </w:rPr>
      </w:pPr>
      <w:bookmarkStart w:name="二、证券发行与上市情况" w:id="103"/>
      <w:bookmarkEnd w:id="103"/>
      <w:r>
        <w:rPr>
          <w:b w:val="0"/>
          <w:bCs w:val="0"/>
        </w:rPr>
      </w:r>
      <w:r>
        <w:rPr/>
        <w:t>二、证券发行与上市情况</w:t>
      </w:r>
      <w:r>
        <w:rPr>
          <w:b w:val="0"/>
          <w:bCs w:val="0"/>
        </w:rPr>
      </w:r>
    </w:p>
    <w:p>
      <w:pPr>
        <w:spacing w:before="186"/>
        <w:ind w:left="1133" w:right="0" w:firstLine="0"/>
        <w:jc w:val="left"/>
        <w:rPr>
          <w:rFonts w:ascii="宋体" w:hAnsi="宋体" w:cs="宋体" w:eastAsia="宋体" w:hint="default"/>
          <w:sz w:val="20"/>
          <w:szCs w:val="20"/>
        </w:rPr>
      </w:pPr>
      <w:bookmarkStart w:name="1、报告期内证券发行（不含优先股）情况" w:id="104"/>
      <w:bookmarkEnd w:id="104"/>
      <w:r>
        <w:rPr/>
      </w:r>
      <w:r>
        <w:rPr>
          <w:rFonts w:ascii="宋体" w:hAnsi="宋体" w:cs="宋体" w:eastAsia="宋体" w:hint="default"/>
          <w:b/>
          <w:bCs/>
          <w:sz w:val="20"/>
          <w:szCs w:val="20"/>
        </w:rPr>
        <w:t>1</w:t>
      </w:r>
      <w:r>
        <w:rPr>
          <w:rFonts w:ascii="宋体" w:hAnsi="宋体" w:cs="宋体" w:eastAsia="宋体" w:hint="default"/>
          <w:b/>
          <w:bCs/>
          <w:sz w:val="20"/>
          <w:szCs w:val="20"/>
        </w:rPr>
        <w:t>、报告期内证券发行（不含优先股）情况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1277"/>
        <w:gridCol w:w="1560"/>
        <w:gridCol w:w="1276"/>
        <w:gridCol w:w="1184"/>
        <w:gridCol w:w="1368"/>
        <w:gridCol w:w="1701"/>
        <w:gridCol w:w="1204"/>
      </w:tblGrid>
      <w:tr>
        <w:trPr>
          <w:trHeight w:val="502" w:hRule="exact"/>
        </w:trPr>
        <w:tc>
          <w:tcPr>
            <w:tcW w:w="127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262" w:right="89"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17" w:lineRule="exact"/>
              <w:ind w:left="270"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4"/>
              <w:ind w:left="180"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1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224"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7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获准上市交易数量</w:t>
            </w:r>
          </w:p>
        </w:tc>
        <w:tc>
          <w:tcPr>
            <w:tcW w:w="120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5"/>
              <w:ind w:left="53"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7" w:hRule="exact"/>
        </w:trPr>
        <w:tc>
          <w:tcPr>
            <w:tcW w:w="9570"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7"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790" w:right="0"/>
              <w:jc w:val="left"/>
              <w:rPr>
                <w:rFonts w:ascii="宋体" w:hAnsi="宋体" w:cs="宋体" w:eastAsia="宋体" w:hint="default"/>
                <w:sz w:val="18"/>
                <w:szCs w:val="18"/>
              </w:rPr>
            </w:pPr>
            <w:r>
              <w:rPr>
                <w:rFonts w:ascii="宋体"/>
                <w:sz w:val="18"/>
              </w:rPr>
              <w:t>19.17</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48" w:right="0"/>
              <w:jc w:val="left"/>
              <w:rPr>
                <w:rFonts w:ascii="宋体" w:hAnsi="宋体" w:cs="宋体" w:eastAsia="宋体" w:hint="default"/>
                <w:sz w:val="18"/>
                <w:szCs w:val="18"/>
              </w:rPr>
            </w:pPr>
            <w:r>
              <w:rPr>
                <w:rFonts w:ascii="宋体"/>
                <w:sz w:val="18"/>
              </w:rPr>
              <w:t>31,216,848</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765" w:right="0"/>
              <w:jc w:val="left"/>
              <w:rPr>
                <w:rFonts w:ascii="宋体" w:hAnsi="宋体" w:cs="宋体" w:eastAsia="宋体" w:hint="default"/>
                <w:sz w:val="18"/>
                <w:szCs w:val="18"/>
              </w:rPr>
            </w:pPr>
            <w:r>
              <w:rPr>
                <w:rFonts w:ascii="宋体"/>
                <w:sz w:val="18"/>
              </w:rPr>
              <w:t>31,216,848</w:t>
            </w:r>
          </w:p>
        </w:tc>
        <w:tc>
          <w:tcPr>
            <w:tcW w:w="1204"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9570"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15" w:hRule="exact"/>
        </w:trPr>
        <w:tc>
          <w:tcPr>
            <w:tcW w:w="9570" w:type="dxa"/>
            <w:gridSpan w:val="7"/>
            <w:tcBorders>
              <w:top w:val="single" w:sz="6" w:space="0" w:color="000000"/>
              <w:left w:val="single" w:sz="12" w:space="0" w:color="000000"/>
              <w:bottom w:val="single" w:sz="12"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left="1553" w:right="0" w:hanging="420"/>
        <w:jc w:val="left"/>
      </w:pPr>
      <w:r>
        <w:rPr/>
        <w:t>报告期内证券发行（不含优先股）情况的说明 </w:t>
      </w:r>
      <w:r>
        <w:rPr>
          <w:spacing w:val="-1"/>
        </w:rPr>
        <w:t>经中国证券监督管理委员会证监许可</w:t>
      </w:r>
      <w:r>
        <w:rPr>
          <w:rFonts w:ascii="宋体" w:hAnsi="宋体" w:cs="宋体" w:eastAsia="宋体" w:hint="default"/>
          <w:spacing w:val="-1"/>
        </w:rPr>
        <w:t>[2014]1399</w:t>
      </w:r>
      <w:r>
        <w:rPr>
          <w:spacing w:val="-1"/>
        </w:rPr>
        <w:t>号核准，公司以发行股份及支付现金的方式对索瑞电</w:t>
      </w:r>
    </w:p>
    <w:p>
      <w:pPr>
        <w:pStyle w:val="BodyText"/>
        <w:spacing w:line="408" w:lineRule="auto" w:before="46"/>
        <w:ind w:left="1134" w:right="1108"/>
        <w:jc w:val="both"/>
      </w:pPr>
      <w:r>
        <w:rPr/>
        <w:t>气进行重大资产重组，公司向任昌兆等</w:t>
      </w:r>
      <w:r>
        <w:rPr>
          <w:rFonts w:ascii="宋体" w:hAnsi="宋体" w:cs="宋体" w:eastAsia="宋体" w:hint="default"/>
        </w:rPr>
        <w:t>33</w:t>
      </w:r>
      <w:r>
        <w:rPr/>
        <w:t>名交易对方定向发行股份</w:t>
      </w:r>
      <w:r>
        <w:rPr>
          <w:rFonts w:ascii="宋体" w:hAnsi="宋体" w:cs="宋体" w:eastAsia="宋体" w:hint="default"/>
        </w:rPr>
        <w:t>31,216,848</w:t>
      </w:r>
      <w:r>
        <w:rPr/>
        <w:t>股，发行价格</w:t>
      </w:r>
      <w:r>
        <w:rPr>
          <w:rFonts w:ascii="宋体" w:hAnsi="宋体" w:cs="宋体" w:eastAsia="宋体" w:hint="default"/>
        </w:rPr>
        <w:t>19.17</w:t>
      </w:r>
      <w:r>
        <w:rPr/>
        <w:t>元</w:t>
      </w:r>
      <w:r>
        <w:rPr>
          <w:rFonts w:ascii="宋体" w:hAnsi="宋体" w:cs="宋体" w:eastAsia="宋体" w:hint="default"/>
        </w:rPr>
        <w:t>/</w:t>
      </w:r>
      <w:r>
        <w:rPr/>
        <w:t>股，</w:t>
      </w:r>
      <w:r>
        <w:rPr>
          <w:spacing w:val="1"/>
        </w:rPr>
        <w:t> </w:t>
      </w:r>
      <w:r>
        <w:rPr/>
        <w:t>上述股份的性质为限售流通股，已于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20</w:t>
      </w:r>
      <w:r>
        <w:rPr/>
        <w:t>日在中国证券登记结算有限责任公司深圳分公司办理完</w:t>
      </w:r>
      <w:r>
        <w:rPr>
          <w:spacing w:val="-33"/>
        </w:rPr>
        <w:t> </w:t>
      </w:r>
      <w:r>
        <w:rPr>
          <w:spacing w:val="-33"/>
        </w:rPr>
      </w:r>
      <w:r>
        <w:rPr>
          <w:spacing w:val="-1"/>
        </w:rPr>
        <w:t>毕登记手续，</w:t>
      </w:r>
      <w:r>
        <w:rPr>
          <w:rFonts w:ascii="宋体" w:hAnsi="宋体" w:cs="宋体" w:eastAsia="宋体" w:hint="default"/>
          <w:spacing w:val="-1"/>
        </w:rPr>
        <w:t>2015</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4</w:t>
      </w:r>
      <w:r>
        <w:rPr>
          <w:spacing w:val="-1"/>
        </w:rPr>
        <w:t>日在深圳证券交易所上市，本次发行新增股份上市首日公司股价不除权，股票交</w:t>
      </w:r>
      <w:r>
        <w:rPr>
          <w:spacing w:val="-84"/>
        </w:rPr>
        <w:t> </w:t>
      </w:r>
      <w:r>
        <w:rPr>
          <w:spacing w:val="-84"/>
        </w:rPr>
      </w:r>
      <w:r>
        <w:rPr/>
        <w:t>易设涨跌幅限制。</w:t>
      </w:r>
    </w:p>
    <w:p>
      <w:pPr>
        <w:spacing w:before="55"/>
        <w:ind w:left="1134" w:right="0" w:firstLine="0"/>
        <w:jc w:val="left"/>
        <w:rPr>
          <w:rFonts w:ascii="宋体" w:hAnsi="宋体" w:cs="宋体" w:eastAsia="宋体" w:hint="default"/>
          <w:sz w:val="20"/>
          <w:szCs w:val="20"/>
        </w:rPr>
      </w:pPr>
      <w:bookmarkStart w:name="2、公司股份总数及股东结构的变动、公司资产和负债结构的变动情况说明" w:id="105"/>
      <w:bookmarkEnd w:id="105"/>
      <w:r>
        <w:rPr/>
      </w:r>
      <w:r>
        <w:rPr>
          <w:rFonts w:ascii="宋体" w:hAnsi="宋体" w:cs="宋体" w:eastAsia="宋体" w:hint="default"/>
          <w:b/>
          <w:bCs/>
          <w:sz w:val="20"/>
          <w:szCs w:val="20"/>
        </w:rPr>
        <w:t>2</w:t>
      </w:r>
      <w:r>
        <w:rPr>
          <w:rFonts w:ascii="宋体" w:hAnsi="宋体" w:cs="宋体" w:eastAsia="宋体" w:hint="default"/>
          <w:b/>
          <w:bCs/>
          <w:sz w:val="20"/>
          <w:szCs w:val="20"/>
        </w:rPr>
        <w:t>、公司股份总数及股东结构的变动、公司资产和负债结构的变动情况说明</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554" w:right="0" w:hanging="420"/>
        <w:jc w:val="left"/>
      </w:pPr>
      <w:r>
        <w:rPr/>
        <w:t>√ 适用 □</w:t>
      </w:r>
      <w:r>
        <w:rPr>
          <w:spacing w:val="-1"/>
        </w:rPr>
        <w:t> </w:t>
      </w:r>
      <w:r>
        <w:rPr/>
        <w:t>不适用</w:t>
      </w:r>
      <w:r>
        <w:rPr/>
        <w:t> </w:t>
      </w:r>
      <w:r>
        <w:rPr>
          <w:spacing w:val="-1"/>
        </w:rPr>
        <w:t>报告期内，经中国证券监督管理委员会证监许可</w:t>
      </w:r>
      <w:r>
        <w:rPr>
          <w:rFonts w:ascii="宋体" w:hAnsi="宋体" w:cs="宋体" w:eastAsia="宋体" w:hint="default"/>
          <w:spacing w:val="-1"/>
        </w:rPr>
        <w:t>[2014]1399</w:t>
      </w:r>
      <w:r>
        <w:rPr>
          <w:spacing w:val="-1"/>
        </w:rPr>
        <w:t>号核准，公司以发行股份及支付现金的方</w:t>
      </w:r>
    </w:p>
    <w:p>
      <w:pPr>
        <w:pStyle w:val="BodyText"/>
        <w:spacing w:line="408" w:lineRule="auto" w:before="46"/>
        <w:ind w:left="1134" w:right="1131"/>
        <w:jc w:val="both"/>
      </w:pPr>
      <w:r>
        <w:rPr>
          <w:spacing w:val="-1"/>
        </w:rPr>
        <w:t>式对索瑞电气进行重大资产重组，公司向任昌兆等</w:t>
      </w:r>
      <w:r>
        <w:rPr>
          <w:rFonts w:ascii="宋体" w:hAnsi="宋体" w:cs="宋体" w:eastAsia="宋体" w:hint="default"/>
          <w:spacing w:val="-1"/>
        </w:rPr>
        <w:t>33</w:t>
      </w:r>
      <w:r>
        <w:rPr>
          <w:spacing w:val="-1"/>
        </w:rPr>
        <w:t>名交易对方定向发行股份</w:t>
      </w:r>
      <w:r>
        <w:rPr>
          <w:rFonts w:ascii="宋体" w:hAnsi="宋体" w:cs="宋体" w:eastAsia="宋体" w:hint="default"/>
          <w:spacing w:val="-1"/>
        </w:rPr>
        <w:t>31,216,848</w:t>
      </w:r>
      <w:r>
        <w:rPr>
          <w:spacing w:val="-1"/>
        </w:rPr>
        <w:t>股，全部为限售</w:t>
      </w:r>
      <w:r>
        <w:rPr>
          <w:spacing w:val="-78"/>
        </w:rPr>
        <w:t> </w:t>
      </w:r>
      <w:r>
        <w:rPr>
          <w:spacing w:val="-78"/>
        </w:rPr>
      </w:r>
      <w:r>
        <w:rPr>
          <w:spacing w:val="9"/>
        </w:rPr>
        <w:t>流通股，其中境内法人股</w:t>
      </w:r>
      <w:r>
        <w:rPr>
          <w:rFonts w:ascii="宋体" w:hAnsi="宋体" w:cs="宋体" w:eastAsia="宋体" w:hint="default"/>
          <w:spacing w:val="9"/>
        </w:rPr>
        <w:t>24,106,160</w:t>
      </w:r>
      <w:r>
        <w:rPr>
          <w:spacing w:val="9"/>
        </w:rPr>
        <w:t>股、境内自然人股</w:t>
      </w:r>
      <w:r>
        <w:rPr>
          <w:rFonts w:ascii="宋体" w:hAnsi="宋体" w:cs="宋体" w:eastAsia="宋体" w:hint="default"/>
          <w:spacing w:val="9"/>
        </w:rPr>
        <w:t>7,110,688</w:t>
      </w:r>
      <w:r>
        <w:rPr>
          <w:spacing w:val="9"/>
        </w:rPr>
        <w:t>股。本次重组完成后，公司股本由</w:t>
      </w:r>
      <w:r>
        <w:rPr>
          <w:spacing w:val="-93"/>
        </w:rPr>
        <w:t> </w:t>
      </w:r>
      <w:r>
        <w:rPr>
          <w:spacing w:val="-93"/>
        </w:rPr>
      </w:r>
      <w:r>
        <w:rPr>
          <w:rFonts w:ascii="宋体" w:hAnsi="宋体" w:cs="宋体" w:eastAsia="宋体" w:hint="default"/>
        </w:rPr>
        <w:t>130,005,000</w:t>
      </w:r>
      <w:r>
        <w:rPr/>
        <w:t>股增加至</w:t>
      </w:r>
      <w:r>
        <w:rPr>
          <w:rFonts w:ascii="宋体" w:hAnsi="宋体" w:cs="宋体" w:eastAsia="宋体" w:hint="default"/>
        </w:rPr>
        <w:t>161,221,848</w:t>
      </w:r>
      <w:r>
        <w:rPr/>
        <w:t>股，进一步提高了公司的资本实力，优化了公司资产负债结构。</w:t>
      </w:r>
    </w:p>
    <w:p>
      <w:pPr>
        <w:spacing w:before="55"/>
        <w:ind w:left="1134" w:right="0" w:firstLine="0"/>
        <w:jc w:val="left"/>
        <w:rPr>
          <w:rFonts w:ascii="宋体" w:hAnsi="宋体" w:cs="宋体" w:eastAsia="宋体" w:hint="default"/>
          <w:sz w:val="20"/>
          <w:szCs w:val="20"/>
        </w:rPr>
      </w:pPr>
      <w:bookmarkStart w:name="3、现存的内部职工股情况" w:id="106"/>
      <w:bookmarkEnd w:id="106"/>
      <w:r>
        <w:rPr/>
      </w:r>
      <w:r>
        <w:rPr>
          <w:rFonts w:ascii="宋体" w:hAnsi="宋体" w:cs="宋体" w:eastAsia="宋体" w:hint="default"/>
          <w:b/>
          <w:bCs/>
          <w:sz w:val="20"/>
          <w:szCs w:val="20"/>
        </w:rPr>
        <w:t>3</w:t>
      </w:r>
      <w:r>
        <w:rPr>
          <w:rFonts w:ascii="宋体" w:hAnsi="宋体" w:cs="宋体" w:eastAsia="宋体" w:hint="default"/>
          <w:b/>
          <w:bCs/>
          <w:sz w:val="20"/>
          <w:szCs w:val="20"/>
        </w:rPr>
        <w:t>、现存的内部职工股情况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spacing w:line="386" w:lineRule="auto" w:before="0"/>
        <w:ind w:left="1133" w:right="6793" w:firstLine="0"/>
        <w:jc w:val="left"/>
        <w:rPr>
          <w:rFonts w:ascii="宋体" w:hAnsi="宋体" w:cs="宋体" w:eastAsia="宋体" w:hint="default"/>
          <w:sz w:val="20"/>
          <w:szCs w:val="20"/>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三、股东和实际控制人情况" w:id="107"/>
      <w:bookmarkEnd w:id="107"/>
      <w:r>
        <w:rPr>
          <w:rFonts w:ascii="宋体" w:hAnsi="宋体" w:cs="宋体" w:eastAsia="宋体" w:hint="default"/>
          <w:sz w:val="21"/>
          <w:szCs w:val="21"/>
        </w:rPr>
      </w:r>
      <w:r>
        <w:rPr>
          <w:rFonts w:ascii="宋体" w:hAnsi="宋体" w:cs="宋体" w:eastAsia="宋体" w:hint="default"/>
          <w:b/>
          <w:bCs/>
          <w:w w:val="95"/>
          <w:sz w:val="24"/>
          <w:szCs w:val="24"/>
        </w:rPr>
        <w:t>三、股东和实际控制人情况</w:t>
      </w:r>
      <w:r>
        <w:rPr>
          <w:rFonts w:ascii="宋体" w:hAnsi="宋体" w:cs="宋体" w:eastAsia="宋体" w:hint="default"/>
          <w:b/>
          <w:bCs/>
          <w:spacing w:val="18"/>
          <w:w w:val="95"/>
          <w:sz w:val="24"/>
          <w:szCs w:val="24"/>
        </w:rPr>
        <w:t> </w:t>
      </w:r>
      <w:bookmarkStart w:name="1、公司股东数量及持股情况" w:id="108"/>
      <w:bookmarkEnd w:id="108"/>
      <w:r>
        <w:rPr>
          <w:rFonts w:ascii="宋体" w:hAnsi="宋体" w:cs="宋体" w:eastAsia="宋体" w:hint="default"/>
          <w:b/>
          <w:bCs/>
          <w:spacing w:val="18"/>
          <w:w w:val="95"/>
          <w:sz w:val="24"/>
          <w:szCs w:val="24"/>
        </w:rPr>
      </w:r>
      <w:r>
        <w:rPr>
          <w:rFonts w:ascii="宋体" w:hAnsi="宋体" w:cs="宋体" w:eastAsia="宋体" w:hint="default"/>
          <w:b/>
          <w:bCs/>
          <w:sz w:val="20"/>
          <w:szCs w:val="20"/>
        </w:rPr>
        <w:t>1</w:t>
      </w:r>
      <w:r>
        <w:rPr>
          <w:rFonts w:ascii="宋体" w:hAnsi="宋体" w:cs="宋体" w:eastAsia="宋体" w:hint="default"/>
          <w:b/>
          <w:bCs/>
          <w:sz w:val="20"/>
          <w:szCs w:val="20"/>
        </w:rPr>
        <w:t>、公司股东数量及持股情况</w:t>
      </w:r>
      <w:r>
        <w:rPr>
          <w:rFonts w:ascii="宋体" w:hAnsi="宋体" w:cs="宋体" w:eastAsia="宋体" w:hint="default"/>
          <w:sz w:val="20"/>
          <w:szCs w:val="20"/>
        </w:rPr>
      </w:r>
    </w:p>
    <w:p>
      <w:pPr>
        <w:spacing w:before="22"/>
        <w:ind w:left="0" w:right="1130" w:firstLine="0"/>
        <w:jc w:val="right"/>
        <w:rPr>
          <w:rFonts w:ascii="宋体" w:hAnsi="宋体" w:cs="宋体" w:eastAsia="宋体" w:hint="default"/>
          <w:sz w:val="18"/>
          <w:szCs w:val="18"/>
        </w:rPr>
      </w:pPr>
      <w:r>
        <w:rPr/>
        <w:pict>
          <v:shape style="position:absolute;margin-left:470.696991pt;margin-top:64.471718pt;width:85.25pt;height:31.2pt;mso-position-horizontal-relative:page;mso-position-vertical-relative:paragraph;z-index:-917464"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503.940002pt;margin-top:64.471718pt;width:52pt;height:31.2pt;mso-position-horizontal-relative:page;mso-position-vertical-relative:paragraph;z-index:-917440" coordorigin="10079,1289" coordsize="1040,624">
            <v:shape style="position:absolute;left:10079;top:1289;width:1040;height:624" coordorigin="10079,1289" coordsize="1040,624" path="m10079,1913l11118,1913,11118,1289,10079,1289,10079,1913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0"/>
        <w:rPr>
          <w:rFonts w:ascii="宋体" w:hAnsi="宋体" w:cs="宋体" w:eastAsia="宋体" w:hint="default"/>
          <w:sz w:val="5"/>
          <w:szCs w:val="5"/>
        </w:rPr>
      </w:pPr>
    </w:p>
    <w:tbl>
      <w:tblPr>
        <w:tblW w:w="0" w:type="auto"/>
        <w:jc w:val="left"/>
        <w:tblInd w:w="757" w:type="dxa"/>
        <w:tblLayout w:type="fixed"/>
        <w:tblCellMar>
          <w:top w:w="0" w:type="dxa"/>
          <w:left w:w="0" w:type="dxa"/>
          <w:bottom w:w="0" w:type="dxa"/>
          <w:right w:w="0" w:type="dxa"/>
        </w:tblCellMar>
        <w:tblLook w:val="01E0"/>
      </w:tblPr>
      <w:tblGrid>
        <w:gridCol w:w="2124"/>
        <w:gridCol w:w="136"/>
        <w:gridCol w:w="661"/>
        <w:gridCol w:w="750"/>
        <w:gridCol w:w="750"/>
        <w:gridCol w:w="1048"/>
        <w:gridCol w:w="119"/>
        <w:gridCol w:w="1015"/>
        <w:gridCol w:w="293"/>
        <w:gridCol w:w="841"/>
        <w:gridCol w:w="244"/>
        <w:gridCol w:w="749"/>
        <w:gridCol w:w="565"/>
        <w:gridCol w:w="508"/>
        <w:gridCol w:w="559"/>
      </w:tblGrid>
      <w:tr>
        <w:trPr>
          <w:trHeight w:val="171" w:hRule="exact"/>
        </w:trPr>
        <w:tc>
          <w:tcPr>
            <w:tcW w:w="2124" w:type="dxa"/>
            <w:vMerge w:val="restart"/>
            <w:tcBorders>
              <w:top w:val="single" w:sz="12" w:space="0" w:color="000000"/>
              <w:left w:val="single" w:sz="12" w:space="0" w:color="000000"/>
              <w:right w:val="single" w:sz="6" w:space="0" w:color="000000"/>
            </w:tcBorders>
            <w:shd w:val="clear" w:color="auto" w:fill="D2D2D2"/>
          </w:tcPr>
          <w:p>
            <w:pPr/>
          </w:p>
        </w:tc>
        <w:tc>
          <w:tcPr>
            <w:tcW w:w="797" w:type="dxa"/>
            <w:gridSpan w:val="2"/>
            <w:vMerge w:val="restart"/>
            <w:tcBorders>
              <w:top w:val="single" w:sz="12" w:space="0" w:color="000000"/>
              <w:left w:val="single" w:sz="8"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8" w:right="0"/>
              <w:jc w:val="left"/>
              <w:rPr>
                <w:rFonts w:ascii="宋体" w:hAnsi="宋体" w:cs="宋体" w:eastAsia="宋体" w:hint="default"/>
                <w:sz w:val="18"/>
                <w:szCs w:val="18"/>
              </w:rPr>
            </w:pPr>
            <w:r>
              <w:rPr>
                <w:rFonts w:ascii="宋体"/>
                <w:sz w:val="18"/>
              </w:rPr>
              <w:t>6,689</w:t>
            </w:r>
          </w:p>
        </w:tc>
        <w:tc>
          <w:tcPr>
            <w:tcW w:w="1500" w:type="dxa"/>
            <w:gridSpan w:val="2"/>
            <w:vMerge w:val="restart"/>
            <w:tcBorders>
              <w:top w:val="single" w:sz="12" w:space="0" w:color="000000"/>
              <w:left w:val="single" w:sz="6" w:space="0" w:color="000000"/>
              <w:right w:val="single" w:sz="6" w:space="0" w:color="000000"/>
            </w:tcBorders>
            <w:shd w:val="clear" w:color="auto" w:fill="D2D2D2"/>
          </w:tcPr>
          <w:p>
            <w:pPr/>
          </w:p>
        </w:tc>
        <w:tc>
          <w:tcPr>
            <w:tcW w:w="1168" w:type="dxa"/>
            <w:gridSpan w:val="2"/>
            <w:vMerge w:val="restart"/>
            <w:tcBorders>
              <w:top w:val="single" w:sz="12" w:space="0" w:color="000000"/>
              <w:left w:val="single" w:sz="8" w:space="0" w:color="D2D2D2"/>
              <w:right w:val="single" w:sz="8"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68" w:right="0"/>
              <w:jc w:val="left"/>
              <w:rPr>
                <w:rFonts w:ascii="宋体" w:hAnsi="宋体" w:cs="宋体" w:eastAsia="宋体" w:hint="default"/>
                <w:sz w:val="18"/>
                <w:szCs w:val="18"/>
              </w:rPr>
            </w:pPr>
            <w:r>
              <w:rPr>
                <w:rFonts w:ascii="宋体"/>
                <w:sz w:val="18"/>
              </w:rPr>
              <w:t>6,829</w:t>
            </w:r>
          </w:p>
        </w:tc>
        <w:tc>
          <w:tcPr>
            <w:tcW w:w="1308" w:type="dxa"/>
            <w:gridSpan w:val="2"/>
            <w:tcBorders>
              <w:top w:val="single" w:sz="12" w:space="0" w:color="000000"/>
              <w:left w:val="single" w:sz="6" w:space="0" w:color="000000"/>
              <w:bottom w:val="nil" w:sz="6" w:space="0" w:color="auto"/>
              <w:right w:val="single" w:sz="6" w:space="0" w:color="000000"/>
            </w:tcBorders>
            <w:shd w:val="clear" w:color="auto" w:fill="D2D2D2"/>
          </w:tcPr>
          <w:p>
            <w:pPr/>
          </w:p>
        </w:tc>
        <w:tc>
          <w:tcPr>
            <w:tcW w:w="1085" w:type="dxa"/>
            <w:gridSpan w:val="2"/>
            <w:vMerge w:val="restart"/>
            <w:tcBorders>
              <w:top w:val="single" w:sz="12" w:space="0" w:color="000000"/>
              <w:left w:val="single" w:sz="9" w:space="0" w:color="D2D2D2"/>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313"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10"/>
              <w:ind w:left="10" w:right="26"/>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0"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z w:val="18"/>
                <w:szCs w:val="18"/>
              </w:rPr>
              <w:t>）</w:t>
            </w:r>
          </w:p>
        </w:tc>
        <w:tc>
          <w:tcPr>
            <w:tcW w:w="508" w:type="dxa"/>
            <w:vMerge w:val="restart"/>
            <w:tcBorders>
              <w:top w:val="single" w:sz="12" w:space="0" w:color="000000"/>
              <w:left w:val="single" w:sz="14" w:space="0" w:color="D2D2D2"/>
              <w:right w:val="nil" w:sz="6" w:space="0" w:color="auto"/>
            </w:tcBorders>
          </w:tcPr>
          <w:p>
            <w:pPr/>
          </w:p>
        </w:tc>
        <w:tc>
          <w:tcPr>
            <w:tcW w:w="559" w:type="dxa"/>
            <w:tcBorders>
              <w:top w:val="single" w:sz="12" w:space="0" w:color="000000"/>
              <w:left w:val="nil" w:sz="6" w:space="0" w:color="auto"/>
              <w:bottom w:val="nil" w:sz="6" w:space="0" w:color="auto"/>
              <w:right w:val="single" w:sz="12" w:space="0" w:color="000000"/>
            </w:tcBorders>
          </w:tcPr>
          <w:p>
            <w:pPr/>
          </w:p>
        </w:tc>
      </w:tr>
      <w:tr>
        <w:trPr>
          <w:trHeight w:val="156" w:hRule="exact"/>
        </w:trPr>
        <w:tc>
          <w:tcPr>
            <w:tcW w:w="2124" w:type="dxa"/>
            <w:vMerge/>
            <w:tcBorders>
              <w:left w:val="single" w:sz="12" w:space="0" w:color="000000"/>
              <w:right w:val="single" w:sz="6" w:space="0" w:color="000000"/>
            </w:tcBorders>
            <w:shd w:val="clear" w:color="auto" w:fill="D2D2D2"/>
          </w:tcPr>
          <w:p>
            <w:pPr/>
          </w:p>
        </w:tc>
        <w:tc>
          <w:tcPr>
            <w:tcW w:w="797" w:type="dxa"/>
            <w:gridSpan w:val="2"/>
            <w:vMerge/>
            <w:tcBorders>
              <w:left w:val="single" w:sz="8" w:space="0" w:color="D2D2D2"/>
              <w:right w:val="single" w:sz="9" w:space="0" w:color="D2D2D2"/>
            </w:tcBorders>
          </w:tcPr>
          <w:p>
            <w:pPr/>
          </w:p>
        </w:tc>
        <w:tc>
          <w:tcPr>
            <w:tcW w:w="1500" w:type="dxa"/>
            <w:gridSpan w:val="2"/>
            <w:vMerge/>
            <w:tcBorders>
              <w:left w:val="single" w:sz="6" w:space="0" w:color="000000"/>
              <w:bottom w:val="nil" w:sz="6" w:space="0" w:color="auto"/>
              <w:right w:val="single" w:sz="6" w:space="0" w:color="000000"/>
            </w:tcBorders>
            <w:shd w:val="clear" w:color="auto" w:fill="D2D2D2"/>
          </w:tcPr>
          <w:p>
            <w:pPr/>
          </w:p>
        </w:tc>
        <w:tc>
          <w:tcPr>
            <w:tcW w:w="1168" w:type="dxa"/>
            <w:gridSpan w:val="2"/>
            <w:vMerge/>
            <w:tcBorders>
              <w:left w:val="single" w:sz="8" w:space="0" w:color="D2D2D2"/>
              <w:right w:val="single" w:sz="8" w:space="0" w:color="D2D2D2"/>
            </w:tcBorders>
          </w:tcPr>
          <w:p>
            <w:pPr/>
          </w:p>
        </w:tc>
        <w:tc>
          <w:tcPr>
            <w:tcW w:w="1308"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0"/>
              <w:ind w:left="10" w:right="21"/>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0"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z w:val="18"/>
                <w:szCs w:val="18"/>
              </w:rPr>
              <w:t>）</w:t>
            </w:r>
          </w:p>
        </w:tc>
        <w:tc>
          <w:tcPr>
            <w:tcW w:w="1085" w:type="dxa"/>
            <w:gridSpan w:val="2"/>
            <w:vMerge/>
            <w:tcBorders>
              <w:left w:val="single" w:sz="9" w:space="0" w:color="D2D2D2"/>
              <w:right w:val="single" w:sz="14" w:space="0" w:color="D2D2D2"/>
            </w:tcBorders>
          </w:tcPr>
          <w:p>
            <w:pPr/>
          </w:p>
        </w:tc>
        <w:tc>
          <w:tcPr>
            <w:tcW w:w="1313" w:type="dxa"/>
            <w:gridSpan w:val="2"/>
            <w:vMerge/>
            <w:tcBorders>
              <w:left w:val="single" w:sz="6" w:space="0" w:color="000000"/>
              <w:right w:val="single" w:sz="6" w:space="0" w:color="000000"/>
            </w:tcBorders>
            <w:shd w:val="clear" w:color="auto" w:fill="D2D2D2"/>
          </w:tcPr>
          <w:p>
            <w:pPr/>
          </w:p>
        </w:tc>
        <w:tc>
          <w:tcPr>
            <w:tcW w:w="508" w:type="dxa"/>
            <w:vMerge/>
            <w:tcBorders>
              <w:left w:val="single" w:sz="14" w:space="0" w:color="D2D2D2"/>
              <w:right w:val="nil" w:sz="6" w:space="0" w:color="auto"/>
            </w:tcBorders>
          </w:tcPr>
          <w:p>
            <w:pPr/>
          </w:p>
        </w:tc>
        <w:tc>
          <w:tcPr>
            <w:tcW w:w="559" w:type="dxa"/>
            <w:tcBorders>
              <w:top w:val="nil" w:sz="6" w:space="0" w:color="auto"/>
              <w:left w:val="nil" w:sz="6" w:space="0" w:color="auto"/>
              <w:bottom w:val="nil" w:sz="6" w:space="0" w:color="auto"/>
              <w:right w:val="single" w:sz="12" w:space="0" w:color="000000"/>
            </w:tcBorders>
          </w:tcPr>
          <w:p>
            <w:pPr/>
          </w:p>
        </w:tc>
      </w:tr>
      <w:tr>
        <w:trPr>
          <w:trHeight w:val="312" w:hRule="exact"/>
        </w:trPr>
        <w:tc>
          <w:tcPr>
            <w:tcW w:w="2124" w:type="dxa"/>
            <w:vMerge/>
            <w:tcBorders>
              <w:left w:val="single" w:sz="12" w:space="0" w:color="000000"/>
              <w:bottom w:val="nil" w:sz="6" w:space="0" w:color="auto"/>
              <w:right w:val="single" w:sz="6" w:space="0" w:color="000000"/>
            </w:tcBorders>
            <w:shd w:val="clear" w:color="auto" w:fill="D2D2D2"/>
          </w:tcPr>
          <w:p>
            <w:pPr/>
          </w:p>
        </w:tc>
        <w:tc>
          <w:tcPr>
            <w:tcW w:w="797" w:type="dxa"/>
            <w:gridSpan w:val="2"/>
            <w:vMerge/>
            <w:tcBorders>
              <w:left w:val="single" w:sz="8" w:space="0" w:color="D2D2D2"/>
              <w:right w:val="single" w:sz="9" w:space="0" w:color="D2D2D2"/>
            </w:tcBorders>
          </w:tcPr>
          <w:p>
            <w:pPr/>
          </w:p>
        </w:tc>
        <w:tc>
          <w:tcPr>
            <w:tcW w:w="1500"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0"/>
              <w:ind w:left="20" w:right="204"/>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68" w:type="dxa"/>
            <w:gridSpan w:val="2"/>
            <w:vMerge/>
            <w:tcBorders>
              <w:left w:val="single" w:sz="8" w:space="0" w:color="D2D2D2"/>
              <w:right w:val="single" w:sz="8" w:space="0" w:color="D2D2D2"/>
            </w:tcBorders>
          </w:tcPr>
          <w:p>
            <w:pPr/>
          </w:p>
        </w:tc>
        <w:tc>
          <w:tcPr>
            <w:tcW w:w="1308" w:type="dxa"/>
            <w:gridSpan w:val="2"/>
            <w:vMerge/>
            <w:tcBorders>
              <w:left w:val="single" w:sz="6" w:space="0" w:color="000000"/>
              <w:right w:val="single" w:sz="6" w:space="0" w:color="000000"/>
            </w:tcBorders>
            <w:shd w:val="clear" w:color="auto" w:fill="D2D2D2"/>
          </w:tcPr>
          <w:p>
            <w:pPr/>
          </w:p>
        </w:tc>
        <w:tc>
          <w:tcPr>
            <w:tcW w:w="1085" w:type="dxa"/>
            <w:gridSpan w:val="2"/>
            <w:vMerge/>
            <w:tcBorders>
              <w:left w:val="single" w:sz="9" w:space="0" w:color="D2D2D2"/>
              <w:right w:val="single" w:sz="14" w:space="0" w:color="D2D2D2"/>
            </w:tcBorders>
          </w:tcPr>
          <w:p>
            <w:pPr/>
          </w:p>
        </w:tc>
        <w:tc>
          <w:tcPr>
            <w:tcW w:w="1313" w:type="dxa"/>
            <w:gridSpan w:val="2"/>
            <w:vMerge/>
            <w:tcBorders>
              <w:left w:val="single" w:sz="6" w:space="0" w:color="000000"/>
              <w:right w:val="single" w:sz="6" w:space="0" w:color="000000"/>
            </w:tcBorders>
            <w:shd w:val="clear" w:color="auto" w:fill="D2D2D2"/>
          </w:tcPr>
          <w:p>
            <w:pPr/>
          </w:p>
        </w:tc>
        <w:tc>
          <w:tcPr>
            <w:tcW w:w="508" w:type="dxa"/>
            <w:vMerge/>
            <w:tcBorders>
              <w:left w:val="single" w:sz="14" w:space="0" w:color="D2D2D2"/>
              <w:right w:val="nil" w:sz="6" w:space="0" w:color="auto"/>
            </w:tcBorders>
          </w:tcPr>
          <w:p>
            <w:pPr/>
          </w:p>
        </w:tc>
        <w:tc>
          <w:tcPr>
            <w:tcW w:w="559" w:type="dxa"/>
            <w:tcBorders>
              <w:top w:val="nil" w:sz="6" w:space="0" w:color="auto"/>
              <w:left w:val="nil" w:sz="6" w:space="0" w:color="auto"/>
              <w:bottom w:val="nil" w:sz="6" w:space="0" w:color="auto"/>
              <w:right w:val="single" w:sz="12" w:space="0" w:color="000000"/>
            </w:tcBorders>
          </w:tcPr>
          <w:p>
            <w:pPr/>
          </w:p>
        </w:tc>
      </w:tr>
      <w:tr>
        <w:trPr>
          <w:trHeight w:val="312" w:hRule="exact"/>
        </w:trPr>
        <w:tc>
          <w:tcPr>
            <w:tcW w:w="2124"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报告期末普通股股东总数</w:t>
            </w:r>
          </w:p>
        </w:tc>
        <w:tc>
          <w:tcPr>
            <w:tcW w:w="797" w:type="dxa"/>
            <w:gridSpan w:val="2"/>
            <w:vMerge/>
            <w:tcBorders>
              <w:left w:val="single" w:sz="8" w:space="0" w:color="D2D2D2"/>
              <w:right w:val="single" w:sz="9" w:space="0" w:color="D2D2D2"/>
            </w:tcBorders>
          </w:tcPr>
          <w:p>
            <w:pPr/>
          </w:p>
        </w:tc>
        <w:tc>
          <w:tcPr>
            <w:tcW w:w="1500" w:type="dxa"/>
            <w:gridSpan w:val="2"/>
            <w:vMerge/>
            <w:tcBorders>
              <w:left w:val="single" w:sz="6" w:space="0" w:color="000000"/>
              <w:right w:val="single" w:sz="6" w:space="0" w:color="000000"/>
            </w:tcBorders>
            <w:shd w:val="clear" w:color="auto" w:fill="D2D2D2"/>
          </w:tcPr>
          <w:p>
            <w:pPr/>
          </w:p>
        </w:tc>
        <w:tc>
          <w:tcPr>
            <w:tcW w:w="1168" w:type="dxa"/>
            <w:gridSpan w:val="2"/>
            <w:vMerge/>
            <w:tcBorders>
              <w:left w:val="single" w:sz="8" w:space="0" w:color="D2D2D2"/>
              <w:right w:val="single" w:sz="8" w:space="0" w:color="D2D2D2"/>
            </w:tcBorders>
          </w:tcPr>
          <w:p>
            <w:pPr/>
          </w:p>
        </w:tc>
        <w:tc>
          <w:tcPr>
            <w:tcW w:w="1308" w:type="dxa"/>
            <w:gridSpan w:val="2"/>
            <w:vMerge/>
            <w:tcBorders>
              <w:left w:val="single" w:sz="6" w:space="0" w:color="000000"/>
              <w:right w:val="single" w:sz="6" w:space="0" w:color="000000"/>
            </w:tcBorders>
            <w:shd w:val="clear" w:color="auto" w:fill="D2D2D2"/>
          </w:tcPr>
          <w:p>
            <w:pPr/>
          </w:p>
        </w:tc>
        <w:tc>
          <w:tcPr>
            <w:tcW w:w="1085" w:type="dxa"/>
            <w:gridSpan w:val="2"/>
            <w:vMerge/>
            <w:tcBorders>
              <w:left w:val="single" w:sz="9" w:space="0" w:color="D2D2D2"/>
              <w:right w:val="single" w:sz="14" w:space="0" w:color="D2D2D2"/>
            </w:tcBorders>
          </w:tcPr>
          <w:p>
            <w:pPr/>
          </w:p>
        </w:tc>
        <w:tc>
          <w:tcPr>
            <w:tcW w:w="1313" w:type="dxa"/>
            <w:gridSpan w:val="2"/>
            <w:vMerge/>
            <w:tcBorders>
              <w:left w:val="single" w:sz="6" w:space="0" w:color="000000"/>
              <w:right w:val="single" w:sz="6" w:space="0" w:color="000000"/>
            </w:tcBorders>
            <w:shd w:val="clear" w:color="auto" w:fill="D2D2D2"/>
          </w:tcPr>
          <w:p>
            <w:pPr/>
          </w:p>
        </w:tc>
        <w:tc>
          <w:tcPr>
            <w:tcW w:w="508" w:type="dxa"/>
            <w:vMerge/>
            <w:tcBorders>
              <w:left w:val="single" w:sz="14" w:space="0" w:color="D2D2D2"/>
              <w:right w:val="nil" w:sz="6" w:space="0" w:color="auto"/>
            </w:tcBorders>
          </w:tcPr>
          <w:p>
            <w:pPr/>
          </w:p>
        </w:tc>
        <w:tc>
          <w:tcPr>
            <w:tcW w:w="559" w:type="dxa"/>
            <w:tcBorders>
              <w:top w:val="nil" w:sz="6" w:space="0" w:color="auto"/>
              <w:left w:val="nil" w:sz="6" w:space="0" w:color="auto"/>
              <w:bottom w:val="nil" w:sz="6" w:space="0" w:color="auto"/>
              <w:right w:val="single" w:sz="12"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w:t>
            </w:r>
          </w:p>
        </w:tc>
      </w:tr>
      <w:tr>
        <w:trPr>
          <w:trHeight w:val="312" w:hRule="exact"/>
        </w:trPr>
        <w:tc>
          <w:tcPr>
            <w:tcW w:w="2124" w:type="dxa"/>
            <w:vMerge w:val="restart"/>
            <w:tcBorders>
              <w:top w:val="nil" w:sz="6" w:space="0" w:color="auto"/>
              <w:left w:val="single" w:sz="12" w:space="0" w:color="000000"/>
              <w:right w:val="single" w:sz="6" w:space="0" w:color="000000"/>
            </w:tcBorders>
            <w:shd w:val="clear" w:color="auto" w:fill="D2D2D2"/>
          </w:tcPr>
          <w:p>
            <w:pPr/>
          </w:p>
        </w:tc>
        <w:tc>
          <w:tcPr>
            <w:tcW w:w="797" w:type="dxa"/>
            <w:gridSpan w:val="2"/>
            <w:vMerge/>
            <w:tcBorders>
              <w:left w:val="single" w:sz="8" w:space="0" w:color="D2D2D2"/>
              <w:right w:val="single" w:sz="9" w:space="0" w:color="D2D2D2"/>
            </w:tcBorders>
          </w:tcPr>
          <w:p>
            <w:pPr/>
          </w:p>
        </w:tc>
        <w:tc>
          <w:tcPr>
            <w:tcW w:w="1500" w:type="dxa"/>
            <w:gridSpan w:val="2"/>
            <w:vMerge/>
            <w:tcBorders>
              <w:left w:val="single" w:sz="6" w:space="0" w:color="000000"/>
              <w:bottom w:val="nil" w:sz="6" w:space="0" w:color="auto"/>
              <w:right w:val="single" w:sz="6" w:space="0" w:color="000000"/>
            </w:tcBorders>
            <w:shd w:val="clear" w:color="auto" w:fill="D2D2D2"/>
          </w:tcPr>
          <w:p>
            <w:pPr/>
          </w:p>
        </w:tc>
        <w:tc>
          <w:tcPr>
            <w:tcW w:w="1168" w:type="dxa"/>
            <w:gridSpan w:val="2"/>
            <w:vMerge/>
            <w:tcBorders>
              <w:left w:val="single" w:sz="8" w:space="0" w:color="D2D2D2"/>
              <w:right w:val="single" w:sz="8" w:space="0" w:color="D2D2D2"/>
            </w:tcBorders>
          </w:tcPr>
          <w:p>
            <w:pPr/>
          </w:p>
        </w:tc>
        <w:tc>
          <w:tcPr>
            <w:tcW w:w="1308" w:type="dxa"/>
            <w:gridSpan w:val="2"/>
            <w:vMerge/>
            <w:tcBorders>
              <w:left w:val="single" w:sz="6" w:space="0" w:color="000000"/>
              <w:right w:val="single" w:sz="6" w:space="0" w:color="000000"/>
            </w:tcBorders>
            <w:shd w:val="clear" w:color="auto" w:fill="D2D2D2"/>
          </w:tcPr>
          <w:p>
            <w:pPr/>
          </w:p>
        </w:tc>
        <w:tc>
          <w:tcPr>
            <w:tcW w:w="1085" w:type="dxa"/>
            <w:gridSpan w:val="2"/>
            <w:vMerge/>
            <w:tcBorders>
              <w:left w:val="single" w:sz="9" w:space="0" w:color="D2D2D2"/>
              <w:right w:val="single" w:sz="14" w:space="0" w:color="D2D2D2"/>
            </w:tcBorders>
          </w:tcPr>
          <w:p>
            <w:pPr/>
          </w:p>
        </w:tc>
        <w:tc>
          <w:tcPr>
            <w:tcW w:w="1313" w:type="dxa"/>
            <w:gridSpan w:val="2"/>
            <w:vMerge/>
            <w:tcBorders>
              <w:left w:val="single" w:sz="6" w:space="0" w:color="000000"/>
              <w:right w:val="single" w:sz="6" w:space="0" w:color="000000"/>
            </w:tcBorders>
            <w:shd w:val="clear" w:color="auto" w:fill="D2D2D2"/>
          </w:tcPr>
          <w:p>
            <w:pPr/>
          </w:p>
        </w:tc>
        <w:tc>
          <w:tcPr>
            <w:tcW w:w="508" w:type="dxa"/>
            <w:vMerge/>
            <w:tcBorders>
              <w:left w:val="single" w:sz="14" w:space="0" w:color="D2D2D2"/>
              <w:right w:val="nil" w:sz="6" w:space="0" w:color="auto"/>
            </w:tcBorders>
          </w:tcPr>
          <w:p>
            <w:pPr/>
          </w:p>
        </w:tc>
        <w:tc>
          <w:tcPr>
            <w:tcW w:w="559" w:type="dxa"/>
            <w:tcBorders>
              <w:top w:val="nil" w:sz="6" w:space="0" w:color="auto"/>
              <w:left w:val="nil" w:sz="6" w:space="0" w:color="auto"/>
              <w:bottom w:val="nil" w:sz="6" w:space="0" w:color="auto"/>
              <w:right w:val="single" w:sz="12" w:space="0" w:color="000000"/>
            </w:tcBorders>
          </w:tcPr>
          <w:p>
            <w:pPr/>
          </w:p>
        </w:tc>
      </w:tr>
      <w:tr>
        <w:trPr>
          <w:trHeight w:val="156" w:hRule="exact"/>
        </w:trPr>
        <w:tc>
          <w:tcPr>
            <w:tcW w:w="2124" w:type="dxa"/>
            <w:vMerge/>
            <w:tcBorders>
              <w:left w:val="single" w:sz="12" w:space="0" w:color="000000"/>
              <w:right w:val="single" w:sz="6" w:space="0" w:color="000000"/>
            </w:tcBorders>
            <w:shd w:val="clear" w:color="auto" w:fill="D2D2D2"/>
          </w:tcPr>
          <w:p>
            <w:pPr/>
          </w:p>
        </w:tc>
        <w:tc>
          <w:tcPr>
            <w:tcW w:w="797" w:type="dxa"/>
            <w:gridSpan w:val="2"/>
            <w:vMerge/>
            <w:tcBorders>
              <w:left w:val="single" w:sz="8" w:space="0" w:color="D2D2D2"/>
              <w:right w:val="single" w:sz="9" w:space="0" w:color="D2D2D2"/>
            </w:tcBorders>
          </w:tcPr>
          <w:p>
            <w:pPr/>
          </w:p>
        </w:tc>
        <w:tc>
          <w:tcPr>
            <w:tcW w:w="1500" w:type="dxa"/>
            <w:gridSpan w:val="2"/>
            <w:vMerge w:val="restart"/>
            <w:tcBorders>
              <w:top w:val="nil" w:sz="6" w:space="0" w:color="auto"/>
              <w:left w:val="single" w:sz="6" w:space="0" w:color="000000"/>
              <w:right w:val="single" w:sz="6" w:space="0" w:color="000000"/>
            </w:tcBorders>
            <w:shd w:val="clear" w:color="auto" w:fill="D2D2D2"/>
          </w:tcPr>
          <w:p>
            <w:pPr/>
          </w:p>
        </w:tc>
        <w:tc>
          <w:tcPr>
            <w:tcW w:w="1168" w:type="dxa"/>
            <w:gridSpan w:val="2"/>
            <w:vMerge/>
            <w:tcBorders>
              <w:left w:val="single" w:sz="8" w:space="0" w:color="D2D2D2"/>
              <w:right w:val="single" w:sz="8" w:space="0" w:color="D2D2D2"/>
            </w:tcBorders>
          </w:tcPr>
          <w:p>
            <w:pPr/>
          </w:p>
        </w:tc>
        <w:tc>
          <w:tcPr>
            <w:tcW w:w="1308" w:type="dxa"/>
            <w:gridSpan w:val="2"/>
            <w:vMerge/>
            <w:tcBorders>
              <w:left w:val="single" w:sz="6" w:space="0" w:color="000000"/>
              <w:bottom w:val="nil" w:sz="6" w:space="0" w:color="auto"/>
              <w:right w:val="single" w:sz="6" w:space="0" w:color="000000"/>
            </w:tcBorders>
            <w:shd w:val="clear" w:color="auto" w:fill="D2D2D2"/>
          </w:tcPr>
          <w:p>
            <w:pPr/>
          </w:p>
        </w:tc>
        <w:tc>
          <w:tcPr>
            <w:tcW w:w="1085" w:type="dxa"/>
            <w:gridSpan w:val="2"/>
            <w:vMerge/>
            <w:tcBorders>
              <w:left w:val="single" w:sz="9" w:space="0" w:color="D2D2D2"/>
              <w:right w:val="single" w:sz="14" w:space="0" w:color="D2D2D2"/>
            </w:tcBorders>
          </w:tcPr>
          <w:p>
            <w:pPr/>
          </w:p>
        </w:tc>
        <w:tc>
          <w:tcPr>
            <w:tcW w:w="1313" w:type="dxa"/>
            <w:gridSpan w:val="2"/>
            <w:vMerge/>
            <w:tcBorders>
              <w:left w:val="single" w:sz="6" w:space="0" w:color="000000"/>
              <w:right w:val="single" w:sz="6" w:space="0" w:color="000000"/>
            </w:tcBorders>
            <w:shd w:val="clear" w:color="auto" w:fill="D2D2D2"/>
          </w:tcPr>
          <w:p>
            <w:pPr/>
          </w:p>
        </w:tc>
        <w:tc>
          <w:tcPr>
            <w:tcW w:w="508" w:type="dxa"/>
            <w:vMerge/>
            <w:tcBorders>
              <w:left w:val="single" w:sz="14" w:space="0" w:color="D2D2D2"/>
              <w:right w:val="nil" w:sz="6" w:space="0" w:color="auto"/>
            </w:tcBorders>
          </w:tcPr>
          <w:p>
            <w:pPr/>
          </w:p>
        </w:tc>
        <w:tc>
          <w:tcPr>
            <w:tcW w:w="559" w:type="dxa"/>
            <w:tcBorders>
              <w:top w:val="nil" w:sz="6" w:space="0" w:color="auto"/>
              <w:left w:val="nil" w:sz="6" w:space="0" w:color="auto"/>
              <w:bottom w:val="nil" w:sz="6" w:space="0" w:color="auto"/>
              <w:right w:val="single" w:sz="12" w:space="0" w:color="000000"/>
            </w:tcBorders>
          </w:tcPr>
          <w:p>
            <w:pPr/>
          </w:p>
        </w:tc>
      </w:tr>
      <w:tr>
        <w:trPr>
          <w:trHeight w:val="170" w:hRule="exact"/>
        </w:trPr>
        <w:tc>
          <w:tcPr>
            <w:tcW w:w="2124" w:type="dxa"/>
            <w:vMerge/>
            <w:tcBorders>
              <w:left w:val="single" w:sz="12" w:space="0" w:color="000000"/>
              <w:bottom w:val="single" w:sz="6" w:space="0" w:color="000000"/>
              <w:right w:val="single" w:sz="6" w:space="0" w:color="000000"/>
            </w:tcBorders>
            <w:shd w:val="clear" w:color="auto" w:fill="D2D2D2"/>
          </w:tcPr>
          <w:p>
            <w:pPr/>
          </w:p>
        </w:tc>
        <w:tc>
          <w:tcPr>
            <w:tcW w:w="797" w:type="dxa"/>
            <w:gridSpan w:val="2"/>
            <w:vMerge/>
            <w:tcBorders>
              <w:left w:val="single" w:sz="8" w:space="0" w:color="D2D2D2"/>
              <w:bottom w:val="single" w:sz="6" w:space="0" w:color="000000"/>
              <w:right w:val="single" w:sz="9" w:space="0" w:color="D2D2D2"/>
            </w:tcBorders>
          </w:tcPr>
          <w:p>
            <w:pPr/>
          </w:p>
        </w:tc>
        <w:tc>
          <w:tcPr>
            <w:tcW w:w="1500" w:type="dxa"/>
            <w:gridSpan w:val="2"/>
            <w:vMerge/>
            <w:tcBorders>
              <w:left w:val="single" w:sz="6" w:space="0" w:color="000000"/>
              <w:bottom w:val="single" w:sz="6" w:space="0" w:color="000000"/>
              <w:right w:val="single" w:sz="6" w:space="0" w:color="000000"/>
            </w:tcBorders>
            <w:shd w:val="clear" w:color="auto" w:fill="D2D2D2"/>
          </w:tcPr>
          <w:p>
            <w:pPr/>
          </w:p>
        </w:tc>
        <w:tc>
          <w:tcPr>
            <w:tcW w:w="1168" w:type="dxa"/>
            <w:gridSpan w:val="2"/>
            <w:vMerge/>
            <w:tcBorders>
              <w:left w:val="single" w:sz="8" w:space="0" w:color="D2D2D2"/>
              <w:bottom w:val="single" w:sz="6" w:space="0" w:color="000000"/>
              <w:right w:val="single" w:sz="8" w:space="0" w:color="D2D2D2"/>
            </w:tcBorders>
          </w:tcPr>
          <w:p>
            <w:pPr/>
          </w:p>
        </w:tc>
        <w:tc>
          <w:tcPr>
            <w:tcW w:w="1308"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085" w:type="dxa"/>
            <w:gridSpan w:val="2"/>
            <w:vMerge/>
            <w:tcBorders>
              <w:left w:val="single" w:sz="9" w:space="0" w:color="D2D2D2"/>
              <w:bottom w:val="single" w:sz="6" w:space="0" w:color="000000"/>
              <w:right w:val="single" w:sz="14" w:space="0" w:color="D2D2D2"/>
            </w:tcBorders>
          </w:tcPr>
          <w:p>
            <w:pPr/>
          </w:p>
        </w:tc>
        <w:tc>
          <w:tcPr>
            <w:tcW w:w="1313" w:type="dxa"/>
            <w:gridSpan w:val="2"/>
            <w:vMerge/>
            <w:tcBorders>
              <w:left w:val="single" w:sz="6" w:space="0" w:color="000000"/>
              <w:bottom w:val="single" w:sz="6" w:space="0" w:color="000000"/>
              <w:right w:val="single" w:sz="6" w:space="0" w:color="000000"/>
            </w:tcBorders>
            <w:shd w:val="clear" w:color="auto" w:fill="D2D2D2"/>
          </w:tcPr>
          <w:p>
            <w:pPr/>
          </w:p>
        </w:tc>
        <w:tc>
          <w:tcPr>
            <w:tcW w:w="508" w:type="dxa"/>
            <w:vMerge/>
            <w:tcBorders>
              <w:left w:val="single" w:sz="14" w:space="0" w:color="D2D2D2"/>
              <w:bottom w:val="single" w:sz="6" w:space="0" w:color="000000"/>
              <w:right w:val="nil" w:sz="6" w:space="0" w:color="auto"/>
            </w:tcBorders>
          </w:tcPr>
          <w:p>
            <w:pPr/>
          </w:p>
        </w:tc>
        <w:tc>
          <w:tcPr>
            <w:tcW w:w="559" w:type="dxa"/>
            <w:tcBorders>
              <w:top w:val="nil" w:sz="6" w:space="0" w:color="auto"/>
              <w:left w:val="nil" w:sz="6" w:space="0" w:color="auto"/>
              <w:bottom w:val="single" w:sz="6" w:space="0" w:color="000000"/>
              <w:right w:val="single" w:sz="12" w:space="0" w:color="000000"/>
            </w:tcBorders>
          </w:tcPr>
          <w:p>
            <w:pPr/>
          </w:p>
        </w:tc>
      </w:tr>
      <w:tr>
        <w:trPr>
          <w:trHeight w:val="320" w:hRule="exact"/>
        </w:trPr>
        <w:tc>
          <w:tcPr>
            <w:tcW w:w="10361" w:type="dxa"/>
            <w:gridSpan w:val="15"/>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171" w:hRule="exact"/>
        </w:trPr>
        <w:tc>
          <w:tcPr>
            <w:tcW w:w="2259" w:type="dxa"/>
            <w:gridSpan w:val="2"/>
            <w:vMerge w:val="restart"/>
            <w:tcBorders>
              <w:top w:val="single" w:sz="6" w:space="0" w:color="000000"/>
              <w:left w:val="single" w:sz="12" w:space="0" w:color="000000"/>
              <w:right w:val="single" w:sz="6" w:space="0" w:color="000000"/>
            </w:tcBorders>
            <w:shd w:val="clear" w:color="auto" w:fill="D2D2D2"/>
          </w:tcPr>
          <w:p>
            <w:pPr/>
          </w:p>
        </w:tc>
        <w:tc>
          <w:tcPr>
            <w:tcW w:w="1411" w:type="dxa"/>
            <w:gridSpan w:val="2"/>
            <w:vMerge w:val="restart"/>
            <w:tcBorders>
              <w:top w:val="single" w:sz="6" w:space="0" w:color="000000"/>
              <w:left w:val="single" w:sz="6" w:space="0" w:color="000000"/>
              <w:right w:val="single" w:sz="6" w:space="0" w:color="000000"/>
            </w:tcBorders>
            <w:shd w:val="clear" w:color="auto" w:fill="D2D2D2"/>
          </w:tcPr>
          <w:p>
            <w:pPr/>
          </w:p>
        </w:tc>
        <w:tc>
          <w:tcPr>
            <w:tcW w:w="750" w:type="dxa"/>
            <w:vMerge w:val="restart"/>
            <w:tcBorders>
              <w:top w:val="single" w:sz="6" w:space="0" w:color="000000"/>
              <w:left w:val="single" w:sz="6" w:space="0" w:color="000000"/>
              <w:right w:val="single" w:sz="6" w:space="0" w:color="000000"/>
            </w:tcBorders>
            <w:shd w:val="clear" w:color="auto" w:fill="D2D2D2"/>
          </w:tcPr>
          <w:p>
            <w:pPr/>
          </w:p>
        </w:tc>
        <w:tc>
          <w:tcPr>
            <w:tcW w:w="1048"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8"/>
              <w:ind w:left="109" w:right="10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8"/>
              <w:ind w:left="38" w:right="37"/>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31" w:type="dxa"/>
            <w:gridSpan w:val="3"/>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11"/>
              <w:ind w:left="17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2259" w:type="dxa"/>
            <w:gridSpan w:val="2"/>
            <w:vMerge/>
            <w:tcBorders>
              <w:left w:val="single" w:sz="12" w:space="0" w:color="000000"/>
              <w:bottom w:val="nil" w:sz="6" w:space="0" w:color="auto"/>
              <w:right w:val="single" w:sz="6" w:space="0" w:color="000000"/>
            </w:tcBorders>
            <w:shd w:val="clear" w:color="auto" w:fill="D2D2D2"/>
          </w:tcPr>
          <w:p>
            <w:pPr/>
          </w:p>
        </w:tc>
        <w:tc>
          <w:tcPr>
            <w:tcW w:w="1411" w:type="dxa"/>
            <w:gridSpan w:val="2"/>
            <w:vMerge/>
            <w:tcBorders>
              <w:left w:val="single" w:sz="6" w:space="0" w:color="000000"/>
              <w:bottom w:val="nil" w:sz="6" w:space="0" w:color="auto"/>
              <w:right w:val="single" w:sz="6" w:space="0" w:color="000000"/>
            </w:tcBorders>
            <w:shd w:val="clear" w:color="auto" w:fill="D2D2D2"/>
          </w:tcPr>
          <w:p>
            <w:pPr/>
          </w:p>
        </w:tc>
        <w:tc>
          <w:tcPr>
            <w:tcW w:w="750" w:type="dxa"/>
            <w:vMerge/>
            <w:tcBorders>
              <w:left w:val="single" w:sz="6" w:space="0" w:color="000000"/>
              <w:bottom w:val="nil" w:sz="6" w:space="0" w:color="auto"/>
              <w:right w:val="single" w:sz="6" w:space="0" w:color="000000"/>
            </w:tcBorders>
            <w:shd w:val="clear" w:color="auto" w:fill="D2D2D2"/>
          </w:tcPr>
          <w:p>
            <w:pPr/>
          </w:p>
        </w:tc>
        <w:tc>
          <w:tcPr>
            <w:tcW w:w="1048"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0"/>
              <w:ind w:left="265" w:right="4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4"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0"/>
              <w:ind w:left="109" w:right="10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4" w:type="dxa"/>
            <w:gridSpan w:val="2"/>
            <w:vMerge/>
            <w:tcBorders>
              <w:left w:val="single" w:sz="6" w:space="0" w:color="000000"/>
              <w:right w:val="single" w:sz="6" w:space="0" w:color="000000"/>
            </w:tcBorders>
            <w:shd w:val="clear" w:color="auto" w:fill="D2D2D2"/>
          </w:tcPr>
          <w:p>
            <w:pPr/>
          </w:p>
        </w:tc>
        <w:tc>
          <w:tcPr>
            <w:tcW w:w="992" w:type="dxa"/>
            <w:gridSpan w:val="2"/>
            <w:vMerge/>
            <w:tcBorders>
              <w:left w:val="single" w:sz="6" w:space="0" w:color="000000"/>
              <w:right w:val="single" w:sz="6" w:space="0" w:color="000000"/>
            </w:tcBorders>
            <w:shd w:val="clear" w:color="auto" w:fill="D2D2D2"/>
          </w:tcPr>
          <w:p>
            <w:pPr/>
          </w:p>
        </w:tc>
        <w:tc>
          <w:tcPr>
            <w:tcW w:w="1631" w:type="dxa"/>
            <w:gridSpan w:val="3"/>
            <w:vMerge/>
            <w:tcBorders>
              <w:left w:val="single" w:sz="6" w:space="0" w:color="000000"/>
              <w:bottom w:val="single" w:sz="6" w:space="0" w:color="000000"/>
              <w:right w:val="single" w:sz="12" w:space="0" w:color="000000"/>
            </w:tcBorders>
            <w:shd w:val="clear" w:color="auto" w:fill="D2D2D2"/>
          </w:tcPr>
          <w:p>
            <w:pPr/>
          </w:p>
        </w:tc>
      </w:tr>
      <w:tr>
        <w:trPr>
          <w:trHeight w:val="163" w:hRule="exact"/>
        </w:trPr>
        <w:tc>
          <w:tcPr>
            <w:tcW w:w="2259" w:type="dxa"/>
            <w:gridSpan w:val="2"/>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33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26" w:right="-12"/>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48" w:type="dxa"/>
            <w:vMerge/>
            <w:tcBorders>
              <w:left w:val="single" w:sz="6" w:space="0" w:color="000000"/>
              <w:right w:val="single" w:sz="6" w:space="0" w:color="000000"/>
            </w:tcBorders>
            <w:shd w:val="clear" w:color="auto" w:fill="D2D2D2"/>
          </w:tcPr>
          <w:p>
            <w:pPr/>
          </w:p>
        </w:tc>
        <w:tc>
          <w:tcPr>
            <w:tcW w:w="1134" w:type="dxa"/>
            <w:gridSpan w:val="2"/>
            <w:vMerge/>
            <w:tcBorders>
              <w:left w:val="single" w:sz="6" w:space="0" w:color="000000"/>
              <w:right w:val="single" w:sz="6" w:space="0" w:color="000000"/>
            </w:tcBorders>
            <w:shd w:val="clear" w:color="auto" w:fill="D2D2D2"/>
          </w:tcPr>
          <w:p>
            <w:pPr/>
          </w:p>
        </w:tc>
        <w:tc>
          <w:tcPr>
            <w:tcW w:w="1134" w:type="dxa"/>
            <w:gridSpan w:val="2"/>
            <w:vMerge/>
            <w:tcBorders>
              <w:left w:val="single" w:sz="6" w:space="0" w:color="000000"/>
              <w:right w:val="single" w:sz="6" w:space="0" w:color="000000"/>
            </w:tcBorders>
            <w:shd w:val="clear" w:color="auto" w:fill="D2D2D2"/>
          </w:tcPr>
          <w:p>
            <w:pPr/>
          </w:p>
        </w:tc>
        <w:tc>
          <w:tcPr>
            <w:tcW w:w="992" w:type="dxa"/>
            <w:gridSpan w:val="2"/>
            <w:vMerge/>
            <w:tcBorders>
              <w:left w:val="single" w:sz="6" w:space="0" w:color="000000"/>
              <w:right w:val="single" w:sz="6" w:space="0" w:color="000000"/>
            </w:tcBorders>
            <w:shd w:val="clear" w:color="auto" w:fill="D2D2D2"/>
          </w:tcPr>
          <w:p>
            <w:pPr/>
          </w:p>
        </w:tc>
        <w:tc>
          <w:tcPr>
            <w:tcW w:w="565"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0"/>
              <w:ind w:left="97" w:right="92"/>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67" w:type="dxa"/>
            <w:gridSpan w:val="2"/>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49" w:hRule="exact"/>
        </w:trPr>
        <w:tc>
          <w:tcPr>
            <w:tcW w:w="2259" w:type="dxa"/>
            <w:gridSpan w:val="2"/>
            <w:vMerge/>
            <w:tcBorders>
              <w:left w:val="single" w:sz="12" w:space="0" w:color="000000"/>
              <w:bottom w:val="nil" w:sz="6" w:space="0" w:color="auto"/>
              <w:right w:val="single" w:sz="6" w:space="0" w:color="000000"/>
            </w:tcBorders>
            <w:shd w:val="clear" w:color="auto" w:fill="D2D2D2"/>
          </w:tcPr>
          <w:p>
            <w:pPr/>
          </w:p>
        </w:tc>
        <w:tc>
          <w:tcPr>
            <w:tcW w:w="1411" w:type="dxa"/>
            <w:gridSpan w:val="2"/>
            <w:vMerge/>
            <w:tcBorders>
              <w:left w:val="single" w:sz="6" w:space="0" w:color="000000"/>
              <w:bottom w:val="nil" w:sz="6" w:space="0" w:color="auto"/>
              <w:right w:val="single" w:sz="6" w:space="0" w:color="000000"/>
            </w:tcBorders>
            <w:shd w:val="clear" w:color="auto" w:fill="D2D2D2"/>
          </w:tcPr>
          <w:p>
            <w:pPr/>
          </w:p>
        </w:tc>
        <w:tc>
          <w:tcPr>
            <w:tcW w:w="750" w:type="dxa"/>
            <w:vMerge/>
            <w:tcBorders>
              <w:left w:val="single" w:sz="6" w:space="0" w:color="000000"/>
              <w:bottom w:val="nil" w:sz="6" w:space="0" w:color="auto"/>
              <w:right w:val="single" w:sz="6" w:space="0" w:color="000000"/>
            </w:tcBorders>
            <w:shd w:val="clear" w:color="auto" w:fill="D2D2D2"/>
          </w:tcPr>
          <w:p>
            <w:pPr/>
          </w:p>
        </w:tc>
        <w:tc>
          <w:tcPr>
            <w:tcW w:w="1048" w:type="dxa"/>
            <w:vMerge/>
            <w:tcBorders>
              <w:left w:val="single" w:sz="6" w:space="0" w:color="000000"/>
              <w:right w:val="single" w:sz="6" w:space="0" w:color="000000"/>
            </w:tcBorders>
            <w:shd w:val="clear" w:color="auto" w:fill="D2D2D2"/>
          </w:tcPr>
          <w:p>
            <w:pPr/>
          </w:p>
        </w:tc>
        <w:tc>
          <w:tcPr>
            <w:tcW w:w="1134" w:type="dxa"/>
            <w:gridSpan w:val="2"/>
            <w:vMerge/>
            <w:tcBorders>
              <w:left w:val="single" w:sz="6" w:space="0" w:color="000000"/>
              <w:right w:val="single" w:sz="6" w:space="0" w:color="000000"/>
            </w:tcBorders>
            <w:shd w:val="clear" w:color="auto" w:fill="D2D2D2"/>
          </w:tcPr>
          <w:p>
            <w:pPr/>
          </w:p>
        </w:tc>
        <w:tc>
          <w:tcPr>
            <w:tcW w:w="1134" w:type="dxa"/>
            <w:gridSpan w:val="2"/>
            <w:vMerge/>
            <w:tcBorders>
              <w:left w:val="single" w:sz="6" w:space="0" w:color="000000"/>
              <w:right w:val="single" w:sz="6" w:space="0" w:color="000000"/>
            </w:tcBorders>
            <w:shd w:val="clear" w:color="auto" w:fill="D2D2D2"/>
          </w:tcPr>
          <w:p>
            <w:pPr/>
          </w:p>
        </w:tc>
        <w:tc>
          <w:tcPr>
            <w:tcW w:w="992" w:type="dxa"/>
            <w:gridSpan w:val="2"/>
            <w:vMerge/>
            <w:tcBorders>
              <w:left w:val="single" w:sz="6" w:space="0" w:color="000000"/>
              <w:right w:val="single" w:sz="6" w:space="0" w:color="000000"/>
            </w:tcBorders>
            <w:shd w:val="clear" w:color="auto" w:fill="D2D2D2"/>
          </w:tcPr>
          <w:p>
            <w:pPr/>
          </w:p>
        </w:tc>
        <w:tc>
          <w:tcPr>
            <w:tcW w:w="565" w:type="dxa"/>
            <w:vMerge/>
            <w:tcBorders>
              <w:left w:val="single" w:sz="6" w:space="0" w:color="000000"/>
              <w:right w:val="single" w:sz="6" w:space="0" w:color="000000"/>
            </w:tcBorders>
            <w:shd w:val="clear" w:color="auto" w:fill="D2D2D2"/>
          </w:tcPr>
          <w:p>
            <w:pPr/>
          </w:p>
        </w:tc>
        <w:tc>
          <w:tcPr>
            <w:tcW w:w="1067" w:type="dxa"/>
            <w:gridSpan w:val="2"/>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10"/>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60" w:hRule="exact"/>
        </w:trPr>
        <w:tc>
          <w:tcPr>
            <w:tcW w:w="2259" w:type="dxa"/>
            <w:gridSpan w:val="2"/>
            <w:vMerge w:val="restart"/>
            <w:tcBorders>
              <w:top w:val="nil" w:sz="6" w:space="0" w:color="auto"/>
              <w:left w:val="single" w:sz="12" w:space="0" w:color="000000"/>
              <w:right w:val="single" w:sz="6" w:space="0" w:color="000000"/>
            </w:tcBorders>
            <w:shd w:val="clear" w:color="auto" w:fill="D2D2D2"/>
          </w:tcPr>
          <w:p>
            <w:pPr/>
          </w:p>
        </w:tc>
        <w:tc>
          <w:tcPr>
            <w:tcW w:w="1411" w:type="dxa"/>
            <w:gridSpan w:val="2"/>
            <w:vMerge w:val="restart"/>
            <w:tcBorders>
              <w:top w:val="nil" w:sz="6" w:space="0" w:color="auto"/>
              <w:left w:val="single" w:sz="6" w:space="0" w:color="000000"/>
              <w:right w:val="single" w:sz="6" w:space="0" w:color="000000"/>
            </w:tcBorders>
            <w:shd w:val="clear" w:color="auto" w:fill="D2D2D2"/>
          </w:tcPr>
          <w:p>
            <w:pPr/>
          </w:p>
        </w:tc>
        <w:tc>
          <w:tcPr>
            <w:tcW w:w="750" w:type="dxa"/>
            <w:vMerge w:val="restart"/>
            <w:tcBorders>
              <w:top w:val="nil" w:sz="6" w:space="0" w:color="auto"/>
              <w:left w:val="single" w:sz="6" w:space="0" w:color="000000"/>
              <w:right w:val="single" w:sz="6" w:space="0" w:color="000000"/>
            </w:tcBorders>
            <w:shd w:val="clear" w:color="auto" w:fill="D2D2D2"/>
          </w:tcPr>
          <w:p>
            <w:pPr/>
          </w:p>
        </w:tc>
        <w:tc>
          <w:tcPr>
            <w:tcW w:w="1048" w:type="dxa"/>
            <w:vMerge/>
            <w:tcBorders>
              <w:left w:val="single" w:sz="6" w:space="0" w:color="000000"/>
              <w:bottom w:val="nil" w:sz="6" w:space="0" w:color="auto"/>
              <w:right w:val="single" w:sz="6" w:space="0" w:color="000000"/>
            </w:tcBorders>
            <w:shd w:val="clear" w:color="auto" w:fill="D2D2D2"/>
          </w:tcPr>
          <w:p>
            <w:pPr/>
          </w:p>
        </w:tc>
        <w:tc>
          <w:tcPr>
            <w:tcW w:w="1134" w:type="dxa"/>
            <w:gridSpan w:val="2"/>
            <w:vMerge/>
            <w:tcBorders>
              <w:left w:val="single" w:sz="6" w:space="0" w:color="000000"/>
              <w:bottom w:val="nil" w:sz="6" w:space="0" w:color="auto"/>
              <w:right w:val="single" w:sz="6" w:space="0" w:color="000000"/>
            </w:tcBorders>
            <w:shd w:val="clear" w:color="auto" w:fill="D2D2D2"/>
          </w:tcPr>
          <w:p>
            <w:pPr/>
          </w:p>
        </w:tc>
        <w:tc>
          <w:tcPr>
            <w:tcW w:w="1134" w:type="dxa"/>
            <w:gridSpan w:val="2"/>
            <w:vMerge/>
            <w:tcBorders>
              <w:left w:val="single" w:sz="6" w:space="0" w:color="000000"/>
              <w:right w:val="single" w:sz="6" w:space="0" w:color="000000"/>
            </w:tcBorders>
            <w:shd w:val="clear" w:color="auto" w:fill="D2D2D2"/>
          </w:tcPr>
          <w:p>
            <w:pPr/>
          </w:p>
        </w:tc>
        <w:tc>
          <w:tcPr>
            <w:tcW w:w="992" w:type="dxa"/>
            <w:gridSpan w:val="2"/>
            <w:vMerge/>
            <w:tcBorders>
              <w:left w:val="single" w:sz="6" w:space="0" w:color="000000"/>
              <w:right w:val="single" w:sz="6" w:space="0" w:color="000000"/>
            </w:tcBorders>
            <w:shd w:val="clear" w:color="auto" w:fill="D2D2D2"/>
          </w:tcPr>
          <w:p>
            <w:pPr/>
          </w:p>
        </w:tc>
        <w:tc>
          <w:tcPr>
            <w:tcW w:w="565" w:type="dxa"/>
            <w:vMerge/>
            <w:tcBorders>
              <w:left w:val="single" w:sz="6" w:space="0" w:color="000000"/>
              <w:right w:val="single" w:sz="6" w:space="0" w:color="000000"/>
            </w:tcBorders>
            <w:shd w:val="clear" w:color="auto" w:fill="D2D2D2"/>
          </w:tcPr>
          <w:p>
            <w:pPr/>
          </w:p>
        </w:tc>
        <w:tc>
          <w:tcPr>
            <w:tcW w:w="1067" w:type="dxa"/>
            <w:gridSpan w:val="2"/>
            <w:vMerge/>
            <w:tcBorders>
              <w:left w:val="single" w:sz="6" w:space="0" w:color="000000"/>
              <w:bottom w:val="nil" w:sz="6" w:space="0" w:color="auto"/>
              <w:right w:val="single" w:sz="12" w:space="0" w:color="000000"/>
            </w:tcBorders>
            <w:shd w:val="clear" w:color="auto" w:fill="D2D2D2"/>
          </w:tcPr>
          <w:p>
            <w:pPr/>
          </w:p>
        </w:tc>
      </w:tr>
      <w:tr>
        <w:trPr>
          <w:trHeight w:val="167" w:hRule="exact"/>
        </w:trPr>
        <w:tc>
          <w:tcPr>
            <w:tcW w:w="2259" w:type="dxa"/>
            <w:gridSpan w:val="2"/>
            <w:vMerge/>
            <w:tcBorders>
              <w:left w:val="single" w:sz="12" w:space="0" w:color="000000"/>
              <w:bottom w:val="single" w:sz="6" w:space="0" w:color="000000"/>
              <w:right w:val="single" w:sz="6" w:space="0" w:color="000000"/>
            </w:tcBorders>
            <w:shd w:val="clear" w:color="auto" w:fill="D2D2D2"/>
          </w:tcPr>
          <w:p>
            <w:pPr/>
          </w:p>
        </w:tc>
        <w:tc>
          <w:tcPr>
            <w:tcW w:w="1411" w:type="dxa"/>
            <w:gridSpan w:val="2"/>
            <w:vMerge/>
            <w:tcBorders>
              <w:left w:val="single" w:sz="6" w:space="0" w:color="000000"/>
              <w:bottom w:val="single" w:sz="6" w:space="0" w:color="000000"/>
              <w:right w:val="single" w:sz="6" w:space="0" w:color="000000"/>
            </w:tcBorders>
            <w:shd w:val="clear" w:color="auto" w:fill="D2D2D2"/>
          </w:tcPr>
          <w:p>
            <w:pPr/>
          </w:p>
        </w:tc>
        <w:tc>
          <w:tcPr>
            <w:tcW w:w="750" w:type="dxa"/>
            <w:vMerge/>
            <w:tcBorders>
              <w:left w:val="single" w:sz="6" w:space="0" w:color="000000"/>
              <w:bottom w:val="single" w:sz="6" w:space="0" w:color="000000"/>
              <w:right w:val="single" w:sz="6" w:space="0" w:color="000000"/>
            </w:tcBorders>
            <w:shd w:val="clear" w:color="auto" w:fill="D2D2D2"/>
          </w:tcPr>
          <w:p>
            <w:pPr/>
          </w:p>
        </w:tc>
        <w:tc>
          <w:tcPr>
            <w:tcW w:w="1048" w:type="dxa"/>
            <w:tcBorders>
              <w:top w:val="nil" w:sz="6" w:space="0" w:color="auto"/>
              <w:left w:val="single" w:sz="6" w:space="0" w:color="000000"/>
              <w:bottom w:val="single" w:sz="6" w:space="0" w:color="000000"/>
              <w:right w:val="single" w:sz="6" w:space="0" w:color="000000"/>
            </w:tcBorders>
            <w:shd w:val="clear" w:color="auto" w:fill="D2D2D2"/>
          </w:tcPr>
          <w:p>
            <w:pPr/>
          </w:p>
        </w:tc>
        <w:tc>
          <w:tcPr>
            <w:tcW w:w="1134"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134" w:type="dxa"/>
            <w:gridSpan w:val="2"/>
            <w:vMerge/>
            <w:tcBorders>
              <w:left w:val="single" w:sz="6" w:space="0" w:color="000000"/>
              <w:bottom w:val="single" w:sz="6" w:space="0" w:color="000000"/>
              <w:right w:val="single" w:sz="6" w:space="0" w:color="000000"/>
            </w:tcBorders>
            <w:shd w:val="clear" w:color="auto" w:fill="D2D2D2"/>
          </w:tcPr>
          <w:p>
            <w:pPr/>
          </w:p>
        </w:tc>
        <w:tc>
          <w:tcPr>
            <w:tcW w:w="992" w:type="dxa"/>
            <w:gridSpan w:val="2"/>
            <w:vMerge/>
            <w:tcBorders>
              <w:left w:val="single" w:sz="6" w:space="0" w:color="000000"/>
              <w:bottom w:val="single" w:sz="6" w:space="0" w:color="000000"/>
              <w:right w:val="single" w:sz="6" w:space="0" w:color="000000"/>
            </w:tcBorders>
            <w:shd w:val="clear" w:color="auto" w:fill="D2D2D2"/>
          </w:tcPr>
          <w:p>
            <w:pPr/>
          </w:p>
        </w:tc>
        <w:tc>
          <w:tcPr>
            <w:tcW w:w="565" w:type="dxa"/>
            <w:vMerge/>
            <w:tcBorders>
              <w:left w:val="single" w:sz="6" w:space="0" w:color="000000"/>
              <w:bottom w:val="single" w:sz="6" w:space="0" w:color="000000"/>
              <w:right w:val="single" w:sz="6" w:space="0" w:color="000000"/>
            </w:tcBorders>
            <w:shd w:val="clear" w:color="auto" w:fill="D2D2D2"/>
          </w:tcPr>
          <w:p>
            <w:pPr/>
          </w:p>
        </w:tc>
        <w:tc>
          <w:tcPr>
            <w:tcW w:w="1067" w:type="dxa"/>
            <w:gridSpan w:val="2"/>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640" w:hRule="exact"/>
        </w:trPr>
        <w:tc>
          <w:tcPr>
            <w:tcW w:w="2259"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573" w:right="401" w:hanging="180"/>
              <w:jc w:val="left"/>
              <w:rPr>
                <w:rFonts w:ascii="宋体" w:hAnsi="宋体" w:cs="宋体" w:eastAsia="宋体" w:hint="default"/>
                <w:sz w:val="18"/>
                <w:szCs w:val="18"/>
              </w:rPr>
            </w:pPr>
            <w:r>
              <w:rPr>
                <w:rFonts w:ascii="宋体" w:hAnsi="宋体" w:cs="宋体" w:eastAsia="宋体" w:hint="default"/>
                <w:sz w:val="18"/>
                <w:szCs w:val="18"/>
              </w:rPr>
              <w:t>江苏光一投资管理 有限责任公司</w:t>
            </w:r>
          </w:p>
        </w:tc>
        <w:tc>
          <w:tcPr>
            <w:tcW w:w="14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26.42%</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42,600,000</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134" w:type="dxa"/>
            <w:gridSpan w:val="2"/>
            <w:tcBorders>
              <w:top w:val="single" w:sz="9"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992" w:type="dxa"/>
            <w:gridSpan w:val="2"/>
            <w:tcBorders>
              <w:top w:val="single" w:sz="9"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6" w:right="0"/>
              <w:jc w:val="left"/>
              <w:rPr>
                <w:rFonts w:ascii="宋体" w:hAnsi="宋体" w:cs="宋体" w:eastAsia="宋体" w:hint="default"/>
                <w:sz w:val="18"/>
                <w:szCs w:val="18"/>
              </w:rPr>
            </w:pPr>
            <w:r>
              <w:rPr>
                <w:rFonts w:ascii="宋体"/>
                <w:sz w:val="18"/>
              </w:rPr>
              <w:t>42,600,000</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1" w:right="0"/>
              <w:jc w:val="left"/>
              <w:rPr>
                <w:rFonts w:ascii="宋体" w:hAnsi="宋体" w:cs="宋体" w:eastAsia="宋体" w:hint="default"/>
                <w:sz w:val="18"/>
                <w:szCs w:val="18"/>
              </w:rPr>
            </w:pPr>
            <w:r>
              <w:rPr>
                <w:rFonts w:ascii="宋体"/>
                <w:sz w:val="18"/>
              </w:rPr>
              <w:t>25,082,500</w:t>
            </w:r>
          </w:p>
        </w:tc>
      </w:tr>
      <w:tr>
        <w:trPr>
          <w:trHeight w:val="412" w:hRule="exact"/>
        </w:trPr>
        <w:tc>
          <w:tcPr>
            <w:tcW w:w="2259"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213" w:right="0"/>
              <w:jc w:val="left"/>
              <w:rPr>
                <w:rFonts w:ascii="宋体" w:hAnsi="宋体" w:cs="宋体" w:eastAsia="宋体" w:hint="default"/>
                <w:sz w:val="18"/>
                <w:szCs w:val="18"/>
              </w:rPr>
            </w:pPr>
            <w:r>
              <w:rPr>
                <w:rFonts w:ascii="宋体" w:hAnsi="宋体" w:cs="宋体" w:eastAsia="宋体" w:hint="default"/>
                <w:sz w:val="18"/>
                <w:szCs w:val="18"/>
              </w:rPr>
              <w:t>湖北乾瀚投资有限公司</w:t>
            </w:r>
          </w:p>
        </w:tc>
        <w:tc>
          <w:tcPr>
            <w:tcW w:w="14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67"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13.50%</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21,767,211</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97" w:right="0"/>
              <w:jc w:val="left"/>
              <w:rPr>
                <w:rFonts w:ascii="宋体" w:hAnsi="宋体" w:cs="宋体" w:eastAsia="宋体" w:hint="default"/>
                <w:sz w:val="18"/>
                <w:szCs w:val="18"/>
              </w:rPr>
            </w:pPr>
            <w:r>
              <w:rPr>
                <w:rFonts w:ascii="宋体"/>
                <w:sz w:val="18"/>
              </w:rPr>
              <w:t>21,767,211</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97" w:right="0"/>
              <w:jc w:val="left"/>
              <w:rPr>
                <w:rFonts w:ascii="宋体" w:hAnsi="宋体" w:cs="宋体" w:eastAsia="宋体" w:hint="default"/>
                <w:sz w:val="18"/>
                <w:szCs w:val="18"/>
              </w:rPr>
            </w:pPr>
            <w:r>
              <w:rPr>
                <w:rFonts w:ascii="宋体"/>
                <w:sz w:val="18"/>
              </w:rPr>
              <w:t>21,767,211</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131" w:right="0"/>
              <w:jc w:val="left"/>
              <w:rPr>
                <w:rFonts w:ascii="宋体" w:hAnsi="宋体" w:cs="宋体" w:eastAsia="宋体" w:hint="default"/>
                <w:sz w:val="18"/>
                <w:szCs w:val="18"/>
              </w:rPr>
            </w:pPr>
            <w:r>
              <w:rPr>
                <w:rFonts w:ascii="宋体"/>
                <w:sz w:val="18"/>
              </w:rPr>
              <w:t>18,502,129</w:t>
            </w:r>
          </w:p>
        </w:tc>
      </w:tr>
      <w:tr>
        <w:trPr>
          <w:trHeight w:val="413" w:hRule="exact"/>
        </w:trPr>
        <w:tc>
          <w:tcPr>
            <w:tcW w:w="2259"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4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9.32%</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15,025,300</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57" w:right="0"/>
              <w:jc w:val="left"/>
              <w:rPr>
                <w:rFonts w:ascii="宋体" w:hAnsi="宋体" w:cs="宋体" w:eastAsia="宋体" w:hint="default"/>
                <w:sz w:val="18"/>
                <w:szCs w:val="18"/>
              </w:rPr>
            </w:pPr>
            <w:r>
              <w:rPr>
                <w:rFonts w:ascii="宋体"/>
                <w:sz w:val="18"/>
              </w:rPr>
              <w:t>71,800</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97" w:right="0"/>
              <w:jc w:val="left"/>
              <w:rPr>
                <w:rFonts w:ascii="宋体" w:hAnsi="宋体" w:cs="宋体" w:eastAsia="宋体" w:hint="default"/>
                <w:sz w:val="18"/>
                <w:szCs w:val="18"/>
              </w:rPr>
            </w:pPr>
            <w:r>
              <w:rPr>
                <w:rFonts w:ascii="宋体"/>
                <w:sz w:val="18"/>
              </w:rPr>
              <w:t>11,268,975</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46" w:right="0"/>
              <w:jc w:val="left"/>
              <w:rPr>
                <w:rFonts w:ascii="宋体" w:hAnsi="宋体" w:cs="宋体" w:eastAsia="宋体" w:hint="default"/>
                <w:sz w:val="18"/>
                <w:szCs w:val="18"/>
              </w:rPr>
            </w:pPr>
            <w:r>
              <w:rPr>
                <w:rFonts w:ascii="宋体"/>
                <w:sz w:val="18"/>
              </w:rPr>
              <w:t>3,756,325</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21" w:right="0"/>
              <w:jc w:val="left"/>
              <w:rPr>
                <w:rFonts w:ascii="宋体" w:hAnsi="宋体" w:cs="宋体" w:eastAsia="宋体" w:hint="default"/>
                <w:sz w:val="18"/>
                <w:szCs w:val="18"/>
              </w:rPr>
            </w:pPr>
            <w:r>
              <w:rPr>
                <w:rFonts w:ascii="宋体"/>
                <w:sz w:val="18"/>
              </w:rPr>
              <w:t>1,600,000</w:t>
            </w:r>
          </w:p>
        </w:tc>
      </w:tr>
      <w:tr>
        <w:trPr>
          <w:trHeight w:val="951" w:hRule="exact"/>
        </w:trPr>
        <w:tc>
          <w:tcPr>
            <w:tcW w:w="2259"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9" w:lineRule="auto" w:before="10"/>
              <w:ind w:left="33" w:right="41"/>
              <w:jc w:val="center"/>
              <w:rPr>
                <w:rFonts w:ascii="宋体" w:hAnsi="宋体" w:cs="宋体" w:eastAsia="宋体" w:hint="default"/>
                <w:sz w:val="18"/>
                <w:szCs w:val="18"/>
              </w:rPr>
            </w:pPr>
            <w:r>
              <w:rPr>
                <w:rFonts w:ascii="宋体" w:hAnsi="宋体" w:cs="宋体" w:eastAsia="宋体" w:hint="default"/>
                <w:sz w:val="18"/>
                <w:szCs w:val="18"/>
              </w:rPr>
              <w:t>中国银行股份有限公司－富 国改革动力混合型证券投资 基金</w:t>
            </w:r>
          </w:p>
        </w:tc>
        <w:tc>
          <w:tcPr>
            <w:tcW w:w="14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2.73%</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4,400,000</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87" w:right="0"/>
              <w:jc w:val="left"/>
              <w:rPr>
                <w:rFonts w:ascii="宋体" w:hAnsi="宋体" w:cs="宋体" w:eastAsia="宋体" w:hint="default"/>
                <w:sz w:val="18"/>
                <w:szCs w:val="18"/>
              </w:rPr>
            </w:pPr>
            <w:r>
              <w:rPr>
                <w:rFonts w:ascii="宋体"/>
                <w:sz w:val="18"/>
              </w:rPr>
              <w:t>4,400,000</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46" w:right="0"/>
              <w:jc w:val="left"/>
              <w:rPr>
                <w:rFonts w:ascii="宋体" w:hAnsi="宋体" w:cs="宋体" w:eastAsia="宋体" w:hint="default"/>
                <w:sz w:val="18"/>
                <w:szCs w:val="18"/>
              </w:rPr>
            </w:pPr>
            <w:r>
              <w:rPr>
                <w:rFonts w:ascii="宋体"/>
                <w:sz w:val="18"/>
              </w:rPr>
              <w:t>4,400,000</w:t>
            </w:r>
          </w:p>
        </w:tc>
        <w:tc>
          <w:tcPr>
            <w:tcW w:w="565" w:type="dxa"/>
            <w:tcBorders>
              <w:top w:val="single" w:sz="6" w:space="0" w:color="000000"/>
              <w:left w:val="single" w:sz="6" w:space="0" w:color="000000"/>
              <w:bottom w:val="single" w:sz="6" w:space="0" w:color="000000"/>
              <w:right w:val="single" w:sz="6" w:space="0" w:color="000000"/>
            </w:tcBorders>
          </w:tcPr>
          <w:p>
            <w:pPr/>
          </w:p>
        </w:tc>
        <w:tc>
          <w:tcPr>
            <w:tcW w:w="1067" w:type="dxa"/>
            <w:gridSpan w:val="2"/>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259"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23"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14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2.48%</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3,995,005</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87" w:right="0"/>
              <w:jc w:val="left"/>
              <w:rPr>
                <w:rFonts w:ascii="宋体" w:hAnsi="宋体" w:cs="宋体" w:eastAsia="宋体" w:hint="default"/>
                <w:sz w:val="18"/>
                <w:szCs w:val="18"/>
              </w:rPr>
            </w:pPr>
            <w:r>
              <w:rPr>
                <w:rFonts w:ascii="宋体"/>
                <w:sz w:val="18"/>
              </w:rPr>
              <w:t>2,299,571</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46" w:right="0"/>
              <w:jc w:val="left"/>
              <w:rPr>
                <w:rFonts w:ascii="宋体" w:hAnsi="宋体" w:cs="宋体" w:eastAsia="宋体" w:hint="default"/>
                <w:sz w:val="18"/>
                <w:szCs w:val="18"/>
              </w:rPr>
            </w:pPr>
            <w:r>
              <w:rPr>
                <w:rFonts w:ascii="宋体"/>
                <w:sz w:val="18"/>
              </w:rPr>
              <w:t>3,995,005</w:t>
            </w:r>
          </w:p>
        </w:tc>
        <w:tc>
          <w:tcPr>
            <w:tcW w:w="565" w:type="dxa"/>
            <w:tcBorders>
              <w:top w:val="single" w:sz="6" w:space="0" w:color="000000"/>
              <w:left w:val="single" w:sz="6" w:space="0" w:color="000000"/>
              <w:bottom w:val="single" w:sz="6" w:space="0" w:color="000000"/>
              <w:right w:val="single" w:sz="6" w:space="0" w:color="000000"/>
            </w:tcBorders>
          </w:tcPr>
          <w:p>
            <w:pPr/>
          </w:p>
        </w:tc>
        <w:tc>
          <w:tcPr>
            <w:tcW w:w="1067" w:type="dxa"/>
            <w:gridSpan w:val="2"/>
            <w:tcBorders>
              <w:top w:val="single" w:sz="6" w:space="0" w:color="000000"/>
              <w:left w:val="single" w:sz="6" w:space="0" w:color="000000"/>
              <w:bottom w:val="single" w:sz="6" w:space="0" w:color="000000"/>
              <w:right w:val="single" w:sz="12" w:space="0" w:color="000000"/>
            </w:tcBorders>
          </w:tcPr>
          <w:p>
            <w:pPr/>
          </w:p>
        </w:tc>
      </w:tr>
      <w:tr>
        <w:trPr>
          <w:trHeight w:val="335" w:hRule="exact"/>
        </w:trPr>
        <w:tc>
          <w:tcPr>
            <w:tcW w:w="2259"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left="3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1411"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sz w:val="18"/>
              </w:rPr>
              <w:t>1.86%</w:t>
            </w:r>
          </w:p>
        </w:tc>
        <w:tc>
          <w:tcPr>
            <w:tcW w:w="10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sz w:val="18"/>
              </w:rPr>
              <w:t>2,999,987</w:t>
            </w:r>
          </w:p>
        </w:tc>
        <w:tc>
          <w:tcPr>
            <w:tcW w:w="113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287" w:right="0"/>
              <w:jc w:val="left"/>
              <w:rPr>
                <w:rFonts w:ascii="宋体" w:hAnsi="宋体" w:cs="宋体" w:eastAsia="宋体" w:hint="default"/>
                <w:sz w:val="18"/>
                <w:szCs w:val="18"/>
              </w:rPr>
            </w:pPr>
            <w:r>
              <w:rPr>
                <w:rFonts w:ascii="宋体"/>
                <w:sz w:val="18"/>
              </w:rPr>
              <w:t>2,999,987</w:t>
            </w:r>
          </w:p>
        </w:tc>
        <w:tc>
          <w:tcPr>
            <w:tcW w:w="113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z w:val="18"/>
              </w:rPr>
              <w:t>0</w:t>
            </w:r>
          </w:p>
        </w:tc>
        <w:tc>
          <w:tcPr>
            <w:tcW w:w="99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146" w:right="0"/>
              <w:jc w:val="left"/>
              <w:rPr>
                <w:rFonts w:ascii="宋体" w:hAnsi="宋体" w:cs="宋体" w:eastAsia="宋体" w:hint="default"/>
                <w:sz w:val="18"/>
                <w:szCs w:val="18"/>
              </w:rPr>
            </w:pPr>
            <w:r>
              <w:rPr>
                <w:rFonts w:ascii="宋体"/>
                <w:sz w:val="18"/>
              </w:rPr>
              <w:t>2,999,987</w:t>
            </w:r>
          </w:p>
        </w:tc>
        <w:tc>
          <w:tcPr>
            <w:tcW w:w="565" w:type="dxa"/>
            <w:tcBorders>
              <w:top w:val="single" w:sz="6" w:space="0" w:color="000000"/>
              <w:left w:val="single" w:sz="6" w:space="0" w:color="000000"/>
              <w:bottom w:val="single" w:sz="12" w:space="0" w:color="000000"/>
              <w:right w:val="single" w:sz="6" w:space="0" w:color="000000"/>
            </w:tcBorders>
          </w:tcPr>
          <w:p>
            <w:pPr/>
          </w:p>
        </w:tc>
        <w:tc>
          <w:tcPr>
            <w:tcW w:w="1067" w:type="dxa"/>
            <w:gridSpan w:val="2"/>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44"/>
        <w:ind w:left="0" w:right="710" w:firstLine="0"/>
        <w:jc w:val="right"/>
        <w:rPr>
          <w:rFonts w:ascii="宋体" w:hAnsi="宋体" w:cs="宋体" w:eastAsia="宋体" w:hint="default"/>
          <w:sz w:val="18"/>
          <w:szCs w:val="18"/>
        </w:rPr>
      </w:pPr>
      <w:r>
        <w:rPr/>
        <w:pict>
          <v:shape style="position:absolute;margin-left:37.860001pt;margin-top:-521.088257pt;width:520.3pt;height:603.050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59"/>
                    <w:gridCol w:w="1411"/>
                    <w:gridCol w:w="788"/>
                    <w:gridCol w:w="1010"/>
                    <w:gridCol w:w="1134"/>
                    <w:gridCol w:w="1096"/>
                    <w:gridCol w:w="1031"/>
                    <w:gridCol w:w="280"/>
                    <w:gridCol w:w="290"/>
                    <w:gridCol w:w="1061"/>
                  </w:tblGrid>
                  <w:tr>
                    <w:trPr>
                      <w:trHeight w:val="646" w:hRule="exact"/>
                    </w:trPr>
                    <w:tc>
                      <w:tcPr>
                        <w:tcW w:w="2259"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10"/>
                          <w:ind w:left="213" w:right="41" w:hanging="180"/>
                          <w:jc w:val="left"/>
                          <w:rPr>
                            <w:rFonts w:ascii="宋体" w:hAnsi="宋体" w:cs="宋体" w:eastAsia="宋体" w:hint="default"/>
                            <w:sz w:val="18"/>
                            <w:szCs w:val="18"/>
                          </w:rPr>
                        </w:pPr>
                        <w:r>
                          <w:rPr>
                            <w:rFonts w:ascii="宋体" w:hAnsi="宋体" w:cs="宋体" w:eastAsia="宋体" w:hint="default"/>
                            <w:sz w:val="18"/>
                            <w:szCs w:val="18"/>
                          </w:rPr>
                          <w:t>－银河转型增长主题灵活配 置混合型证券投资基金</w:t>
                        </w:r>
                      </w:p>
                    </w:tc>
                    <w:tc>
                      <w:tcPr>
                        <w:tcW w:w="1411" w:type="dxa"/>
                        <w:tcBorders>
                          <w:top w:val="single" w:sz="12" w:space="0" w:color="000000"/>
                          <w:left w:val="single" w:sz="6" w:space="0" w:color="000000"/>
                          <w:bottom w:val="single" w:sz="6" w:space="0" w:color="000000"/>
                          <w:right w:val="single" w:sz="6" w:space="0" w:color="000000"/>
                        </w:tcBorders>
                      </w:tcPr>
                      <w:p>
                        <w:pPr/>
                      </w:p>
                    </w:tc>
                    <w:tc>
                      <w:tcPr>
                        <w:tcW w:w="788" w:type="dxa"/>
                        <w:tcBorders>
                          <w:top w:val="single" w:sz="12" w:space="0" w:color="000000"/>
                          <w:left w:val="single" w:sz="6" w:space="0" w:color="000000"/>
                          <w:bottom w:val="single" w:sz="6" w:space="0" w:color="000000"/>
                          <w:right w:val="single" w:sz="6" w:space="0" w:color="000000"/>
                        </w:tcBorders>
                      </w:tcPr>
                      <w:p>
                        <w:pPr/>
                      </w:p>
                    </w:tc>
                    <w:tc>
                      <w:tcPr>
                        <w:tcW w:w="1010" w:type="dxa"/>
                        <w:tcBorders>
                          <w:top w:val="single" w:sz="12" w:space="0" w:color="000000"/>
                          <w:left w:val="single" w:sz="6" w:space="0" w:color="000000"/>
                          <w:bottom w:val="single" w:sz="6" w:space="0" w:color="000000"/>
                          <w:right w:val="single" w:sz="6" w:space="0" w:color="000000"/>
                        </w:tcBorders>
                      </w:tcPr>
                      <w:p>
                        <w:pPr/>
                      </w:p>
                    </w:tc>
                    <w:tc>
                      <w:tcPr>
                        <w:tcW w:w="1134" w:type="dxa"/>
                        <w:tcBorders>
                          <w:top w:val="single" w:sz="12" w:space="0" w:color="000000"/>
                          <w:left w:val="single" w:sz="6" w:space="0" w:color="000000"/>
                          <w:bottom w:val="single" w:sz="6" w:space="0" w:color="000000"/>
                          <w:right w:val="single" w:sz="6" w:space="0" w:color="000000"/>
                        </w:tcBorders>
                      </w:tcPr>
                      <w:p>
                        <w:pPr/>
                      </w:p>
                    </w:tc>
                    <w:tc>
                      <w:tcPr>
                        <w:tcW w:w="1096" w:type="dxa"/>
                        <w:tcBorders>
                          <w:top w:val="single" w:sz="12" w:space="0" w:color="000000"/>
                          <w:left w:val="single" w:sz="6" w:space="0" w:color="000000"/>
                          <w:bottom w:val="single" w:sz="6" w:space="0" w:color="000000"/>
                          <w:right w:val="single" w:sz="6" w:space="0" w:color="000000"/>
                        </w:tcBorders>
                      </w:tcPr>
                      <w:p>
                        <w:pPr/>
                      </w:p>
                    </w:tc>
                    <w:tc>
                      <w:tcPr>
                        <w:tcW w:w="1031" w:type="dxa"/>
                        <w:tcBorders>
                          <w:top w:val="single" w:sz="12" w:space="0" w:color="000000"/>
                          <w:left w:val="single" w:sz="6" w:space="0" w:color="000000"/>
                          <w:bottom w:val="single" w:sz="6" w:space="0" w:color="000000"/>
                          <w:right w:val="single" w:sz="6" w:space="0" w:color="000000"/>
                        </w:tcBorders>
                      </w:tcPr>
                      <w:p>
                        <w:pPr/>
                      </w:p>
                    </w:tc>
                    <w:tc>
                      <w:tcPr>
                        <w:tcW w:w="570" w:type="dxa"/>
                        <w:gridSpan w:val="2"/>
                        <w:tcBorders>
                          <w:top w:val="single" w:sz="12" w:space="0" w:color="000000"/>
                          <w:left w:val="single" w:sz="6" w:space="0" w:color="000000"/>
                          <w:bottom w:val="single" w:sz="6" w:space="0" w:color="000000"/>
                          <w:right w:val="single" w:sz="6" w:space="0" w:color="000000"/>
                        </w:tcBorders>
                      </w:tcPr>
                      <w:p>
                        <w:pPr/>
                      </w:p>
                    </w:tc>
                    <w:tc>
                      <w:tcPr>
                        <w:tcW w:w="1061" w:type="dxa"/>
                        <w:tcBorders>
                          <w:top w:val="single" w:sz="12" w:space="0" w:color="000000"/>
                          <w:left w:val="single" w:sz="6" w:space="0" w:color="000000"/>
                          <w:bottom w:val="single" w:sz="6" w:space="0" w:color="000000"/>
                          <w:right w:val="single" w:sz="12" w:space="0" w:color="000000"/>
                        </w:tcBorders>
                      </w:tcPr>
                      <w:p>
                        <w:pPr/>
                      </w:p>
                    </w:tc>
                  </w:tr>
                  <w:tr>
                    <w:trPr>
                      <w:trHeight w:val="412" w:hRule="exact"/>
                    </w:trPr>
                    <w:tc>
                      <w:tcPr>
                        <w:tcW w:w="22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任昌兆</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1.73%</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2,792,616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2,792,616</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2,792,616</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5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15" w:right="0"/>
                          <w:jc w:val="left"/>
                          <w:rPr>
                            <w:rFonts w:ascii="宋体" w:hAnsi="宋体" w:cs="宋体" w:eastAsia="宋体" w:hint="default"/>
                            <w:sz w:val="18"/>
                            <w:szCs w:val="18"/>
                          </w:rPr>
                        </w:pPr>
                        <w:r>
                          <w:rPr>
                            <w:rFonts w:ascii="宋体"/>
                            <w:sz w:val="18"/>
                          </w:rPr>
                          <w:t>2,792,616</w:t>
                        </w:r>
                      </w:p>
                    </w:tc>
                  </w:tr>
                  <w:tr>
                    <w:trPr>
                      <w:trHeight w:val="413" w:hRule="exact"/>
                    </w:trPr>
                    <w:tc>
                      <w:tcPr>
                        <w:tcW w:w="22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李敏仙</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1.56%</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2,522,848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2,522,848</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2,522,848</w:t>
                        </w:r>
                      </w:p>
                    </w:tc>
                    <w:tc>
                      <w:tcPr>
                        <w:tcW w:w="570" w:type="dxa"/>
                        <w:gridSpan w:val="2"/>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2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华泰证券股份有限公司</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1.52%</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2,449,942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2,449,942</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2,449,942</w:t>
                        </w:r>
                      </w:p>
                    </w:tc>
                    <w:tc>
                      <w:tcPr>
                        <w:tcW w:w="570" w:type="dxa"/>
                        <w:gridSpan w:val="2"/>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2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徐一宁</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1.42%</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2,282,200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-524,300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2,104,875</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177,325</w:t>
                        </w:r>
                      </w:p>
                    </w:tc>
                    <w:tc>
                      <w:tcPr>
                        <w:tcW w:w="570" w:type="dxa"/>
                        <w:gridSpan w:val="2"/>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3671"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68"/>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6"/>
                            <w:sz w:val="18"/>
                            <w:szCs w:val="18"/>
                          </w:rPr>
                          <w:t> </w:t>
                        </w:r>
                        <w:r>
                          <w:rPr>
                            <w:rFonts w:ascii="宋体" w:hAnsi="宋体" w:cs="宋体" w:eastAsia="宋体" w:hint="default"/>
                            <w:sz w:val="18"/>
                            <w:szCs w:val="18"/>
                          </w:rPr>
                          <w:t>10 </w:t>
                        </w:r>
                        <w:r>
                          <w:rPr>
                            <w:rFonts w:ascii="宋体" w:hAnsi="宋体" w:cs="宋体" w:eastAsia="宋体" w:hint="default"/>
                            <w:sz w:val="18"/>
                            <w:szCs w:val="18"/>
                          </w:rPr>
                          <w:t>名股东的情况（如有）（参见注</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6690" w:type="dxa"/>
                        <w:gridSpan w:val="8"/>
                        <w:tcBorders>
                          <w:top w:val="single" w:sz="6" w:space="0" w:color="000000"/>
                          <w:left w:val="single" w:sz="9" w:space="0" w:color="D2D2D2"/>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9" w:hRule="exact"/>
                    </w:trPr>
                    <w:tc>
                      <w:tcPr>
                        <w:tcW w:w="3671" w:type="dxa"/>
                        <w:gridSpan w:val="2"/>
                        <w:tcBorders>
                          <w:top w:val="single" w:sz="6" w:space="0" w:color="000000"/>
                          <w:left w:val="single" w:sz="12" w:space="0" w:color="000000"/>
                          <w:bottom w:val="nil" w:sz="6" w:space="0" w:color="auto"/>
                          <w:right w:val="single" w:sz="6" w:space="0" w:color="000000"/>
                        </w:tcBorders>
                        <w:shd w:val="clear" w:color="auto" w:fill="D2D2D2"/>
                      </w:tcPr>
                      <w:p>
                        <w:pPr/>
                      </w:p>
                    </w:tc>
                    <w:tc>
                      <w:tcPr>
                        <w:tcW w:w="6690" w:type="dxa"/>
                        <w:gridSpan w:val="8"/>
                        <w:vMerge w:val="restart"/>
                        <w:tcBorders>
                          <w:top w:val="single" w:sz="6" w:space="0" w:color="000000"/>
                          <w:left w:val="single" w:sz="9" w:space="0" w:color="D2D2D2"/>
                          <w:right w:val="single" w:sz="12" w:space="0" w:color="000000"/>
                        </w:tcBorders>
                      </w:tcPr>
                      <w:p>
                        <w:pPr>
                          <w:pStyle w:val="TableParagraph"/>
                          <w:spacing w:line="316" w:lineRule="auto" w:before="10"/>
                          <w:ind w:left="16" w:right="11" w:firstLine="360"/>
                          <w:jc w:val="both"/>
                          <w:rPr>
                            <w:rFonts w:ascii="宋体" w:hAnsi="宋体" w:cs="宋体" w:eastAsia="宋体" w:hint="default"/>
                            <w:sz w:val="18"/>
                            <w:szCs w:val="18"/>
                          </w:rPr>
                        </w:pPr>
                        <w:r>
                          <w:rPr>
                            <w:rFonts w:ascii="宋体" w:hAnsi="宋体" w:cs="宋体" w:eastAsia="宋体" w:hint="default"/>
                            <w:spacing w:val="-1"/>
                            <w:sz w:val="18"/>
                            <w:szCs w:val="18"/>
                          </w:rPr>
                          <w:t>股东江苏光一投资管理有限责任公司为实际控制人龙昌明先生控制的企业；股东</w:t>
                        </w:r>
                        <w:r>
                          <w:rPr>
                            <w:rFonts w:ascii="宋体" w:hAnsi="宋体" w:cs="宋体" w:eastAsia="宋体" w:hint="default"/>
                            <w:sz w:val="18"/>
                            <w:szCs w:val="18"/>
                          </w:rPr>
                          <w:t> </w:t>
                        </w:r>
                        <w:r>
                          <w:rPr>
                            <w:rFonts w:ascii="宋体" w:hAnsi="宋体" w:cs="宋体" w:eastAsia="宋体" w:hint="default"/>
                            <w:spacing w:val="-1"/>
                            <w:sz w:val="18"/>
                            <w:szCs w:val="18"/>
                          </w:rPr>
                          <w:t>任昌兆先生系公司董事、公司控股子公司索瑞电气总经理、湖北乾瀚投资有限公司执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行董事、经理，其他股东未知是否存在关联关系或一致行动。</w:t>
                        </w:r>
                      </w:p>
                    </w:tc>
                  </w:tr>
                  <w:tr>
                    <w:trPr>
                      <w:trHeight w:val="312" w:hRule="exact"/>
                    </w:trPr>
                    <w:tc>
                      <w:tcPr>
                        <w:tcW w:w="3671" w:type="dxa"/>
                        <w:gridSpan w:val="2"/>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690" w:type="dxa"/>
                        <w:gridSpan w:val="8"/>
                        <w:vMerge/>
                        <w:tcBorders>
                          <w:left w:val="single" w:sz="9" w:space="0" w:color="D2D2D2"/>
                          <w:right w:val="single" w:sz="12" w:space="0" w:color="000000"/>
                        </w:tcBorders>
                      </w:tcPr>
                      <w:p>
                        <w:pPr/>
                      </w:p>
                    </w:tc>
                  </w:tr>
                  <w:tr>
                    <w:trPr>
                      <w:trHeight w:val="320" w:hRule="exact"/>
                    </w:trPr>
                    <w:tc>
                      <w:tcPr>
                        <w:tcW w:w="3671" w:type="dxa"/>
                        <w:gridSpan w:val="2"/>
                        <w:tcBorders>
                          <w:top w:val="nil" w:sz="6" w:space="0" w:color="auto"/>
                          <w:left w:val="single" w:sz="12" w:space="0" w:color="000000"/>
                          <w:bottom w:val="single" w:sz="6" w:space="0" w:color="000000"/>
                          <w:right w:val="single" w:sz="6" w:space="0" w:color="000000"/>
                        </w:tcBorders>
                        <w:shd w:val="clear" w:color="auto" w:fill="D2D2D2"/>
                      </w:tcPr>
                      <w:p>
                        <w:pPr/>
                      </w:p>
                    </w:tc>
                    <w:tc>
                      <w:tcPr>
                        <w:tcW w:w="6690" w:type="dxa"/>
                        <w:gridSpan w:val="8"/>
                        <w:vMerge/>
                        <w:tcBorders>
                          <w:left w:val="single" w:sz="9" w:space="0" w:color="D2D2D2"/>
                          <w:bottom w:val="single" w:sz="6" w:space="0" w:color="000000"/>
                          <w:right w:val="single" w:sz="12" w:space="0" w:color="000000"/>
                        </w:tcBorders>
                      </w:tcPr>
                      <w:p>
                        <w:pPr/>
                      </w:p>
                    </w:tc>
                  </w:tr>
                  <w:tr>
                    <w:trPr>
                      <w:trHeight w:val="327" w:hRule="exact"/>
                    </w:trPr>
                    <w:tc>
                      <w:tcPr>
                        <w:tcW w:w="10361" w:type="dxa"/>
                        <w:gridSpan w:val="10"/>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172" w:hRule="exact"/>
                    </w:trPr>
                    <w:tc>
                      <w:tcPr>
                        <w:tcW w:w="3671" w:type="dxa"/>
                        <w:gridSpan w:val="2"/>
                        <w:tcBorders>
                          <w:top w:val="single" w:sz="6" w:space="0" w:color="000000"/>
                          <w:left w:val="single" w:sz="12" w:space="0" w:color="000000"/>
                          <w:bottom w:val="nil" w:sz="6" w:space="0" w:color="auto"/>
                          <w:right w:val="single" w:sz="6" w:space="0" w:color="000000"/>
                        </w:tcBorders>
                        <w:shd w:val="clear" w:color="auto" w:fill="D2D2D2"/>
                      </w:tcPr>
                      <w:p>
                        <w:pPr/>
                      </w:p>
                    </w:tc>
                    <w:tc>
                      <w:tcPr>
                        <w:tcW w:w="4028" w:type="dxa"/>
                        <w:gridSpan w:val="4"/>
                        <w:tcBorders>
                          <w:top w:val="single" w:sz="6" w:space="0" w:color="000000"/>
                          <w:left w:val="single" w:sz="6" w:space="0" w:color="000000"/>
                          <w:bottom w:val="nil" w:sz="6" w:space="0" w:color="auto"/>
                          <w:right w:val="single" w:sz="6" w:space="0" w:color="000000"/>
                        </w:tcBorders>
                        <w:shd w:val="clear" w:color="auto" w:fill="D2D2D2"/>
                      </w:tcPr>
                      <w:p>
                        <w:pPr/>
                      </w:p>
                    </w:tc>
                    <w:tc>
                      <w:tcPr>
                        <w:tcW w:w="2662" w:type="dxa"/>
                        <w:gridSpan w:val="4"/>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48" w:hRule="exact"/>
                    </w:trPr>
                    <w:tc>
                      <w:tcPr>
                        <w:tcW w:w="3671" w:type="dxa"/>
                        <w:gridSpan w:val="2"/>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28" w:type="dxa"/>
                        <w:gridSpan w:val="4"/>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63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62" w:type="dxa"/>
                        <w:gridSpan w:val="4"/>
                        <w:vMerge/>
                        <w:tcBorders>
                          <w:left w:val="single" w:sz="6" w:space="0" w:color="000000"/>
                          <w:bottom w:val="single" w:sz="6" w:space="0" w:color="000000"/>
                          <w:right w:val="single" w:sz="12" w:space="0" w:color="000000"/>
                        </w:tcBorders>
                        <w:shd w:val="clear" w:color="auto" w:fill="D2D2D2"/>
                      </w:tcPr>
                      <w:p>
                        <w:pPr/>
                      </w:p>
                    </w:tc>
                  </w:tr>
                  <w:tr>
                    <w:trPr>
                      <w:trHeight w:val="164" w:hRule="exact"/>
                    </w:trPr>
                    <w:tc>
                      <w:tcPr>
                        <w:tcW w:w="3671" w:type="dxa"/>
                        <w:gridSpan w:val="2"/>
                        <w:vMerge/>
                        <w:tcBorders>
                          <w:left w:val="single" w:sz="12" w:space="0" w:color="000000"/>
                          <w:bottom w:val="nil" w:sz="6" w:space="0" w:color="auto"/>
                          <w:right w:val="single" w:sz="6" w:space="0" w:color="000000"/>
                        </w:tcBorders>
                        <w:shd w:val="clear" w:color="auto" w:fill="D2D2D2"/>
                      </w:tcPr>
                      <w:p>
                        <w:pPr/>
                      </w:p>
                    </w:tc>
                    <w:tc>
                      <w:tcPr>
                        <w:tcW w:w="4028" w:type="dxa"/>
                        <w:gridSpan w:val="4"/>
                        <w:vMerge/>
                        <w:tcBorders>
                          <w:left w:val="single" w:sz="6" w:space="0" w:color="000000"/>
                          <w:bottom w:val="nil" w:sz="6" w:space="0" w:color="auto"/>
                          <w:right w:val="single" w:sz="6" w:space="0" w:color="000000"/>
                        </w:tcBorders>
                        <w:shd w:val="clear" w:color="auto" w:fill="D2D2D2"/>
                      </w:tcPr>
                      <w:p>
                        <w:pPr/>
                      </w:p>
                    </w:tc>
                    <w:tc>
                      <w:tcPr>
                        <w:tcW w:w="131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9"/>
                          <w:ind w:left="26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2" w:type="dxa"/>
                        <w:gridSpan w:val="2"/>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19"/>
                          <w:ind w:left="7"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70" w:hRule="exact"/>
                    </w:trPr>
                    <w:tc>
                      <w:tcPr>
                        <w:tcW w:w="3671" w:type="dxa"/>
                        <w:gridSpan w:val="2"/>
                        <w:tcBorders>
                          <w:top w:val="nil" w:sz="6" w:space="0" w:color="auto"/>
                          <w:left w:val="single" w:sz="12" w:space="0" w:color="000000"/>
                          <w:bottom w:val="single" w:sz="6" w:space="0" w:color="000000"/>
                          <w:right w:val="single" w:sz="6" w:space="0" w:color="000000"/>
                        </w:tcBorders>
                        <w:shd w:val="clear" w:color="auto" w:fill="D2D2D2"/>
                      </w:tcPr>
                      <w:p>
                        <w:pPr/>
                      </w:p>
                    </w:tc>
                    <w:tc>
                      <w:tcPr>
                        <w:tcW w:w="4028" w:type="dxa"/>
                        <w:gridSpan w:val="4"/>
                        <w:tcBorders>
                          <w:top w:val="nil" w:sz="6" w:space="0" w:color="auto"/>
                          <w:left w:val="single" w:sz="6" w:space="0" w:color="000000"/>
                          <w:bottom w:val="single" w:sz="6" w:space="0" w:color="000000"/>
                          <w:right w:val="single" w:sz="6" w:space="0" w:color="000000"/>
                        </w:tcBorders>
                        <w:shd w:val="clear" w:color="auto" w:fill="D2D2D2"/>
                      </w:tcPr>
                      <w:p>
                        <w:pPr/>
                      </w:p>
                    </w:tc>
                    <w:tc>
                      <w:tcPr>
                        <w:tcW w:w="1310" w:type="dxa"/>
                        <w:gridSpan w:val="2"/>
                        <w:vMerge/>
                        <w:tcBorders>
                          <w:left w:val="single" w:sz="6" w:space="0" w:color="000000"/>
                          <w:bottom w:val="single" w:sz="6" w:space="0" w:color="000000"/>
                          <w:right w:val="single" w:sz="6" w:space="0" w:color="000000"/>
                        </w:tcBorders>
                        <w:shd w:val="clear" w:color="auto" w:fill="D2D2D2"/>
                      </w:tcPr>
                      <w:p>
                        <w:pPr/>
                      </w:p>
                    </w:tc>
                    <w:tc>
                      <w:tcPr>
                        <w:tcW w:w="1352" w:type="dxa"/>
                        <w:gridSpan w:val="2"/>
                        <w:vMerge/>
                        <w:tcBorders>
                          <w:left w:val="single" w:sz="6" w:space="0" w:color="000000"/>
                          <w:bottom w:val="single" w:sz="6" w:space="0" w:color="000000"/>
                          <w:right w:val="single" w:sz="12" w:space="0" w:color="000000"/>
                        </w:tcBorders>
                        <w:shd w:val="clear" w:color="auto" w:fill="D2D2D2"/>
                      </w:tcPr>
                      <w:p>
                        <w:pPr/>
                      </w:p>
                    </w:tc>
                  </w:tr>
                  <w:tr>
                    <w:trPr>
                      <w:trHeight w:val="412" w:hRule="exact"/>
                    </w:trPr>
                    <w:tc>
                      <w:tcPr>
                        <w:tcW w:w="3671"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559"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402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58"/>
                          <w:jc w:val="right"/>
                          <w:rPr>
                            <w:rFonts w:ascii="宋体" w:hAnsi="宋体" w:cs="宋体" w:eastAsia="宋体" w:hint="default"/>
                            <w:sz w:val="18"/>
                            <w:szCs w:val="18"/>
                          </w:rPr>
                        </w:pPr>
                        <w:r>
                          <w:rPr>
                            <w:rFonts w:ascii="宋体"/>
                            <w:sz w:val="18"/>
                          </w:rPr>
                          <w:t>42,600,000</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416" w:right="0"/>
                          <w:jc w:val="left"/>
                          <w:rPr>
                            <w:rFonts w:ascii="宋体" w:hAnsi="宋体" w:cs="宋体" w:eastAsia="宋体" w:hint="default"/>
                            <w:sz w:val="18"/>
                            <w:szCs w:val="18"/>
                          </w:rPr>
                        </w:pPr>
                        <w:r>
                          <w:rPr>
                            <w:rFonts w:ascii="宋体"/>
                            <w:sz w:val="18"/>
                          </w:rPr>
                          <w:t>42,600,000</w:t>
                        </w:r>
                      </w:p>
                    </w:tc>
                  </w:tr>
                  <w:tr>
                    <w:trPr>
                      <w:trHeight w:val="640" w:hRule="exact"/>
                    </w:trPr>
                    <w:tc>
                      <w:tcPr>
                        <w:tcW w:w="3671"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1279" w:right="27" w:hanging="1261"/>
                          <w:jc w:val="left"/>
                          <w:rPr>
                            <w:rFonts w:ascii="宋体" w:hAnsi="宋体" w:cs="宋体" w:eastAsia="宋体" w:hint="default"/>
                            <w:sz w:val="18"/>
                            <w:szCs w:val="18"/>
                          </w:rPr>
                        </w:pPr>
                        <w:r>
                          <w:rPr>
                            <w:rFonts w:ascii="宋体" w:hAnsi="宋体" w:cs="宋体" w:eastAsia="宋体" w:hint="default"/>
                            <w:sz w:val="18"/>
                            <w:szCs w:val="18"/>
                          </w:rPr>
                          <w:t>中国银行股份有限公司－富国改革动力混合型 证券投资基金</w:t>
                        </w:r>
                      </w:p>
                    </w:tc>
                    <w:tc>
                      <w:tcPr>
                        <w:tcW w:w="402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8"/>
                          <w:jc w:val="right"/>
                          <w:rPr>
                            <w:rFonts w:ascii="宋体" w:hAnsi="宋体" w:cs="宋体" w:eastAsia="宋体" w:hint="default"/>
                            <w:sz w:val="18"/>
                            <w:szCs w:val="18"/>
                          </w:rPr>
                        </w:pPr>
                        <w:r>
                          <w:rPr>
                            <w:rFonts w:ascii="宋体"/>
                            <w:sz w:val="18"/>
                          </w:rPr>
                          <w:t>4,400,000</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6" w:right="0"/>
                          <w:jc w:val="left"/>
                          <w:rPr>
                            <w:rFonts w:ascii="宋体" w:hAnsi="宋体" w:cs="宋体" w:eastAsia="宋体" w:hint="default"/>
                            <w:sz w:val="18"/>
                            <w:szCs w:val="18"/>
                          </w:rPr>
                        </w:pPr>
                        <w:r>
                          <w:rPr>
                            <w:rFonts w:ascii="宋体"/>
                            <w:sz w:val="18"/>
                          </w:rPr>
                          <w:t>4,400,000</w:t>
                        </w:r>
                      </w:p>
                    </w:tc>
                  </w:tr>
                  <w:tr>
                    <w:trPr>
                      <w:trHeight w:val="412" w:hRule="exact"/>
                    </w:trPr>
                    <w:tc>
                      <w:tcPr>
                        <w:tcW w:w="3671"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829"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402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58"/>
                          <w:jc w:val="right"/>
                          <w:rPr>
                            <w:rFonts w:ascii="宋体" w:hAnsi="宋体" w:cs="宋体" w:eastAsia="宋体" w:hint="default"/>
                            <w:sz w:val="18"/>
                            <w:szCs w:val="18"/>
                          </w:rPr>
                        </w:pPr>
                        <w:r>
                          <w:rPr>
                            <w:rFonts w:ascii="宋体"/>
                            <w:sz w:val="18"/>
                          </w:rPr>
                          <w:t>3,995,005</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06" w:right="0"/>
                          <w:jc w:val="left"/>
                          <w:rPr>
                            <w:rFonts w:ascii="宋体" w:hAnsi="宋体" w:cs="宋体" w:eastAsia="宋体" w:hint="default"/>
                            <w:sz w:val="18"/>
                            <w:szCs w:val="18"/>
                          </w:rPr>
                        </w:pPr>
                        <w:r>
                          <w:rPr>
                            <w:rFonts w:ascii="宋体"/>
                            <w:sz w:val="18"/>
                          </w:rPr>
                          <w:t>3,995,005</w:t>
                        </w:r>
                      </w:p>
                    </w:tc>
                  </w:tr>
                  <w:tr>
                    <w:trPr>
                      <w:trHeight w:val="412" w:hRule="exact"/>
                    </w:trPr>
                    <w:tc>
                      <w:tcPr>
                        <w:tcW w:w="3671"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402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58"/>
                          <w:jc w:val="right"/>
                          <w:rPr>
                            <w:rFonts w:ascii="宋体" w:hAnsi="宋体" w:cs="宋体" w:eastAsia="宋体" w:hint="default"/>
                            <w:sz w:val="18"/>
                            <w:szCs w:val="18"/>
                          </w:rPr>
                        </w:pPr>
                        <w:r>
                          <w:rPr>
                            <w:rFonts w:ascii="宋体"/>
                            <w:sz w:val="18"/>
                          </w:rPr>
                          <w:t>3,756,325</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06" w:right="0"/>
                          <w:jc w:val="left"/>
                          <w:rPr>
                            <w:rFonts w:ascii="宋体" w:hAnsi="宋体" w:cs="宋体" w:eastAsia="宋体" w:hint="default"/>
                            <w:sz w:val="18"/>
                            <w:szCs w:val="18"/>
                          </w:rPr>
                        </w:pPr>
                        <w:r>
                          <w:rPr>
                            <w:rFonts w:ascii="宋体"/>
                            <w:sz w:val="18"/>
                          </w:rPr>
                          <w:t>3,756,325</w:t>
                        </w:r>
                      </w:p>
                    </w:tc>
                  </w:tr>
                  <w:tr>
                    <w:trPr>
                      <w:trHeight w:val="640" w:hRule="exact"/>
                    </w:trPr>
                    <w:tc>
                      <w:tcPr>
                        <w:tcW w:w="3671"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6" w:lineRule="auto" w:before="12"/>
                          <w:ind w:left="559" w:right="27" w:hanging="540"/>
                          <w:jc w:val="left"/>
                          <w:rPr>
                            <w:rFonts w:ascii="宋体" w:hAnsi="宋体" w:cs="宋体" w:eastAsia="宋体" w:hint="default"/>
                            <w:sz w:val="18"/>
                            <w:szCs w:val="18"/>
                          </w:rPr>
                        </w:pPr>
                        <w:r>
                          <w:rPr>
                            <w:rFonts w:ascii="宋体" w:hAnsi="宋体" w:cs="宋体" w:eastAsia="宋体" w:hint="default"/>
                            <w:sz w:val="18"/>
                            <w:szCs w:val="18"/>
                          </w:rPr>
                          <w:t>中国建设银行股份有限公司－银河转型增长主 题灵活配置混合型证券投资基金</w:t>
                        </w:r>
                      </w:p>
                    </w:tc>
                    <w:tc>
                      <w:tcPr>
                        <w:tcW w:w="402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8"/>
                          <w:jc w:val="right"/>
                          <w:rPr>
                            <w:rFonts w:ascii="宋体" w:hAnsi="宋体" w:cs="宋体" w:eastAsia="宋体" w:hint="default"/>
                            <w:sz w:val="18"/>
                            <w:szCs w:val="18"/>
                          </w:rPr>
                        </w:pPr>
                        <w:r>
                          <w:rPr>
                            <w:rFonts w:ascii="宋体"/>
                            <w:sz w:val="18"/>
                          </w:rPr>
                          <w:t>2,999,987</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6" w:right="0"/>
                          <w:jc w:val="left"/>
                          <w:rPr>
                            <w:rFonts w:ascii="宋体" w:hAnsi="宋体" w:cs="宋体" w:eastAsia="宋体" w:hint="default"/>
                            <w:sz w:val="18"/>
                            <w:szCs w:val="18"/>
                          </w:rPr>
                        </w:pPr>
                        <w:r>
                          <w:rPr>
                            <w:rFonts w:ascii="宋体"/>
                            <w:sz w:val="18"/>
                          </w:rPr>
                          <w:t>2,999,987</w:t>
                        </w:r>
                      </w:p>
                    </w:tc>
                  </w:tr>
                  <w:tr>
                    <w:trPr>
                      <w:trHeight w:val="412" w:hRule="exact"/>
                    </w:trPr>
                    <w:tc>
                      <w:tcPr>
                        <w:tcW w:w="3671"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李敏仙</w:t>
                        </w:r>
                      </w:p>
                    </w:tc>
                    <w:tc>
                      <w:tcPr>
                        <w:tcW w:w="402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58"/>
                          <w:jc w:val="right"/>
                          <w:rPr>
                            <w:rFonts w:ascii="宋体" w:hAnsi="宋体" w:cs="宋体" w:eastAsia="宋体" w:hint="default"/>
                            <w:sz w:val="18"/>
                            <w:szCs w:val="18"/>
                          </w:rPr>
                        </w:pPr>
                        <w:r>
                          <w:rPr>
                            <w:rFonts w:ascii="宋体"/>
                            <w:sz w:val="18"/>
                          </w:rPr>
                          <w:t>2,522,848</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06" w:right="0"/>
                          <w:jc w:val="left"/>
                          <w:rPr>
                            <w:rFonts w:ascii="宋体" w:hAnsi="宋体" w:cs="宋体" w:eastAsia="宋体" w:hint="default"/>
                            <w:sz w:val="18"/>
                            <w:szCs w:val="18"/>
                          </w:rPr>
                        </w:pPr>
                        <w:r>
                          <w:rPr>
                            <w:rFonts w:ascii="宋体"/>
                            <w:sz w:val="18"/>
                          </w:rPr>
                          <w:t>2,522,848</w:t>
                        </w:r>
                      </w:p>
                    </w:tc>
                  </w:tr>
                  <w:tr>
                    <w:trPr>
                      <w:trHeight w:val="412" w:hRule="exact"/>
                    </w:trPr>
                    <w:tc>
                      <w:tcPr>
                        <w:tcW w:w="3671"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919" w:right="0"/>
                          <w:jc w:val="left"/>
                          <w:rPr>
                            <w:rFonts w:ascii="宋体" w:hAnsi="宋体" w:cs="宋体" w:eastAsia="宋体" w:hint="default"/>
                            <w:sz w:val="18"/>
                            <w:szCs w:val="18"/>
                          </w:rPr>
                        </w:pPr>
                        <w:r>
                          <w:rPr>
                            <w:rFonts w:ascii="宋体" w:hAnsi="宋体" w:cs="宋体" w:eastAsia="宋体" w:hint="default"/>
                            <w:sz w:val="18"/>
                            <w:szCs w:val="18"/>
                          </w:rPr>
                          <w:t>华泰证券股份有限公司</w:t>
                        </w:r>
                      </w:p>
                    </w:tc>
                    <w:tc>
                      <w:tcPr>
                        <w:tcW w:w="402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58"/>
                          <w:jc w:val="right"/>
                          <w:rPr>
                            <w:rFonts w:ascii="宋体" w:hAnsi="宋体" w:cs="宋体" w:eastAsia="宋体" w:hint="default"/>
                            <w:sz w:val="18"/>
                            <w:szCs w:val="18"/>
                          </w:rPr>
                        </w:pPr>
                        <w:r>
                          <w:rPr>
                            <w:rFonts w:ascii="宋体"/>
                            <w:sz w:val="18"/>
                          </w:rPr>
                          <w:t>2,449,942</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06" w:right="0"/>
                          <w:jc w:val="left"/>
                          <w:rPr>
                            <w:rFonts w:ascii="宋体" w:hAnsi="宋体" w:cs="宋体" w:eastAsia="宋体" w:hint="default"/>
                            <w:sz w:val="18"/>
                            <w:szCs w:val="18"/>
                          </w:rPr>
                        </w:pPr>
                        <w:r>
                          <w:rPr>
                            <w:rFonts w:ascii="宋体"/>
                            <w:sz w:val="18"/>
                          </w:rPr>
                          <w:t>2,449,942</w:t>
                        </w:r>
                      </w:p>
                    </w:tc>
                  </w:tr>
                  <w:tr>
                    <w:trPr>
                      <w:trHeight w:val="640" w:hRule="exact"/>
                    </w:trPr>
                    <w:tc>
                      <w:tcPr>
                        <w:tcW w:w="3671"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739" w:right="27" w:hanging="720"/>
                          <w:jc w:val="left"/>
                          <w:rPr>
                            <w:rFonts w:ascii="宋体" w:hAnsi="宋体" w:cs="宋体" w:eastAsia="宋体" w:hint="default"/>
                            <w:sz w:val="18"/>
                            <w:szCs w:val="18"/>
                          </w:rPr>
                        </w:pPr>
                        <w:r>
                          <w:rPr>
                            <w:rFonts w:ascii="宋体" w:hAnsi="宋体" w:cs="宋体" w:eastAsia="宋体" w:hint="default"/>
                            <w:sz w:val="18"/>
                            <w:szCs w:val="18"/>
                          </w:rPr>
                          <w:t>中国工商银行股份有限公司－富国研究精选灵 活配置混合型证券投资基金</w:t>
                        </w:r>
                      </w:p>
                    </w:tc>
                    <w:tc>
                      <w:tcPr>
                        <w:tcW w:w="402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8"/>
                          <w:jc w:val="right"/>
                          <w:rPr>
                            <w:rFonts w:ascii="宋体" w:hAnsi="宋体" w:cs="宋体" w:eastAsia="宋体" w:hint="default"/>
                            <w:sz w:val="18"/>
                            <w:szCs w:val="18"/>
                          </w:rPr>
                        </w:pPr>
                        <w:r>
                          <w:rPr>
                            <w:rFonts w:ascii="宋体"/>
                            <w:sz w:val="18"/>
                          </w:rPr>
                          <w:t>1,963,222</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6" w:right="0"/>
                          <w:jc w:val="left"/>
                          <w:rPr>
                            <w:rFonts w:ascii="宋体" w:hAnsi="宋体" w:cs="宋体" w:eastAsia="宋体" w:hint="default"/>
                            <w:sz w:val="18"/>
                            <w:szCs w:val="18"/>
                          </w:rPr>
                        </w:pPr>
                        <w:r>
                          <w:rPr>
                            <w:rFonts w:ascii="宋体"/>
                            <w:sz w:val="18"/>
                          </w:rPr>
                          <w:t>1,963,222</w:t>
                        </w:r>
                      </w:p>
                    </w:tc>
                  </w:tr>
                  <w:tr>
                    <w:trPr>
                      <w:trHeight w:val="638" w:hRule="exact"/>
                    </w:trPr>
                    <w:tc>
                      <w:tcPr>
                        <w:tcW w:w="3671"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099" w:right="27" w:hanging="1081"/>
                          <w:jc w:val="left"/>
                          <w:rPr>
                            <w:rFonts w:ascii="宋体" w:hAnsi="宋体" w:cs="宋体" w:eastAsia="宋体" w:hint="default"/>
                            <w:sz w:val="18"/>
                            <w:szCs w:val="18"/>
                          </w:rPr>
                        </w:pPr>
                        <w:r>
                          <w:rPr>
                            <w:rFonts w:ascii="宋体" w:hAnsi="宋体" w:cs="宋体" w:eastAsia="宋体" w:hint="default"/>
                            <w:sz w:val="18"/>
                            <w:szCs w:val="18"/>
                          </w:rPr>
                          <w:t>招商银行股份有限公司－富国天合稳健优选混 合型证券投资基金</w:t>
                        </w:r>
                      </w:p>
                    </w:tc>
                    <w:tc>
                      <w:tcPr>
                        <w:tcW w:w="402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8"/>
                          <w:jc w:val="right"/>
                          <w:rPr>
                            <w:rFonts w:ascii="宋体" w:hAnsi="宋体" w:cs="宋体" w:eastAsia="宋体" w:hint="default"/>
                            <w:sz w:val="18"/>
                            <w:szCs w:val="18"/>
                          </w:rPr>
                        </w:pPr>
                        <w:r>
                          <w:rPr>
                            <w:rFonts w:ascii="宋体"/>
                            <w:sz w:val="18"/>
                          </w:rPr>
                          <w:t>1,700,000</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06" w:right="0"/>
                          <w:jc w:val="left"/>
                          <w:rPr>
                            <w:rFonts w:ascii="宋体" w:hAnsi="宋体" w:cs="宋体" w:eastAsia="宋体" w:hint="default"/>
                            <w:sz w:val="18"/>
                            <w:szCs w:val="18"/>
                          </w:rPr>
                        </w:pPr>
                        <w:r>
                          <w:rPr>
                            <w:rFonts w:ascii="宋体"/>
                            <w:sz w:val="18"/>
                          </w:rPr>
                          <w:t>1,700,000</w:t>
                        </w:r>
                      </w:p>
                    </w:tc>
                  </w:tr>
                  <w:tr>
                    <w:trPr>
                      <w:trHeight w:val="640" w:hRule="exact"/>
                    </w:trPr>
                    <w:tc>
                      <w:tcPr>
                        <w:tcW w:w="3671"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1189" w:right="49" w:hanging="1148"/>
                          <w:jc w:val="left"/>
                          <w:rPr>
                            <w:rFonts w:ascii="宋体" w:hAnsi="宋体" w:cs="宋体" w:eastAsia="宋体" w:hint="default"/>
                            <w:sz w:val="18"/>
                            <w:szCs w:val="18"/>
                          </w:rPr>
                        </w:pPr>
                        <w:r>
                          <w:rPr>
                            <w:rFonts w:ascii="宋体" w:hAnsi="宋体" w:cs="宋体" w:eastAsia="宋体" w:hint="default"/>
                            <w:sz w:val="18"/>
                            <w:szCs w:val="18"/>
                          </w:rPr>
                          <w:t>中海信托股份有限公司－中海－浦江之星</w:t>
                        </w:r>
                        <w:r>
                          <w:rPr>
                            <w:rFonts w:ascii="宋体" w:hAnsi="宋体" w:cs="宋体" w:eastAsia="宋体" w:hint="default"/>
                            <w:spacing w:val="-46"/>
                            <w:sz w:val="18"/>
                            <w:szCs w:val="18"/>
                          </w:rPr>
                          <w:t> </w:t>
                        </w:r>
                        <w:r>
                          <w:rPr>
                            <w:rFonts w:ascii="宋体" w:hAnsi="宋体" w:cs="宋体" w:eastAsia="宋体" w:hint="default"/>
                            <w:sz w:val="18"/>
                            <w:szCs w:val="18"/>
                          </w:rPr>
                          <w:t>177 </w:t>
                        </w:r>
                        <w:r>
                          <w:rPr>
                            <w:rFonts w:ascii="宋体" w:hAnsi="宋体" w:cs="宋体" w:eastAsia="宋体" w:hint="default"/>
                            <w:sz w:val="18"/>
                            <w:szCs w:val="18"/>
                          </w:rPr>
                          <w:t>号集合资金信托</w:t>
                        </w:r>
                      </w:p>
                    </w:tc>
                    <w:tc>
                      <w:tcPr>
                        <w:tcW w:w="402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8"/>
                          <w:jc w:val="right"/>
                          <w:rPr>
                            <w:rFonts w:ascii="宋体" w:hAnsi="宋体" w:cs="宋体" w:eastAsia="宋体" w:hint="default"/>
                            <w:sz w:val="18"/>
                            <w:szCs w:val="18"/>
                          </w:rPr>
                        </w:pPr>
                        <w:r>
                          <w:rPr>
                            <w:rFonts w:ascii="宋体"/>
                            <w:sz w:val="18"/>
                          </w:rPr>
                          <w:t>1,635,341</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6" w:right="0"/>
                          <w:jc w:val="left"/>
                          <w:rPr>
                            <w:rFonts w:ascii="宋体" w:hAnsi="宋体" w:cs="宋体" w:eastAsia="宋体" w:hint="default"/>
                            <w:sz w:val="18"/>
                            <w:szCs w:val="18"/>
                          </w:rPr>
                        </w:pPr>
                        <w:r>
                          <w:rPr>
                            <w:rFonts w:ascii="宋体"/>
                            <w:sz w:val="18"/>
                          </w:rPr>
                          <w:t>1,635,341</w:t>
                        </w:r>
                      </w:p>
                    </w:tc>
                  </w:tr>
                  <w:tr>
                    <w:trPr>
                      <w:trHeight w:val="1262" w:hRule="exact"/>
                    </w:trPr>
                    <w:tc>
                      <w:tcPr>
                        <w:tcW w:w="3671"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w:t>
                        </w:r>
                      </w:p>
                      <w:p>
                        <w:pPr>
                          <w:pStyle w:val="TableParagraph"/>
                          <w:spacing w:line="316" w:lineRule="auto" w:before="76"/>
                          <w:ind w:left="13" w:right="122"/>
                          <w:jc w:val="left"/>
                          <w:rPr>
                            <w:rFonts w:ascii="宋体" w:hAnsi="宋体" w:cs="宋体" w:eastAsia="宋体" w:hint="default"/>
                            <w:sz w:val="18"/>
                            <w:szCs w:val="18"/>
                          </w:rPr>
                        </w:pPr>
                        <w:r>
                          <w:rPr>
                            <w:rFonts w:ascii="宋体" w:hAnsi="宋体" w:cs="宋体" w:eastAsia="宋体" w:hint="default"/>
                            <w:sz w:val="18"/>
                            <w:szCs w:val="18"/>
                          </w:rPr>
                          <w:t>无限售流通股股东和前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名股东之间关联关 系或一致行动的说明</w:t>
                        </w:r>
                      </w:p>
                    </w:tc>
                    <w:tc>
                      <w:tcPr>
                        <w:tcW w:w="6690" w:type="dxa"/>
                        <w:gridSpan w:val="8"/>
                        <w:tcBorders>
                          <w:top w:val="single" w:sz="6" w:space="0" w:color="000000"/>
                          <w:left w:val="single" w:sz="6" w:space="0" w:color="000000"/>
                          <w:bottom w:val="single" w:sz="6" w:space="0" w:color="000000"/>
                          <w:right w:val="single" w:sz="12" w:space="0" w:color="000000"/>
                        </w:tcBorders>
                      </w:tcPr>
                      <w:p>
                        <w:pPr>
                          <w:pStyle w:val="TableParagraph"/>
                          <w:spacing w:line="316" w:lineRule="auto" w:before="10"/>
                          <w:ind w:left="20" w:right="12" w:firstLine="360"/>
                          <w:jc w:val="left"/>
                          <w:rPr>
                            <w:rFonts w:ascii="宋体" w:hAnsi="宋体" w:cs="宋体" w:eastAsia="宋体" w:hint="default"/>
                            <w:sz w:val="18"/>
                            <w:szCs w:val="18"/>
                          </w:rPr>
                        </w:pPr>
                        <w:r>
                          <w:rPr>
                            <w:rFonts w:ascii="宋体" w:hAnsi="宋体" w:cs="宋体" w:eastAsia="宋体" w:hint="default"/>
                            <w:spacing w:val="-1"/>
                            <w:sz w:val="18"/>
                            <w:szCs w:val="18"/>
                          </w:rPr>
                          <w:t>股东江苏光一投资管理有限责任公司为实际控制人龙昌明先生控制的企业，除此</w:t>
                        </w:r>
                        <w:r>
                          <w:rPr>
                            <w:rFonts w:ascii="宋体" w:hAnsi="宋体" w:cs="宋体" w:eastAsia="宋体" w:hint="default"/>
                            <w:sz w:val="18"/>
                            <w:szCs w:val="18"/>
                          </w:rPr>
                          <w:t> </w:t>
                        </w:r>
                        <w:r>
                          <w:rPr>
                            <w:rFonts w:ascii="宋体" w:hAnsi="宋体" w:cs="宋体" w:eastAsia="宋体" w:hint="default"/>
                            <w:spacing w:val="-4"/>
                            <w:sz w:val="18"/>
                            <w:szCs w:val="18"/>
                          </w:rPr>
                          <w:t>之外，前</w:t>
                        </w:r>
                        <w:r>
                          <w:rPr>
                            <w:rFonts w:ascii="宋体" w:hAnsi="宋体" w:cs="宋体" w:eastAsia="宋体" w:hint="default"/>
                            <w:spacing w:val="-52"/>
                            <w:sz w:val="18"/>
                            <w:szCs w:val="18"/>
                          </w:rPr>
                          <w:t> </w:t>
                        </w: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名其它无限售流通股股东之间，公司未知是否存在关联关系或一致行动</w:t>
                        </w:r>
                      </w:p>
                      <w:p>
                        <w:pPr>
                          <w:pStyle w:val="TableParagraph"/>
                          <w:spacing w:line="316" w:lineRule="auto" w:before="19"/>
                          <w:ind w:left="20" w:right="1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2"/>
                            <w:sz w:val="18"/>
                            <w:szCs w:val="18"/>
                          </w:rPr>
                          <w:t> </w:t>
                        </w: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名其它无限售流通股股东和前</w:t>
                        </w:r>
                        <w:r>
                          <w:rPr>
                            <w:rFonts w:ascii="宋体" w:hAnsi="宋体" w:cs="宋体" w:eastAsia="宋体" w:hint="default"/>
                            <w:spacing w:val="-52"/>
                            <w:sz w:val="18"/>
                            <w:szCs w:val="18"/>
                          </w:rPr>
                          <w:t> </w:t>
                        </w: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名其它股东之间，公司未知是否存在关联关系 或一致行动。</w:t>
                        </w:r>
                      </w:p>
                    </w:tc>
                  </w:tr>
                  <w:tr>
                    <w:trPr>
                      <w:trHeight w:val="647" w:hRule="exact"/>
                    </w:trPr>
                    <w:tc>
                      <w:tcPr>
                        <w:tcW w:w="3671" w:type="dxa"/>
                        <w:gridSpan w:val="2"/>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tc>
                    <w:tc>
                      <w:tcPr>
                        <w:tcW w:w="6690" w:type="dxa"/>
                        <w:gridSpan w:val="8"/>
                        <w:tcBorders>
                          <w:top w:val="single" w:sz="6" w:space="0" w:color="000000"/>
                          <w:left w:val="single" w:sz="6" w:space="0" w:color="000000"/>
                          <w:bottom w:val="single" w:sz="12" w:space="0" w:color="000000"/>
                          <w:right w:val="single" w:sz="12" w:space="0" w:color="000000"/>
                        </w:tcBorders>
                      </w:tcPr>
                      <w:p>
                        <w:pPr>
                          <w:pStyle w:val="TableParagraph"/>
                          <w:spacing w:line="316" w:lineRule="auto" w:before="11"/>
                          <w:ind w:left="20" w:right="12"/>
                          <w:jc w:val="left"/>
                          <w:rPr>
                            <w:rFonts w:ascii="宋体" w:hAnsi="宋体" w:cs="宋体" w:eastAsia="宋体" w:hint="default"/>
                            <w:sz w:val="18"/>
                            <w:szCs w:val="18"/>
                          </w:rPr>
                        </w:pPr>
                        <w:r>
                          <w:rPr>
                            <w:rFonts w:ascii="宋体" w:hAnsi="宋体" w:cs="宋体" w:eastAsia="宋体" w:hint="default"/>
                            <w:spacing w:val="-1"/>
                            <w:sz w:val="18"/>
                            <w:szCs w:val="18"/>
                          </w:rPr>
                          <w:t>上述股东均通过普通证券账户持有公司股份，不存在通过信用交易担保账户持股的情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况。</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before="35"/>
        <w:ind w:left="1134" w:right="0"/>
        <w:jc w:val="left"/>
      </w:pPr>
      <w:r>
        <w:rPr/>
        <w:t>公司前</w:t>
      </w:r>
      <w:r>
        <w:rPr>
          <w:spacing w:val="-54"/>
        </w:rPr>
        <w:t> </w:t>
      </w:r>
      <w:r>
        <w:rPr>
          <w:rFonts w:ascii="宋体" w:hAnsi="宋体" w:cs="宋体" w:eastAsia="宋体" w:hint="default"/>
        </w:rPr>
        <w:t>10</w:t>
      </w:r>
      <w:r>
        <w:rPr>
          <w:rFonts w:ascii="宋体" w:hAnsi="宋体" w:cs="宋体" w:eastAsia="宋体" w:hint="default"/>
          <w:spacing w:val="-54"/>
        </w:rPr>
        <w:t> </w:t>
      </w:r>
      <w:r>
        <w:rPr/>
        <w:t>名普通股股东、前</w:t>
      </w:r>
      <w:r>
        <w:rPr>
          <w:spacing w:val="-55"/>
        </w:rPr>
        <w:t> </w:t>
      </w:r>
      <w:r>
        <w:rPr>
          <w:rFonts w:ascii="宋体" w:hAnsi="宋体" w:cs="宋体" w:eastAsia="宋体" w:hint="default"/>
        </w:rPr>
        <w:t>10</w:t>
      </w:r>
      <w:r>
        <w:rPr>
          <w:rFonts w:ascii="宋体" w:hAnsi="宋体" w:cs="宋体" w:eastAsia="宋体" w:hint="default"/>
          <w:spacing w:val="-54"/>
        </w:rPr>
        <w:t> </w:t>
      </w:r>
      <w:r>
        <w:rPr/>
        <w:t>名无限售条件普通股股东在报告期内是否进行约定购回交易</w:t>
      </w:r>
    </w:p>
    <w:p>
      <w:pPr>
        <w:spacing w:line="240" w:lineRule="auto" w:before="10"/>
        <w:rPr>
          <w:rFonts w:ascii="宋体" w:hAnsi="宋体" w:cs="宋体" w:eastAsia="宋体" w:hint="default"/>
          <w:sz w:val="14"/>
          <w:szCs w:val="14"/>
        </w:rPr>
      </w:pPr>
    </w:p>
    <w:p>
      <w:pPr>
        <w:pStyle w:val="BodyText"/>
        <w:spacing w:line="240" w:lineRule="auto"/>
        <w:ind w:right="0"/>
        <w:jc w:val="left"/>
      </w:pPr>
      <w:r>
        <w:rPr/>
        <w:t>□ 是 √ 否</w:t>
      </w:r>
    </w:p>
    <w:p>
      <w:pPr>
        <w:spacing w:line="240" w:lineRule="auto" w:before="10"/>
        <w:rPr>
          <w:rFonts w:ascii="宋体" w:hAnsi="宋体" w:cs="宋体" w:eastAsia="宋体" w:hint="default"/>
          <w:sz w:val="14"/>
          <w:szCs w:val="14"/>
        </w:rPr>
      </w:pPr>
    </w:p>
    <w:p>
      <w:pPr>
        <w:pStyle w:val="BodyText"/>
        <w:spacing w:line="240" w:lineRule="auto"/>
        <w:ind w:right="0"/>
        <w:jc w:val="left"/>
      </w:pPr>
      <w:r>
        <w:rPr/>
        <w:t>公司前</w:t>
      </w:r>
      <w:r>
        <w:rPr>
          <w:spacing w:val="-54"/>
        </w:rPr>
        <w:t> </w:t>
      </w:r>
      <w:r>
        <w:rPr>
          <w:rFonts w:ascii="宋体" w:hAnsi="宋体" w:cs="宋体" w:eastAsia="宋体" w:hint="default"/>
        </w:rPr>
        <w:t>10</w:t>
      </w:r>
      <w:r>
        <w:rPr>
          <w:rFonts w:ascii="宋体" w:hAnsi="宋体" w:cs="宋体" w:eastAsia="宋体" w:hint="default"/>
          <w:spacing w:val="-54"/>
        </w:rPr>
        <w:t> </w:t>
      </w:r>
      <w:r>
        <w:rPr/>
        <w:t>名普通股股东、前</w:t>
      </w:r>
      <w:r>
        <w:rPr>
          <w:spacing w:val="-55"/>
        </w:rPr>
        <w:t> </w:t>
      </w:r>
      <w:r>
        <w:rPr>
          <w:rFonts w:ascii="宋体" w:hAnsi="宋体" w:cs="宋体" w:eastAsia="宋体" w:hint="default"/>
        </w:rPr>
        <w:t>10</w:t>
      </w:r>
      <w:r>
        <w:rPr>
          <w:rFonts w:ascii="宋体" w:hAnsi="宋体" w:cs="宋体" w:eastAsia="宋体" w:hint="default"/>
          <w:spacing w:val="-54"/>
        </w:rPr>
        <w:t> </w:t>
      </w:r>
      <w:r>
        <w:rPr/>
        <w:t>名无限售条件普通股股东在报告期内未进行约定购回交易。</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415" w:lineRule="auto" w:before="0"/>
        <w:ind w:left="1133" w:right="8233" w:firstLine="0"/>
        <w:jc w:val="left"/>
        <w:rPr>
          <w:rFonts w:ascii="宋体" w:hAnsi="宋体" w:cs="宋体" w:eastAsia="宋体" w:hint="default"/>
          <w:sz w:val="21"/>
          <w:szCs w:val="21"/>
        </w:rPr>
      </w:pPr>
      <w:r>
        <w:rPr/>
        <w:pict>
          <v:shape style="position:absolute;margin-left:55.919998pt;margin-top:66.599686pt;width:480.7pt;height:83.3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5"/>
                    <w:gridCol w:w="1418"/>
                    <w:gridCol w:w="1559"/>
                    <w:gridCol w:w="1700"/>
                    <w:gridCol w:w="2198"/>
                  </w:tblGrid>
                  <w:tr>
                    <w:trPr>
                      <w:trHeight w:val="502"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5"/>
                          <w:ind w:left="79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exact"/>
                          <w:ind w:left="250" w:right="205"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19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5"/>
                          <w:ind w:left="8"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68251774-3</w:t>
                        </w:r>
                      </w:p>
                    </w:tc>
                    <w:tc>
                      <w:tcPr>
                        <w:tcW w:w="2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投资管理</w:t>
                        </w:r>
                      </w:p>
                    </w:tc>
                  </w:tr>
                  <w:tr>
                    <w:trPr>
                      <w:trHeight w:val="727" w:hRule="exact"/>
                    </w:trPr>
                    <w:tc>
                      <w:tcPr>
                        <w:tcW w:w="26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52"/>
                          <w:ind w:left="13" w:right="137"/>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 其他境内外上市公司的股权情况</w:t>
                        </w:r>
                      </w:p>
                    </w:tc>
                    <w:tc>
                      <w:tcPr>
                        <w:tcW w:w="6874" w:type="dxa"/>
                        <w:gridSpan w:val="4"/>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bookmarkStart w:name="2、公司控股股东情况" w:id="109"/>
      <w:bookmarkEnd w:id="109"/>
      <w:r>
        <w:rPr/>
      </w:r>
      <w:r>
        <w:rPr>
          <w:rFonts w:ascii="宋体" w:hAnsi="宋体" w:cs="宋体" w:eastAsia="宋体" w:hint="default"/>
          <w:b/>
          <w:bCs/>
          <w:sz w:val="20"/>
          <w:szCs w:val="20"/>
        </w:rPr>
        <w:t>2</w:t>
      </w:r>
      <w:r>
        <w:rPr>
          <w:rFonts w:ascii="宋体" w:hAnsi="宋体" w:cs="宋体" w:eastAsia="宋体" w:hint="default"/>
          <w:b/>
          <w:bCs/>
          <w:sz w:val="20"/>
          <w:szCs w:val="20"/>
        </w:rPr>
        <w:t>、公司控股股东情况</w:t>
      </w:r>
      <w:r>
        <w:rPr>
          <w:rFonts w:ascii="宋体" w:hAnsi="宋体" w:cs="宋体" w:eastAsia="宋体" w:hint="default"/>
          <w:b/>
          <w:bCs/>
          <w:w w:val="99"/>
          <w:sz w:val="20"/>
          <w:szCs w:val="20"/>
        </w:rPr>
        <w:t> </w:t>
      </w:r>
      <w:r>
        <w:rPr>
          <w:rFonts w:ascii="宋体" w:hAnsi="宋体" w:cs="宋体" w:eastAsia="宋体" w:hint="default"/>
          <w:sz w:val="21"/>
          <w:szCs w:val="21"/>
        </w:rPr>
        <w:t>控股股东性质：自然人控股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35"/>
        <w:ind w:left="1134" w:right="0"/>
        <w:jc w:val="left"/>
      </w:pPr>
      <w:r>
        <w:rPr/>
        <w:t>控股股东报告期内变更</w:t>
      </w:r>
    </w:p>
    <w:p>
      <w:pPr>
        <w:spacing w:line="240" w:lineRule="auto" w:before="10"/>
        <w:rPr>
          <w:rFonts w:ascii="宋体" w:hAnsi="宋体" w:cs="宋体" w:eastAsia="宋体" w:hint="default"/>
          <w:sz w:val="14"/>
          <w:szCs w:val="14"/>
        </w:rPr>
      </w:pPr>
    </w:p>
    <w:p>
      <w:pPr>
        <w:pStyle w:val="BodyText"/>
        <w:spacing w:line="412" w:lineRule="auto"/>
        <w:ind w:left="1134" w:right="7602"/>
        <w:jc w:val="left"/>
      </w:pPr>
      <w:r>
        <w:rPr/>
        <w:t>□ 适用 √</w:t>
      </w:r>
      <w:r>
        <w:rPr>
          <w:spacing w:val="-1"/>
        </w:rPr>
        <w:t> </w:t>
      </w:r>
      <w:r>
        <w:rPr/>
        <w:t>不适用</w:t>
      </w:r>
      <w:r>
        <w:rPr/>
        <w:t> 公司报告期控股股东未发生变更。 </w:t>
      </w:r>
      <w:bookmarkStart w:name="3、公司实际控制人情况" w:id="110"/>
      <w:bookmarkEnd w:id="110"/>
      <w:r>
        <w:rPr/>
      </w:r>
      <w:r>
        <w:rPr>
          <w:rFonts w:ascii="宋体" w:hAnsi="宋体" w:cs="宋体" w:eastAsia="宋体" w:hint="default"/>
          <w:b/>
          <w:bCs/>
          <w:sz w:val="20"/>
          <w:szCs w:val="20"/>
        </w:rPr>
        <w:t>3</w:t>
      </w:r>
      <w:r>
        <w:rPr>
          <w:rFonts w:ascii="宋体" w:hAnsi="宋体" w:cs="宋体" w:eastAsia="宋体" w:hint="default"/>
          <w:b/>
          <w:bCs/>
          <w:sz w:val="20"/>
          <w:szCs w:val="20"/>
        </w:rPr>
        <w:t>、公司实际控制人情况</w:t>
      </w:r>
      <w:r>
        <w:rPr>
          <w:rFonts w:ascii="宋体" w:hAnsi="宋体" w:cs="宋体" w:eastAsia="宋体" w:hint="default"/>
          <w:b/>
          <w:bCs/>
          <w:w w:val="99"/>
          <w:sz w:val="20"/>
          <w:szCs w:val="20"/>
        </w:rPr>
        <w:t> </w:t>
      </w: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44"/>
        <w:ind w:left="0" w:right="1140" w:firstLine="0"/>
        <w:jc w:val="right"/>
        <w:rPr>
          <w:rFonts w:ascii="宋体" w:hAnsi="宋体" w:cs="宋体" w:eastAsia="宋体" w:hint="default"/>
          <w:sz w:val="18"/>
          <w:szCs w:val="18"/>
        </w:rPr>
      </w:pPr>
      <w:r>
        <w:rPr/>
        <w:pict>
          <v:shape style="position:absolute;margin-left:55.919998pt;margin-top:-89.368279pt;width:480.7pt;height:161.7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9"/>
                    <w:gridCol w:w="2121"/>
                    <w:gridCol w:w="4119"/>
                  </w:tblGrid>
                  <w:tr>
                    <w:trPr>
                      <w:trHeight w:val="415" w:hRule="exact"/>
                    </w:trPr>
                    <w:tc>
                      <w:tcPr>
                        <w:tcW w:w="332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7" w:hRule="exact"/>
                    </w:trPr>
                    <w:tc>
                      <w:tcPr>
                        <w:tcW w:w="33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967" w:hRule="exact"/>
                    </w:trPr>
                    <w:tc>
                      <w:tcPr>
                        <w:tcW w:w="33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7"/>
                          <w:jc w:val="center"/>
                          <w:rPr>
                            <w:rFonts w:ascii="宋体" w:hAnsi="宋体" w:cs="宋体" w:eastAsia="宋体" w:hint="default"/>
                            <w:sz w:val="18"/>
                            <w:szCs w:val="18"/>
                          </w:rPr>
                        </w:pPr>
                        <w:r>
                          <w:rPr>
                            <w:rFonts w:ascii="宋体" w:hAnsi="宋体" w:cs="宋体" w:eastAsia="宋体" w:hint="default"/>
                            <w:sz w:val="18"/>
                            <w:szCs w:val="18"/>
                          </w:rPr>
                          <w:t>主要职业及职务</w:t>
                        </w:r>
                      </w:p>
                    </w:tc>
                    <w:tc>
                      <w:tcPr>
                        <w:tcW w:w="6240" w:type="dxa"/>
                        <w:gridSpan w:val="2"/>
                        <w:tcBorders>
                          <w:top w:val="single" w:sz="6" w:space="0" w:color="000000"/>
                          <w:left w:val="single" w:sz="6" w:space="0" w:color="000000"/>
                          <w:bottom w:val="single" w:sz="6" w:space="0" w:color="000000"/>
                          <w:right w:val="single" w:sz="12" w:space="0" w:color="000000"/>
                        </w:tcBorders>
                      </w:tcPr>
                      <w:p>
                        <w:pPr>
                          <w:pStyle w:val="TableParagraph"/>
                          <w:spacing w:line="316" w:lineRule="auto" w:before="53"/>
                          <w:ind w:left="20" w:right="9" w:firstLine="270"/>
                          <w:jc w:val="left"/>
                          <w:rPr>
                            <w:rFonts w:ascii="宋体" w:hAnsi="宋体" w:cs="宋体" w:eastAsia="宋体" w:hint="default"/>
                            <w:sz w:val="18"/>
                            <w:szCs w:val="18"/>
                          </w:rPr>
                        </w:pPr>
                        <w:r>
                          <w:rPr>
                            <w:rFonts w:ascii="宋体" w:hAnsi="宋体" w:cs="宋体" w:eastAsia="宋体" w:hint="default"/>
                            <w:spacing w:val="-1"/>
                            <w:sz w:val="18"/>
                            <w:szCs w:val="18"/>
                          </w:rPr>
                          <w:t>龙昌明先生，中国致公党党员，南京巿人大代表，江苏省贵州商会会长，江</w:t>
                        </w:r>
                        <w:r>
                          <w:rPr>
                            <w:rFonts w:ascii="宋体" w:hAnsi="宋体" w:cs="宋体" w:eastAsia="宋体" w:hint="default"/>
                            <w:sz w:val="18"/>
                            <w:szCs w:val="18"/>
                          </w:rPr>
                          <w:t> 苏省（贵州省）工商联常委，江苏省致公党省经济委员会副主任。光一科技第</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一届、第二届、第三届董事会董事长；</w:t>
                        </w:r>
                        <w:r>
                          <w:rPr>
                            <w:rFonts w:ascii="宋体" w:hAnsi="宋体" w:cs="宋体" w:eastAsia="宋体" w:hint="default"/>
                            <w:sz w:val="18"/>
                            <w:szCs w:val="18"/>
                          </w:rPr>
                          <w:t>2009</w:t>
                        </w:r>
                        <w:r>
                          <w:rPr>
                            <w:rFonts w:ascii="宋体" w:hAnsi="宋体" w:cs="宋体" w:eastAsia="宋体" w:hint="default"/>
                            <w:spacing w:val="-26"/>
                            <w:sz w:val="18"/>
                            <w:szCs w:val="18"/>
                          </w:rPr>
                          <w:t> </w:t>
                        </w:r>
                        <w:r>
                          <w:rPr>
                            <w:rFonts w:ascii="宋体" w:hAnsi="宋体" w:cs="宋体" w:eastAsia="宋体" w:hint="default"/>
                            <w:sz w:val="18"/>
                            <w:szCs w:val="18"/>
                          </w:rPr>
                          <w:t>年至今任光一投资执行董事；全资 子公司苏源光一董事长；全资子公司智友尚云、光一贵仁、德能工程执行董事 控股子公司云商天下董事长、索瑞电气董事；参股公司中云文化大数据董事；</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天擎华媒（北京）科技有限公司董事长、南京医科大学第三届董事会董事。</w:t>
                        </w:r>
                      </w:p>
                    </w:tc>
                  </w:tr>
                  <w:tr>
                    <w:trPr>
                      <w:trHeight w:val="415" w:hRule="exact"/>
                    </w:trPr>
                    <w:tc>
                      <w:tcPr>
                        <w:tcW w:w="332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127"/>
                          <w:jc w:val="center"/>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240" w:type="dxa"/>
                        <w:gridSpan w:val="2"/>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龙昌明先生除控股光一科技以外，不存在控股其它境内外上市公司情况。</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1134" w:right="0"/>
        <w:jc w:val="left"/>
      </w:pPr>
      <w:r>
        <w:rPr/>
        <w:t>实际控制人报告期内变更</w:t>
      </w:r>
    </w:p>
    <w:p>
      <w:pPr>
        <w:spacing w:line="240" w:lineRule="auto" w:before="10"/>
        <w:rPr>
          <w:rFonts w:ascii="宋体" w:hAnsi="宋体" w:cs="宋体" w:eastAsia="宋体" w:hint="default"/>
          <w:sz w:val="14"/>
          <w:szCs w:val="14"/>
        </w:rPr>
      </w:pPr>
    </w:p>
    <w:p>
      <w:pPr>
        <w:pStyle w:val="BodyText"/>
        <w:spacing w:line="408" w:lineRule="auto"/>
        <w:ind w:left="1134" w:right="6132"/>
        <w:jc w:val="left"/>
      </w:pPr>
      <w:r>
        <w:rPr/>
        <w:t>□ 适用 √</w:t>
      </w:r>
      <w:r>
        <w:rPr>
          <w:spacing w:val="-1"/>
        </w:rPr>
        <w:t> </w:t>
      </w:r>
      <w:r>
        <w:rPr/>
        <w:t>不适用</w:t>
      </w:r>
      <w:r>
        <w:rPr/>
        <w:t> 公司报告期实际控制人未发生变更。 公司与实际控制人之间的产权及控制关系的方框图</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3930" w:lineRule="exact"/>
        <w:ind w:left="2389"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4522193" cy="249555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4522193" cy="2495550"/>
                    </a:xfrm>
                    <a:prstGeom prst="rect">
                      <a:avLst/>
                    </a:prstGeom>
                  </pic:spPr>
                </pic:pic>
              </a:graphicData>
            </a:graphic>
          </wp:inline>
        </w:drawing>
      </w:r>
      <w:r>
        <w:rPr>
          <w:rFonts w:ascii="宋体" w:hAnsi="宋体" w:cs="宋体" w:eastAsia="宋体" w:hint="default"/>
          <w:position w:val="-78"/>
          <w:sz w:val="20"/>
          <w:szCs w:val="20"/>
        </w:rPr>
      </w:r>
    </w:p>
    <w:p>
      <w:pPr>
        <w:spacing w:line="240" w:lineRule="auto" w:before="5"/>
        <w:rPr>
          <w:rFonts w:ascii="宋体" w:hAnsi="宋体" w:cs="宋体" w:eastAsia="宋体" w:hint="default"/>
          <w:sz w:val="21"/>
          <w:szCs w:val="21"/>
        </w:rPr>
      </w:pPr>
    </w:p>
    <w:p>
      <w:pPr>
        <w:pStyle w:val="Heading3"/>
        <w:spacing w:line="240" w:lineRule="auto" w:before="26"/>
        <w:ind w:right="0"/>
        <w:jc w:val="left"/>
      </w:pPr>
      <w:r>
        <w:rPr/>
        <w:t>实际控制人通过信托或其他资产管理方式控制公司</w:t>
      </w:r>
    </w:p>
    <w:p>
      <w:pPr>
        <w:pStyle w:val="BodyText"/>
        <w:spacing w:line="240" w:lineRule="auto" w:before="177"/>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4、其他持股在10%以上的法人股东" w:id="111"/>
      <w:bookmarkEnd w:id="111"/>
      <w:r>
        <w:rPr/>
      </w:r>
      <w:r>
        <w:rPr>
          <w:rFonts w:ascii="宋体" w:hAnsi="宋体" w:cs="宋体" w:eastAsia="宋体" w:hint="default"/>
          <w:b/>
          <w:bCs/>
          <w:sz w:val="20"/>
          <w:szCs w:val="20"/>
        </w:rPr>
        <w:t>4</w:t>
      </w:r>
      <w:r>
        <w:rPr>
          <w:rFonts w:ascii="宋体" w:hAnsi="宋体" w:cs="宋体" w:eastAsia="宋体" w:hint="default"/>
          <w:b/>
          <w:bCs/>
          <w:sz w:val="20"/>
          <w:szCs w:val="20"/>
        </w:rPr>
        <w:t>、其他持股在</w:t>
      </w:r>
      <w:r>
        <w:rPr>
          <w:rFonts w:ascii="宋体" w:hAnsi="宋体" w:cs="宋体" w:eastAsia="宋体" w:hint="default"/>
          <w:b/>
          <w:bCs/>
          <w:spacing w:val="-54"/>
          <w:sz w:val="20"/>
          <w:szCs w:val="20"/>
        </w:rPr>
        <w:t> </w:t>
      </w:r>
      <w:r>
        <w:rPr>
          <w:rFonts w:ascii="宋体" w:hAnsi="宋体" w:cs="宋体" w:eastAsia="宋体" w:hint="default"/>
          <w:b/>
          <w:bCs/>
          <w:sz w:val="20"/>
          <w:szCs w:val="20"/>
        </w:rPr>
        <w:t>10%</w:t>
      </w:r>
      <w:r>
        <w:rPr>
          <w:rFonts w:ascii="宋体" w:hAnsi="宋体" w:cs="宋体" w:eastAsia="宋体" w:hint="default"/>
          <w:b/>
          <w:bCs/>
          <w:sz w:val="20"/>
          <w:szCs w:val="20"/>
        </w:rPr>
        <w:t>以上的法人股东</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12"/>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2580"/>
        <w:gridCol w:w="1533"/>
        <w:gridCol w:w="1696"/>
        <w:gridCol w:w="1139"/>
        <w:gridCol w:w="2622"/>
      </w:tblGrid>
      <w:tr>
        <w:trPr>
          <w:trHeight w:val="766" w:hRule="exact"/>
        </w:trPr>
        <w:tc>
          <w:tcPr>
            <w:tcW w:w="25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53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57" w:lineRule="auto" w:before="51"/>
              <w:ind w:left="309" w:right="263"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16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13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62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415" w:hRule="exact"/>
        </w:trPr>
        <w:tc>
          <w:tcPr>
            <w:tcW w:w="258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湖北乾瀚投资有限公司</w:t>
            </w:r>
          </w:p>
        </w:tc>
        <w:tc>
          <w:tcPr>
            <w:tcW w:w="15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489" w:right="0"/>
              <w:jc w:val="left"/>
              <w:rPr>
                <w:rFonts w:ascii="宋体" w:hAnsi="宋体" w:cs="宋体" w:eastAsia="宋体" w:hint="default"/>
                <w:sz w:val="18"/>
                <w:szCs w:val="18"/>
              </w:rPr>
            </w:pPr>
            <w:r>
              <w:rPr>
                <w:rFonts w:ascii="宋体" w:hAnsi="宋体" w:cs="宋体" w:eastAsia="宋体" w:hint="default"/>
                <w:sz w:val="18"/>
                <w:szCs w:val="18"/>
              </w:rPr>
              <w:t>任昌兆</w:t>
            </w:r>
          </w:p>
        </w:tc>
        <w:tc>
          <w:tcPr>
            <w:tcW w:w="16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6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对公司自主经营项目进行投资</w:t>
            </w:r>
          </w:p>
        </w:tc>
      </w:tr>
    </w:tbl>
    <w:p>
      <w:pPr>
        <w:spacing w:before="72"/>
        <w:ind w:left="1134" w:right="0" w:firstLine="0"/>
        <w:jc w:val="left"/>
        <w:rPr>
          <w:rFonts w:ascii="宋体" w:hAnsi="宋体" w:cs="宋体" w:eastAsia="宋体" w:hint="default"/>
          <w:sz w:val="20"/>
          <w:szCs w:val="20"/>
        </w:rPr>
      </w:pPr>
      <w:bookmarkStart w:name="5、控股股东、实际控制人、重组方及其他承诺主体股份限制减持情况" w:id="112"/>
      <w:bookmarkEnd w:id="112"/>
      <w:r>
        <w:rPr/>
      </w:r>
      <w:r>
        <w:rPr>
          <w:rFonts w:ascii="宋体" w:hAnsi="宋体" w:cs="宋体" w:eastAsia="宋体" w:hint="default"/>
          <w:b/>
          <w:bCs/>
          <w:sz w:val="20"/>
          <w:szCs w:val="20"/>
        </w:rPr>
        <w:t>5</w:t>
      </w:r>
      <w:r>
        <w:rPr>
          <w:rFonts w:ascii="宋体" w:hAnsi="宋体" w:cs="宋体" w:eastAsia="宋体" w:hint="default"/>
          <w:b/>
          <w:bCs/>
          <w:sz w:val="20"/>
          <w:szCs w:val="20"/>
        </w:rPr>
        <w:t>、控股股东、实际控制人、重组方及其他承诺主体股份限制减持情况</w:t>
      </w:r>
      <w:r>
        <w:rPr>
          <w:rFonts w:ascii="宋体" w:hAnsi="宋体" w:cs="宋体" w:eastAsia="宋体" w:hint="default"/>
          <w:sz w:val="20"/>
          <w:szCs w:val="20"/>
        </w:rPr>
      </w:r>
    </w:p>
    <w:p>
      <w:pPr>
        <w:spacing w:line="240" w:lineRule="auto" w:before="5"/>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1910" w:h="16840"/>
          <w:pgMar w:header="747" w:footer="1000" w:top="1040" w:bottom="1180" w:left="0" w:right="0"/>
        </w:sectPr>
      </w:pPr>
    </w:p>
    <w:p>
      <w:pPr>
        <w:pStyle w:val="BodyText"/>
        <w:spacing w:line="240" w:lineRule="auto" w:before="35"/>
        <w:ind w:left="1134" w:right="-20"/>
        <w:jc w:val="left"/>
      </w:pPr>
      <w:r>
        <w:rPr/>
        <w:t>□ 适用 √</w:t>
      </w:r>
      <w:r>
        <w:rPr>
          <w:spacing w:val="-1"/>
        </w:rPr>
        <w:t> </w:t>
      </w:r>
      <w:r>
        <w:rPr/>
        <w:t>不适用</w:t>
      </w:r>
    </w:p>
    <w:p>
      <w:pPr>
        <w:spacing w:line="240" w:lineRule="auto" w:before="8"/>
        <w:rPr>
          <w:rFonts w:ascii="宋体" w:hAnsi="宋体" w:cs="宋体" w:eastAsia="宋体" w:hint="default"/>
          <w:sz w:val="37"/>
          <w:szCs w:val="37"/>
        </w:rPr>
      </w:pPr>
      <w:r>
        <w:rPr/>
        <w:br w:type="column"/>
      </w:r>
      <w:r>
        <w:rPr>
          <w:rFonts w:ascii="宋体"/>
          <w:sz w:val="37"/>
        </w:rPr>
      </w:r>
    </w:p>
    <w:p>
      <w:pPr>
        <w:pStyle w:val="Heading1"/>
        <w:spacing w:line="240" w:lineRule="auto" w:before="0"/>
        <w:ind w:left="1134" w:right="0"/>
        <w:jc w:val="left"/>
        <w:rPr>
          <w:b w:val="0"/>
          <w:bCs w:val="0"/>
        </w:rPr>
      </w:pPr>
      <w:bookmarkStart w:name="第七节 优先股相关情况" w:id="113"/>
      <w:bookmarkEnd w:id="113"/>
      <w:r>
        <w:rPr>
          <w:b w:val="0"/>
          <w:bCs w:val="0"/>
        </w:rPr>
      </w:r>
      <w:bookmarkStart w:name="_bookmark6" w:id="114"/>
      <w:bookmarkEnd w:id="114"/>
      <w:r>
        <w:rPr>
          <w:b w:val="0"/>
          <w:bCs w:val="0"/>
        </w:rPr>
      </w:r>
      <w:r>
        <w:rPr/>
        <w:t>第七节</w:t>
      </w:r>
      <w:r>
        <w:rPr>
          <w:spacing w:val="-8"/>
        </w:rPr>
        <w:t> </w:t>
      </w:r>
      <w:r>
        <w:rPr/>
        <w:t>优先股相关情况</w:t>
      </w:r>
      <w:r>
        <w:rPr>
          <w:b w:val="0"/>
          <w:bCs w:val="0"/>
        </w:rPr>
      </w:r>
    </w:p>
    <w:p>
      <w:pPr>
        <w:spacing w:after="0" w:line="240" w:lineRule="auto"/>
        <w:jc w:val="left"/>
        <w:sectPr>
          <w:type w:val="continuous"/>
          <w:pgSz w:w="11910" w:h="16840"/>
          <w:pgMar w:top="1040" w:bottom="1180" w:left="0" w:right="0"/>
          <w:cols w:num="2" w:equalWidth="0">
            <w:col w:w="2919" w:space="213"/>
            <w:col w:w="8778"/>
          </w:cols>
        </w:sectPr>
      </w:pPr>
    </w:p>
    <w:p>
      <w:pPr>
        <w:spacing w:line="240" w:lineRule="auto" w:before="11"/>
        <w:rPr>
          <w:rFonts w:ascii="宋体" w:hAnsi="宋体" w:cs="宋体" w:eastAsia="宋体" w:hint="default"/>
          <w:b/>
          <w:bCs/>
          <w:sz w:val="13"/>
          <w:szCs w:val="13"/>
        </w:rPr>
      </w:pPr>
    </w:p>
    <w:p>
      <w:pPr>
        <w:pStyle w:val="BodyText"/>
        <w:spacing w:line="408" w:lineRule="auto" w:before="35"/>
        <w:ind w:left="1134" w:right="8232"/>
        <w:jc w:val="left"/>
      </w:pPr>
      <w:r>
        <w:rPr/>
        <w:t>□ 适用 √</w:t>
      </w:r>
      <w:r>
        <w:rPr>
          <w:spacing w:val="-1"/>
        </w:rPr>
        <w:t> </w:t>
      </w:r>
      <w:r>
        <w:rPr/>
        <w:t>不适用</w:t>
      </w:r>
      <w:r>
        <w:rPr/>
        <w:t> 报告期公司不存在优先股。</w:t>
      </w:r>
    </w:p>
    <w:p>
      <w:pPr>
        <w:spacing w:after="0" w:line="408" w:lineRule="auto"/>
        <w:jc w:val="left"/>
        <w:sectPr>
          <w:type w:val="continuous"/>
          <w:pgSz w:w="11910" w:h="16840"/>
          <w:pgMar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15"/>
      <w:bookmarkEnd w:id="115"/>
      <w:r>
        <w:rPr>
          <w:b w:val="0"/>
          <w:bCs w:val="0"/>
        </w:rPr>
      </w:r>
      <w:bookmarkStart w:name="_bookmark7" w:id="116"/>
      <w:bookmarkEnd w:id="116"/>
      <w:r>
        <w:rPr>
          <w:b w:val="0"/>
          <w:bCs w:val="0"/>
        </w:rPr>
      </w:r>
      <w:r>
        <w:rPr/>
        <w:t>第八节</w:t>
      </w:r>
      <w:r>
        <w:rPr>
          <w:spacing w:val="-16"/>
        </w:rPr>
        <w:t> </w:t>
      </w:r>
      <w:r>
        <w:rPr/>
        <w:t>董事、监事、高级管理人员和员工情况</w:t>
      </w:r>
      <w:r>
        <w:rPr>
          <w:b w:val="0"/>
          <w:bCs w:val="0"/>
        </w:rPr>
      </w:r>
    </w:p>
    <w:p>
      <w:pPr>
        <w:spacing w:line="240" w:lineRule="auto" w:before="10"/>
        <w:rPr>
          <w:rFonts w:ascii="宋体" w:hAnsi="宋体" w:cs="宋体" w:eastAsia="宋体" w:hint="default"/>
          <w:b/>
          <w:bCs/>
          <w:sz w:val="44"/>
          <w:szCs w:val="44"/>
        </w:rPr>
      </w:pPr>
    </w:p>
    <w:p>
      <w:pPr>
        <w:pStyle w:val="Heading2"/>
        <w:spacing w:line="240" w:lineRule="auto" w:before="0"/>
        <w:ind w:right="0"/>
        <w:jc w:val="left"/>
        <w:rPr>
          <w:b w:val="0"/>
          <w:bCs w:val="0"/>
        </w:rPr>
      </w:pPr>
      <w:bookmarkStart w:name="一、董事、监事和高级管理人员持股变动" w:id="117"/>
      <w:bookmarkEnd w:id="117"/>
      <w:r>
        <w:rPr>
          <w:b w:val="0"/>
          <w:bCs w:val="0"/>
        </w:rPr>
      </w:r>
      <w:r>
        <w:rPr/>
        <w:t>一、董事、监事和高级管理人员持股变动</w:t>
      </w:r>
      <w:r>
        <w:rPr>
          <w:b w:val="0"/>
          <w:bCs w:val="0"/>
        </w:rPr>
      </w:r>
    </w:p>
    <w:p>
      <w:pPr>
        <w:spacing w:line="240" w:lineRule="auto" w:before="3"/>
        <w:rPr>
          <w:rFonts w:ascii="宋体" w:hAnsi="宋体" w:cs="宋体" w:eastAsia="宋体" w:hint="default"/>
          <w:b/>
          <w:bCs/>
          <w:sz w:val="9"/>
          <w:szCs w:val="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550" w:type="dxa"/>
        <w:tblLayout w:type="fixed"/>
        <w:tblCellMar>
          <w:top w:w="0" w:type="dxa"/>
          <w:left w:w="0" w:type="dxa"/>
          <w:bottom w:w="0" w:type="dxa"/>
          <w:right w:w="0" w:type="dxa"/>
        </w:tblCellMar>
        <w:tblLook w:val="01E0"/>
      </w:tblPr>
      <w:tblGrid>
        <w:gridCol w:w="799"/>
        <w:gridCol w:w="797"/>
        <w:gridCol w:w="532"/>
        <w:gridCol w:w="425"/>
        <w:gridCol w:w="426"/>
        <w:gridCol w:w="1559"/>
        <w:gridCol w:w="1560"/>
        <w:gridCol w:w="991"/>
        <w:gridCol w:w="710"/>
        <w:gridCol w:w="851"/>
        <w:gridCol w:w="991"/>
        <w:gridCol w:w="1135"/>
      </w:tblGrid>
      <w:tr>
        <w:trPr>
          <w:trHeight w:val="742" w:hRule="exact"/>
        </w:trPr>
        <w:tc>
          <w:tcPr>
            <w:tcW w:w="79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3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4" w:lineRule="auto" w:before="101"/>
              <w:ind w:left="78" w:right="77"/>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年龄</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期初持股数</w:t>
            </w:r>
          </w:p>
        </w:tc>
        <w:tc>
          <w:tcPr>
            <w:tcW w:w="7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exact"/>
              <w:ind w:left="77" w:right="75"/>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8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4" w:lineRule="auto" w:before="101"/>
              <w:ind w:left="58" w:right="55"/>
              <w:jc w:val="left"/>
              <w:rPr>
                <w:rFonts w:ascii="宋体" w:hAnsi="宋体" w:cs="宋体" w:eastAsia="宋体" w:hint="default"/>
                <w:sz w:val="18"/>
                <w:szCs w:val="18"/>
              </w:rPr>
            </w:pPr>
            <w:r>
              <w:rPr>
                <w:rFonts w:ascii="宋体" w:hAnsi="宋体" w:cs="宋体" w:eastAsia="宋体" w:hint="default"/>
                <w:sz w:val="18"/>
                <w:szCs w:val="18"/>
              </w:rPr>
              <w:t>本期减持 股份数量</w:t>
            </w:r>
          </w:p>
        </w:tc>
        <w:tc>
          <w:tcPr>
            <w:tcW w:w="9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4" w:lineRule="auto" w:before="101"/>
              <w:ind w:left="398" w:right="36" w:hanging="360"/>
              <w:jc w:val="left"/>
              <w:rPr>
                <w:rFonts w:ascii="宋体" w:hAnsi="宋体" w:cs="宋体" w:eastAsia="宋体" w:hint="default"/>
                <w:sz w:val="18"/>
                <w:szCs w:val="18"/>
              </w:rPr>
            </w:pPr>
            <w:r>
              <w:rPr>
                <w:rFonts w:ascii="宋体" w:hAnsi="宋体" w:cs="宋体" w:eastAsia="宋体" w:hint="default"/>
                <w:sz w:val="18"/>
                <w:szCs w:val="18"/>
              </w:rPr>
              <w:t>其他增减变 动</w:t>
            </w:r>
          </w:p>
        </w:tc>
        <w:tc>
          <w:tcPr>
            <w:tcW w:w="113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期末持股数</w:t>
            </w:r>
          </w:p>
        </w:tc>
      </w:tr>
      <w:tr>
        <w:trPr>
          <w:trHeight w:val="412"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49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14,953,500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3" w:right="0"/>
              <w:jc w:val="center"/>
              <w:rPr>
                <w:rFonts w:ascii="宋体" w:hAnsi="宋体" w:cs="宋体" w:eastAsia="宋体" w:hint="default"/>
                <w:sz w:val="18"/>
                <w:szCs w:val="18"/>
              </w:rPr>
            </w:pPr>
            <w:r>
              <w:rPr>
                <w:rFonts w:ascii="宋体"/>
                <w:sz w:val="18"/>
              </w:rPr>
              <w:t>71,800</w:t>
            </w:r>
          </w:p>
        </w:tc>
        <w:tc>
          <w:tcPr>
            <w:tcW w:w="85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15,025,300</w:t>
            </w:r>
          </w:p>
        </w:tc>
      </w:tr>
      <w:tr>
        <w:trPr>
          <w:trHeight w:val="496"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3"/>
              <w:ind w:right="6"/>
              <w:jc w:val="center"/>
              <w:rPr>
                <w:rFonts w:ascii="宋体" w:hAnsi="宋体" w:cs="宋体" w:eastAsia="宋体" w:hint="default"/>
                <w:sz w:val="18"/>
                <w:szCs w:val="18"/>
              </w:rPr>
            </w:pPr>
            <w:r>
              <w:rPr>
                <w:rFonts w:ascii="宋体" w:hAnsi="宋体" w:cs="宋体" w:eastAsia="宋体" w:hint="default"/>
                <w:sz w:val="18"/>
                <w:szCs w:val="18"/>
              </w:rPr>
              <w:t>王海俊</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21" w:right="119" w:firstLine="90"/>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9"/>
              <w:jc w:val="right"/>
              <w:rPr>
                <w:rFonts w:ascii="宋体" w:hAnsi="宋体" w:cs="宋体" w:eastAsia="宋体" w:hint="default"/>
                <w:sz w:val="18"/>
                <w:szCs w:val="18"/>
              </w:rPr>
            </w:pPr>
            <w:r>
              <w:rPr>
                <w:rFonts w:ascii="宋体"/>
                <w:sz w:val="18"/>
              </w:rPr>
              <w:t>46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8"/>
              <w:jc w:val="right"/>
              <w:rPr>
                <w:rFonts w:ascii="宋体" w:hAnsi="宋体" w:cs="宋体" w:eastAsia="宋体" w:hint="default"/>
                <w:sz w:val="18"/>
                <w:szCs w:val="18"/>
              </w:rPr>
            </w:pPr>
            <w:r>
              <w:rPr>
                <w:rFonts w:ascii="宋体"/>
                <w:sz w:val="18"/>
              </w:rPr>
              <w:t>776,500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8"/>
              <w:jc w:val="right"/>
              <w:rPr>
                <w:rFonts w:ascii="宋体" w:hAnsi="宋体" w:cs="宋体" w:eastAsia="宋体" w:hint="default"/>
                <w:sz w:val="18"/>
                <w:szCs w:val="18"/>
              </w:rPr>
            </w:pPr>
            <w:r>
              <w:rPr>
                <w:rFonts w:ascii="宋体"/>
                <w:sz w:val="18"/>
              </w:rPr>
              <w:t>142,400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11"/>
              <w:jc w:val="right"/>
              <w:rPr>
                <w:rFonts w:ascii="宋体" w:hAnsi="宋体" w:cs="宋体" w:eastAsia="宋体" w:hint="default"/>
                <w:sz w:val="18"/>
                <w:szCs w:val="18"/>
              </w:rPr>
            </w:pPr>
            <w:r>
              <w:rPr>
                <w:rFonts w:ascii="宋体"/>
                <w:sz w:val="18"/>
              </w:rPr>
              <w:t>634,100</w:t>
            </w:r>
          </w:p>
        </w:tc>
      </w:tr>
      <w:tr>
        <w:trPr>
          <w:trHeight w:val="412"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6"/>
              <w:jc w:val="center"/>
              <w:rPr>
                <w:rFonts w:ascii="宋体" w:hAnsi="宋体" w:cs="宋体" w:eastAsia="宋体" w:hint="default"/>
                <w:sz w:val="18"/>
                <w:szCs w:val="18"/>
              </w:rPr>
            </w:pPr>
            <w:r>
              <w:rPr>
                <w:rFonts w:ascii="宋体" w:hAnsi="宋体" w:cs="宋体" w:eastAsia="宋体" w:hint="default"/>
                <w:sz w:val="18"/>
                <w:szCs w:val="18"/>
              </w:rPr>
              <w:t>任昌兆</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55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2,792,616</w:t>
            </w:r>
          </w:p>
        </w:tc>
        <w:tc>
          <w:tcPr>
            <w:tcW w:w="11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2,792,616</w:t>
            </w:r>
          </w:p>
        </w:tc>
      </w:tr>
      <w:tr>
        <w:trPr>
          <w:trHeight w:val="494"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6"/>
              <w:jc w:val="center"/>
              <w:rPr>
                <w:rFonts w:ascii="宋体" w:hAnsi="宋体" w:cs="宋体" w:eastAsia="宋体" w:hint="default"/>
                <w:sz w:val="18"/>
                <w:szCs w:val="18"/>
              </w:rPr>
            </w:pPr>
            <w:r>
              <w:rPr>
                <w:rFonts w:ascii="宋体" w:hAnsi="宋体" w:cs="宋体" w:eastAsia="宋体" w:hint="default"/>
                <w:sz w:val="18"/>
                <w:szCs w:val="18"/>
              </w:rPr>
              <w:t>邱卫东</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1" w:right="29" w:hanging="90"/>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
              <w:jc w:val="right"/>
              <w:rPr>
                <w:rFonts w:ascii="宋体" w:hAnsi="宋体" w:cs="宋体" w:eastAsia="宋体" w:hint="default"/>
                <w:sz w:val="18"/>
                <w:szCs w:val="18"/>
              </w:rPr>
            </w:pPr>
            <w:r>
              <w:rPr>
                <w:rFonts w:ascii="宋体"/>
                <w:sz w:val="18"/>
              </w:rPr>
              <w:t>50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7"/>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366,187</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91,547</w:t>
            </w: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11"/>
              <w:jc w:val="right"/>
              <w:rPr>
                <w:rFonts w:ascii="宋体" w:hAnsi="宋体" w:cs="宋体" w:eastAsia="宋体" w:hint="default"/>
                <w:sz w:val="18"/>
                <w:szCs w:val="18"/>
              </w:rPr>
            </w:pPr>
            <w:r>
              <w:rPr>
                <w:rFonts w:ascii="宋体"/>
                <w:sz w:val="18"/>
              </w:rPr>
              <w:t>274,640</w:t>
            </w:r>
          </w:p>
        </w:tc>
      </w:tr>
      <w:tr>
        <w:trPr>
          <w:trHeight w:val="496"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3"/>
              <w:ind w:right="6"/>
              <w:jc w:val="center"/>
              <w:rPr>
                <w:rFonts w:ascii="宋体" w:hAnsi="宋体" w:cs="宋体" w:eastAsia="宋体" w:hint="default"/>
                <w:sz w:val="18"/>
                <w:szCs w:val="18"/>
              </w:rPr>
            </w:pPr>
            <w:r>
              <w:rPr>
                <w:rFonts w:ascii="宋体" w:hAnsi="宋体" w:cs="宋体" w:eastAsia="宋体" w:hint="default"/>
                <w:sz w:val="18"/>
                <w:szCs w:val="18"/>
              </w:rPr>
              <w:t>戴晓东</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21" w:right="29" w:hanging="90"/>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9"/>
              <w:jc w:val="right"/>
              <w:rPr>
                <w:rFonts w:ascii="宋体" w:hAnsi="宋体" w:cs="宋体" w:eastAsia="宋体" w:hint="default"/>
                <w:sz w:val="18"/>
                <w:szCs w:val="18"/>
              </w:rPr>
            </w:pPr>
            <w:r>
              <w:rPr>
                <w:rFonts w:ascii="宋体"/>
                <w:sz w:val="18"/>
              </w:rPr>
              <w:t>44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8"/>
              <w:jc w:val="right"/>
              <w:rPr>
                <w:rFonts w:ascii="宋体" w:hAnsi="宋体" w:cs="宋体" w:eastAsia="宋体" w:hint="default"/>
                <w:sz w:val="18"/>
                <w:szCs w:val="18"/>
              </w:rPr>
            </w:pPr>
            <w:r>
              <w:rPr>
                <w:rFonts w:ascii="宋体"/>
                <w:sz w:val="18"/>
              </w:rPr>
              <w:t>468,850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8"/>
              <w:jc w:val="right"/>
              <w:rPr>
                <w:rFonts w:ascii="宋体" w:hAnsi="宋体" w:cs="宋体" w:eastAsia="宋体" w:hint="default"/>
                <w:sz w:val="18"/>
                <w:szCs w:val="18"/>
              </w:rPr>
            </w:pPr>
            <w:r>
              <w:rPr>
                <w:rFonts w:ascii="宋体"/>
                <w:sz w:val="18"/>
              </w:rPr>
              <w:t>26,000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11"/>
              <w:jc w:val="right"/>
              <w:rPr>
                <w:rFonts w:ascii="宋体" w:hAnsi="宋体" w:cs="宋体" w:eastAsia="宋体" w:hint="default"/>
                <w:sz w:val="18"/>
                <w:szCs w:val="18"/>
              </w:rPr>
            </w:pPr>
            <w:r>
              <w:rPr>
                <w:rFonts w:ascii="宋体"/>
                <w:sz w:val="18"/>
              </w:rPr>
              <w:t>442,850</w:t>
            </w:r>
          </w:p>
        </w:tc>
      </w:tr>
      <w:tr>
        <w:trPr>
          <w:trHeight w:val="412"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6"/>
              <w:jc w:val="center"/>
              <w:rPr>
                <w:rFonts w:ascii="宋体" w:hAnsi="宋体" w:cs="宋体" w:eastAsia="宋体" w:hint="default"/>
                <w:sz w:val="18"/>
                <w:szCs w:val="18"/>
              </w:rPr>
            </w:pPr>
            <w:r>
              <w:rPr>
                <w:rFonts w:ascii="宋体" w:hAnsi="宋体" w:cs="宋体" w:eastAsia="宋体" w:hint="default"/>
                <w:sz w:val="18"/>
                <w:szCs w:val="18"/>
              </w:rPr>
              <w:t>熊</w:t>
            </w:r>
            <w:r>
              <w:rPr>
                <w:rFonts w:ascii="宋体" w:hAnsi="宋体" w:cs="宋体" w:eastAsia="宋体" w:hint="default"/>
                <w:spacing w:val="90"/>
                <w:sz w:val="18"/>
                <w:szCs w:val="18"/>
              </w:rPr>
              <w:t> </w:t>
            </w:r>
            <w:r>
              <w:rPr>
                <w:rFonts w:ascii="宋体" w:hAnsi="宋体" w:cs="宋体" w:eastAsia="宋体" w:hint="default"/>
                <w:sz w:val="18"/>
                <w:szCs w:val="18"/>
              </w:rPr>
              <w:t>俊</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30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6"/>
              <w:jc w:val="center"/>
              <w:rPr>
                <w:rFonts w:ascii="宋体" w:hAnsi="宋体" w:cs="宋体" w:eastAsia="宋体" w:hint="default"/>
                <w:sz w:val="18"/>
                <w:szCs w:val="18"/>
              </w:rPr>
            </w:pPr>
            <w:r>
              <w:rPr>
                <w:rFonts w:ascii="宋体" w:hAnsi="宋体" w:cs="宋体" w:eastAsia="宋体" w:hint="default"/>
                <w:sz w:val="18"/>
                <w:szCs w:val="18"/>
              </w:rPr>
              <w:t>茅</w:t>
            </w:r>
            <w:r>
              <w:rPr>
                <w:rFonts w:ascii="宋体" w:hAnsi="宋体" w:cs="宋体" w:eastAsia="宋体" w:hint="default"/>
                <w:spacing w:val="90"/>
                <w:sz w:val="18"/>
                <w:szCs w:val="18"/>
              </w:rPr>
              <w:t> </w:t>
            </w:r>
            <w:r>
              <w:rPr>
                <w:rFonts w:ascii="宋体" w:hAnsi="宋体" w:cs="宋体" w:eastAsia="宋体" w:hint="default"/>
                <w:sz w:val="18"/>
                <w:szCs w:val="18"/>
              </w:rPr>
              <w:t>宁</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60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6"/>
              <w:jc w:val="center"/>
              <w:rPr>
                <w:rFonts w:ascii="宋体" w:hAnsi="宋体" w:cs="宋体" w:eastAsia="宋体" w:hint="default"/>
                <w:sz w:val="18"/>
                <w:szCs w:val="18"/>
              </w:rPr>
            </w:pPr>
            <w:r>
              <w:rPr>
                <w:rFonts w:ascii="宋体" w:hAnsi="宋体" w:cs="宋体" w:eastAsia="宋体" w:hint="default"/>
                <w:sz w:val="18"/>
                <w:szCs w:val="18"/>
              </w:rPr>
              <w:t>周友梅</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55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6"/>
              <w:jc w:val="center"/>
              <w:rPr>
                <w:rFonts w:ascii="宋体" w:hAnsi="宋体" w:cs="宋体" w:eastAsia="宋体" w:hint="default"/>
                <w:sz w:val="18"/>
                <w:szCs w:val="18"/>
              </w:rPr>
            </w:pPr>
            <w:r>
              <w:rPr>
                <w:rFonts w:ascii="宋体" w:hAnsi="宋体" w:cs="宋体" w:eastAsia="宋体" w:hint="default"/>
                <w:sz w:val="18"/>
                <w:szCs w:val="18"/>
              </w:rPr>
              <w:t>刘向明</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47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6"/>
              <w:jc w:val="center"/>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90"/>
                <w:sz w:val="18"/>
                <w:szCs w:val="18"/>
              </w:rPr>
              <w:t> </w:t>
            </w:r>
            <w:r>
              <w:rPr>
                <w:rFonts w:ascii="宋体" w:hAnsi="宋体" w:cs="宋体" w:eastAsia="宋体" w:hint="default"/>
                <w:sz w:val="18"/>
                <w:szCs w:val="18"/>
              </w:rPr>
              <w:t>俊</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40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6"/>
              <w:jc w:val="center"/>
              <w:rPr>
                <w:rFonts w:ascii="宋体" w:hAnsi="宋体" w:cs="宋体" w:eastAsia="宋体" w:hint="default"/>
                <w:sz w:val="18"/>
                <w:szCs w:val="18"/>
              </w:rPr>
            </w:pPr>
            <w:r>
              <w:rPr>
                <w:rFonts w:ascii="宋体" w:hAnsi="宋体" w:cs="宋体" w:eastAsia="宋体" w:hint="default"/>
                <w:sz w:val="18"/>
                <w:szCs w:val="18"/>
              </w:rPr>
              <w:t>李和渝</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59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6"/>
              <w:jc w:val="center"/>
              <w:rPr>
                <w:rFonts w:ascii="宋体" w:hAnsi="宋体" w:cs="宋体" w:eastAsia="宋体" w:hint="default"/>
                <w:sz w:val="18"/>
                <w:szCs w:val="18"/>
              </w:rPr>
            </w:pPr>
            <w:r>
              <w:rPr>
                <w:rFonts w:ascii="宋体" w:hAnsi="宋体" w:cs="宋体" w:eastAsia="宋体" w:hint="default"/>
                <w:sz w:val="18"/>
                <w:szCs w:val="18"/>
              </w:rPr>
              <w:t>廖家河</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46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6"/>
              <w:jc w:val="center"/>
              <w:rPr>
                <w:rFonts w:ascii="宋体" w:hAnsi="宋体" w:cs="宋体" w:eastAsia="宋体" w:hint="default"/>
                <w:sz w:val="18"/>
                <w:szCs w:val="18"/>
              </w:rPr>
            </w:pPr>
            <w:r>
              <w:rPr>
                <w:rFonts w:ascii="宋体" w:hAnsi="宋体" w:cs="宋体" w:eastAsia="宋体" w:hint="default"/>
                <w:sz w:val="18"/>
                <w:szCs w:val="18"/>
              </w:rPr>
              <w:t>曲</w:t>
            </w:r>
            <w:r>
              <w:rPr>
                <w:rFonts w:ascii="宋体" w:hAnsi="宋体" w:cs="宋体" w:eastAsia="宋体" w:hint="default"/>
                <w:spacing w:val="90"/>
                <w:sz w:val="18"/>
                <w:szCs w:val="18"/>
              </w:rPr>
              <w:t> </w:t>
            </w:r>
            <w:r>
              <w:rPr>
                <w:rFonts w:ascii="宋体" w:hAnsi="宋体" w:cs="宋体" w:eastAsia="宋体" w:hint="default"/>
                <w:sz w:val="18"/>
                <w:szCs w:val="18"/>
              </w:rPr>
              <w:t>凯</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45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6"/>
              <w:jc w:val="center"/>
              <w:rPr>
                <w:rFonts w:ascii="宋体" w:hAnsi="宋体" w:cs="宋体" w:eastAsia="宋体" w:hint="default"/>
                <w:sz w:val="18"/>
                <w:szCs w:val="18"/>
              </w:rPr>
            </w:pPr>
            <w:r>
              <w:rPr>
                <w:rFonts w:ascii="宋体" w:hAnsi="宋体" w:cs="宋体" w:eastAsia="宋体" w:hint="default"/>
                <w:sz w:val="18"/>
                <w:szCs w:val="18"/>
              </w:rPr>
              <w:t>朱云飞</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1" w:right="119" w:hanging="90"/>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
              <w:jc w:val="right"/>
              <w:rPr>
                <w:rFonts w:ascii="宋体" w:hAnsi="宋体" w:cs="宋体" w:eastAsia="宋体" w:hint="default"/>
                <w:sz w:val="18"/>
                <w:szCs w:val="18"/>
              </w:rPr>
            </w:pPr>
            <w:r>
              <w:rPr>
                <w:rFonts w:ascii="宋体"/>
                <w:sz w:val="18"/>
              </w:rPr>
              <w:t>51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7"/>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122,625</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11"/>
              <w:jc w:val="right"/>
              <w:rPr>
                <w:rFonts w:ascii="宋体" w:hAnsi="宋体" w:cs="宋体" w:eastAsia="宋体" w:hint="default"/>
                <w:sz w:val="18"/>
                <w:szCs w:val="18"/>
              </w:rPr>
            </w:pPr>
            <w:r>
              <w:rPr>
                <w:rFonts w:ascii="宋体"/>
                <w:sz w:val="18"/>
              </w:rPr>
              <w:t>122,625</w:t>
            </w:r>
          </w:p>
        </w:tc>
      </w:tr>
      <w:tr>
        <w:trPr>
          <w:trHeight w:val="413"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6"/>
              <w:jc w:val="center"/>
              <w:rPr>
                <w:rFonts w:ascii="宋体" w:hAnsi="宋体" w:cs="宋体" w:eastAsia="宋体" w:hint="default"/>
                <w:sz w:val="18"/>
                <w:szCs w:val="18"/>
              </w:rPr>
            </w:pPr>
            <w:r>
              <w:rPr>
                <w:rFonts w:ascii="宋体" w:hAnsi="宋体" w:cs="宋体" w:eastAsia="宋体" w:hint="default"/>
                <w:sz w:val="18"/>
                <w:szCs w:val="18"/>
              </w:rPr>
              <w:t>钱卫民</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52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right="6"/>
              <w:jc w:val="center"/>
              <w:rPr>
                <w:rFonts w:ascii="宋体" w:hAnsi="宋体" w:cs="宋体" w:eastAsia="宋体" w:hint="default"/>
                <w:sz w:val="18"/>
                <w:szCs w:val="18"/>
              </w:rPr>
            </w:pPr>
            <w:r>
              <w:rPr>
                <w:rFonts w:ascii="宋体" w:hAnsi="宋体" w:cs="宋体" w:eastAsia="宋体" w:hint="default"/>
                <w:sz w:val="18"/>
                <w:szCs w:val="18"/>
              </w:rPr>
              <w:t>葛兹俊</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z w:val="18"/>
              </w:rPr>
              <w:t>55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7"/>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8"/>
              <w:jc w:val="right"/>
              <w:rPr>
                <w:rFonts w:ascii="宋体" w:hAnsi="宋体" w:cs="宋体" w:eastAsia="宋体" w:hint="default"/>
                <w:sz w:val="18"/>
                <w:szCs w:val="18"/>
              </w:rPr>
            </w:pPr>
            <w:r>
              <w:rPr>
                <w:rFonts w:ascii="宋体"/>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6"/>
              <w:jc w:val="center"/>
              <w:rPr>
                <w:rFonts w:ascii="宋体" w:hAnsi="宋体" w:cs="宋体" w:eastAsia="宋体" w:hint="default"/>
                <w:sz w:val="18"/>
                <w:szCs w:val="18"/>
              </w:rPr>
            </w:pPr>
            <w:r>
              <w:rPr>
                <w:rFonts w:ascii="宋体" w:hAnsi="宋体" w:cs="宋体" w:eastAsia="宋体" w:hint="default"/>
                <w:sz w:val="18"/>
                <w:szCs w:val="18"/>
              </w:rPr>
              <w:t>徐一宁</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66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2,806,500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524,300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2,282,200</w:t>
            </w:r>
          </w:p>
        </w:tc>
      </w:tr>
      <w:tr>
        <w:trPr>
          <w:trHeight w:val="413"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6"/>
              <w:jc w:val="center"/>
              <w:rPr>
                <w:rFonts w:ascii="宋体" w:hAnsi="宋体" w:cs="宋体" w:eastAsia="宋体" w:hint="default"/>
                <w:sz w:val="18"/>
                <w:szCs w:val="18"/>
              </w:rPr>
            </w:pPr>
            <w:r>
              <w:rPr>
                <w:rFonts w:ascii="宋体" w:hAnsi="宋体" w:cs="宋体" w:eastAsia="宋体" w:hint="default"/>
                <w:sz w:val="18"/>
                <w:szCs w:val="18"/>
              </w:rPr>
              <w:t>何素蓉</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34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蒋</w:t>
            </w:r>
            <w:r>
              <w:rPr>
                <w:rFonts w:ascii="宋体" w:hAnsi="宋体" w:cs="宋体" w:eastAsia="宋体" w:hint="default"/>
                <w:spacing w:val="90"/>
                <w:sz w:val="18"/>
                <w:szCs w:val="18"/>
              </w:rPr>
              <w:t> </w:t>
            </w:r>
            <w:r>
              <w:rPr>
                <w:rFonts w:ascii="宋体" w:hAnsi="宋体" w:cs="宋体" w:eastAsia="宋体" w:hint="default"/>
                <w:sz w:val="18"/>
                <w:szCs w:val="18"/>
              </w:rPr>
              <w:t>悦</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 w:right="29"/>
              <w:jc w:val="center"/>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41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6"/>
              <w:jc w:val="center"/>
              <w:rPr>
                <w:rFonts w:ascii="宋体" w:hAnsi="宋体" w:cs="宋体" w:eastAsia="宋体" w:hint="default"/>
                <w:sz w:val="18"/>
                <w:szCs w:val="18"/>
              </w:rPr>
            </w:pPr>
            <w:r>
              <w:rPr>
                <w:rFonts w:ascii="宋体" w:hAnsi="宋体" w:cs="宋体" w:eastAsia="宋体" w:hint="default"/>
                <w:sz w:val="18"/>
                <w:szCs w:val="18"/>
              </w:rPr>
              <w:t>周振娟</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39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6"/>
              <w:jc w:val="center"/>
              <w:rPr>
                <w:rFonts w:ascii="宋体" w:hAnsi="宋体" w:cs="宋体" w:eastAsia="宋体" w:hint="default"/>
                <w:sz w:val="18"/>
                <w:szCs w:val="18"/>
              </w:rPr>
            </w:pPr>
            <w:r>
              <w:rPr>
                <w:rFonts w:ascii="宋体" w:hAnsi="宋体" w:cs="宋体" w:eastAsia="宋体" w:hint="default"/>
                <w:sz w:val="18"/>
                <w:szCs w:val="18"/>
              </w:rPr>
              <w:t>沈</w:t>
            </w:r>
            <w:r>
              <w:rPr>
                <w:rFonts w:ascii="宋体" w:hAnsi="宋体" w:cs="宋体" w:eastAsia="宋体" w:hint="default"/>
                <w:spacing w:val="90"/>
                <w:sz w:val="18"/>
                <w:szCs w:val="18"/>
              </w:rPr>
              <w:t> </w:t>
            </w:r>
            <w:r>
              <w:rPr>
                <w:rFonts w:ascii="宋体" w:hAnsi="宋体" w:cs="宋体" w:eastAsia="宋体" w:hint="default"/>
                <w:sz w:val="18"/>
                <w:szCs w:val="18"/>
              </w:rPr>
              <w:t>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43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67,500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16,875</w:t>
            </w: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50,625</w:t>
            </w:r>
          </w:p>
        </w:tc>
      </w:tr>
      <w:tr>
        <w:trPr>
          <w:trHeight w:val="420" w:hRule="exact"/>
        </w:trPr>
        <w:tc>
          <w:tcPr>
            <w:tcW w:w="79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61"/>
              <w:ind w:right="6"/>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79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53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425"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426"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61"/>
              <w:ind w:left="115" w:right="0"/>
              <w:jc w:val="left"/>
              <w:rPr>
                <w:rFonts w:ascii="宋体" w:hAnsi="宋体" w:cs="宋体" w:eastAsia="宋体" w:hint="default"/>
                <w:sz w:val="18"/>
                <w:szCs w:val="18"/>
              </w:rPr>
            </w:pPr>
            <w:r>
              <w:rPr>
                <w:rFonts w:ascii="宋体"/>
                <w:sz w:val="18"/>
              </w:rPr>
              <w:t>--</w:t>
            </w:r>
          </w:p>
        </w:tc>
        <w:tc>
          <w:tcPr>
            <w:tcW w:w="155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56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19,561,662</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113" w:right="0"/>
              <w:jc w:val="center"/>
              <w:rPr>
                <w:rFonts w:ascii="宋体" w:hAnsi="宋体" w:cs="宋体" w:eastAsia="宋体" w:hint="default"/>
                <w:sz w:val="18"/>
                <w:szCs w:val="18"/>
              </w:rPr>
            </w:pPr>
            <w:r>
              <w:rPr>
                <w:rFonts w:ascii="宋体"/>
                <w:sz w:val="18"/>
              </w:rPr>
              <w:t>71,800</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801,122</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2,792,616</w:t>
            </w:r>
          </w:p>
        </w:tc>
        <w:tc>
          <w:tcPr>
            <w:tcW w:w="11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21,624,956</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6"/>
        <w:rPr>
          <w:rFonts w:ascii="宋体" w:hAnsi="宋体" w:cs="宋体" w:eastAsia="宋体" w:hint="default"/>
          <w:sz w:val="24"/>
          <w:szCs w:val="24"/>
        </w:rPr>
      </w:pPr>
    </w:p>
    <w:p>
      <w:pPr>
        <w:pStyle w:val="Heading2"/>
        <w:spacing w:line="240" w:lineRule="auto" w:before="26"/>
        <w:ind w:right="0"/>
        <w:jc w:val="left"/>
        <w:rPr>
          <w:b w:val="0"/>
          <w:bCs w:val="0"/>
        </w:rPr>
      </w:pPr>
      <w:bookmarkStart w:name="二、公司董事、监事、高级管理人员变动情况" w:id="118"/>
      <w:bookmarkEnd w:id="118"/>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18" w:type="dxa"/>
        <w:tblLayout w:type="fixed"/>
        <w:tblCellMar>
          <w:top w:w="0" w:type="dxa"/>
          <w:left w:w="0" w:type="dxa"/>
          <w:bottom w:w="0" w:type="dxa"/>
          <w:right w:w="0" w:type="dxa"/>
        </w:tblCellMar>
        <w:tblLook w:val="01E0"/>
      </w:tblPr>
      <w:tblGrid>
        <w:gridCol w:w="1331"/>
        <w:gridCol w:w="1331"/>
        <w:gridCol w:w="1330"/>
        <w:gridCol w:w="1680"/>
        <w:gridCol w:w="3897"/>
      </w:tblGrid>
      <w:tr>
        <w:trPr>
          <w:trHeight w:val="415" w:hRule="exact"/>
        </w:trPr>
        <w:tc>
          <w:tcPr>
            <w:tcW w:w="133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8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9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7" w:hRule="exact"/>
        </w:trPr>
        <w:tc>
          <w:tcPr>
            <w:tcW w:w="13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李  俊</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8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因个人原因，主动离职</w:t>
            </w:r>
          </w:p>
        </w:tc>
      </w:tr>
      <w:tr>
        <w:trPr>
          <w:trHeight w:val="415" w:hRule="exact"/>
        </w:trPr>
        <w:tc>
          <w:tcPr>
            <w:tcW w:w="133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李和渝</w:t>
            </w:r>
          </w:p>
        </w:tc>
        <w:tc>
          <w:tcPr>
            <w:tcW w:w="13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8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因个人原因，主动离职</w:t>
            </w:r>
          </w:p>
        </w:tc>
      </w:tr>
    </w:tbl>
    <w:p>
      <w:pPr>
        <w:pStyle w:val="Heading2"/>
        <w:spacing w:line="240" w:lineRule="auto" w:before="40"/>
        <w:ind w:left="1134" w:right="0"/>
        <w:jc w:val="left"/>
        <w:rPr>
          <w:b w:val="0"/>
          <w:bCs w:val="0"/>
        </w:rPr>
      </w:pPr>
      <w:bookmarkStart w:name="三、任职情况" w:id="119"/>
      <w:bookmarkEnd w:id="119"/>
      <w:r>
        <w:rPr>
          <w:b w:val="0"/>
          <w:bCs w:val="0"/>
        </w:rPr>
      </w:r>
      <w:r>
        <w:rPr/>
        <w:t>三、任职情况</w:t>
      </w:r>
      <w:r>
        <w:rPr>
          <w:b w:val="0"/>
          <w:bCs w:val="0"/>
        </w:rPr>
      </w:r>
    </w:p>
    <w:p>
      <w:pPr>
        <w:pStyle w:val="BodyText"/>
        <w:spacing w:line="408" w:lineRule="auto" w:before="177"/>
        <w:ind w:left="1553" w:right="0" w:hanging="420"/>
        <w:jc w:val="left"/>
      </w:pPr>
      <w:r>
        <w:rPr/>
        <w:t>公司现任董事、监事、高级管理人员专业背景、主要工作经历以及目前在公司的主要职责 </w:t>
      </w:r>
      <w:r>
        <w:rPr>
          <w:rFonts w:ascii="宋体" w:hAnsi="宋体" w:cs="宋体" w:eastAsia="宋体" w:hint="default"/>
        </w:rPr>
        <w:t>1</w:t>
      </w:r>
      <w:r>
        <w:rPr/>
        <w:t>、董事长龙昌明先生，</w:t>
      </w:r>
      <w:r>
        <w:rPr>
          <w:rFonts w:ascii="宋体" w:hAnsi="宋体" w:cs="宋体" w:eastAsia="宋体" w:hint="default"/>
        </w:rPr>
        <w:t>1987</w:t>
      </w:r>
      <w:r>
        <w:rPr/>
        <w:t>年毕业于东南大学无线电系，本科学历，中国致公党党员，南京巿人大</w:t>
      </w:r>
    </w:p>
    <w:p>
      <w:pPr>
        <w:pStyle w:val="BodyText"/>
        <w:spacing w:line="408" w:lineRule="auto" w:before="46"/>
        <w:ind w:right="0"/>
        <w:jc w:val="left"/>
      </w:pPr>
      <w:r>
        <w:rPr/>
        <w:t>代表，江苏省贵州商会会长，江苏省（贵州省）工商联常委，江苏省致公党省经济委员会副主任。光一科 </w:t>
      </w:r>
      <w:r>
        <w:rPr>
          <w:spacing w:val="-3"/>
        </w:rPr>
        <w:t>技第一届、第二届、第三届董事会董事长；</w:t>
      </w:r>
      <w:r>
        <w:rPr>
          <w:rFonts w:ascii="宋体" w:hAnsi="宋体" w:cs="宋体" w:eastAsia="宋体" w:hint="default"/>
          <w:spacing w:val="-3"/>
        </w:rPr>
        <w:t>2009</w:t>
      </w:r>
      <w:r>
        <w:rPr>
          <w:spacing w:val="-3"/>
        </w:rPr>
        <w:t>年至今任光一投资执行董事；全资子公司苏源光一董事长；</w:t>
      </w:r>
      <w:r>
        <w:rPr>
          <w:spacing w:val="-90"/>
        </w:rPr>
        <w:t> </w:t>
      </w:r>
      <w:r>
        <w:rPr>
          <w:spacing w:val="-90"/>
        </w:rPr>
      </w:r>
      <w:r>
        <w:rPr/>
        <w:t>全资子公司智友尚云、光一贵仁、德能工程执行董事；控股子公司云商天下董事长、索瑞电气董事；参股</w:t>
      </w:r>
      <w:r>
        <w:rPr/>
        <w:t> 公司中云文化大数据董事；天擎华媒（北京）科技有限公司董事长、南京医科大学第三届董事会董事。目 前，董事长龙昌明先生主要负责制定公司战略，公司版权云项目、健康管理项目以及其他平台和大数据项 目的规划布局。</w:t>
      </w:r>
    </w:p>
    <w:p>
      <w:pPr>
        <w:pStyle w:val="BodyText"/>
        <w:spacing w:line="408" w:lineRule="auto" w:before="46"/>
        <w:ind w:right="1027" w:firstLine="420"/>
        <w:jc w:val="both"/>
      </w:pPr>
      <w:r>
        <w:rPr>
          <w:rFonts w:ascii="宋体" w:hAnsi="宋体" w:cs="宋体" w:eastAsia="宋体" w:hint="default"/>
        </w:rPr>
        <w:t>2</w:t>
      </w:r>
      <w:r>
        <w:rPr/>
        <w:t>、董事、总经理王海俊先生，</w:t>
      </w:r>
      <w:r>
        <w:rPr>
          <w:rFonts w:ascii="宋体" w:hAnsi="宋体" w:cs="宋体" w:eastAsia="宋体" w:hint="default"/>
        </w:rPr>
        <w:t>1993</w:t>
      </w:r>
      <w:r>
        <w:rPr/>
        <w:t>年毕业于南京理工大学机械制造系，硕士研究生学历，</w:t>
      </w:r>
      <w:r>
        <w:rPr>
          <w:rFonts w:ascii="宋体" w:hAnsi="宋体" w:cs="宋体" w:eastAsia="宋体" w:hint="default"/>
        </w:rPr>
        <w:t>2009</w:t>
      </w:r>
      <w:r>
        <w:rPr/>
        <w:t>年至</w:t>
      </w:r>
      <w:r>
        <w:rPr>
          <w:spacing w:val="3"/>
        </w:rPr>
        <w:t> </w:t>
      </w:r>
      <w:r>
        <w:rPr/>
        <w:t>今任光一科技第一届、第二届、第三届董事会董事、总经理；全资子公司苏源光一董事、德能设计董事；</w:t>
      </w:r>
      <w:r>
        <w:rPr/>
        <w:t> </w:t>
      </w:r>
      <w:r>
        <w:rPr>
          <w:spacing w:val="-3"/>
        </w:rPr>
        <w:t>控股子公司云商天下董事、索瑞电气董事。目前，董事、总经理王海俊先生主要负责公司运营及日常管理。</w:t>
      </w:r>
    </w:p>
    <w:p>
      <w:pPr>
        <w:pStyle w:val="BodyText"/>
        <w:spacing w:line="240" w:lineRule="auto" w:before="46"/>
        <w:ind w:left="1553" w:right="0"/>
        <w:jc w:val="left"/>
      </w:pPr>
      <w:r>
        <w:rPr>
          <w:rFonts w:ascii="宋体" w:hAnsi="宋体" w:cs="宋体" w:eastAsia="宋体" w:hint="default"/>
        </w:rPr>
        <w:t>3</w:t>
      </w:r>
      <w:r>
        <w:rPr/>
        <w:t>、董事、副总经理邱卫东先生，</w:t>
      </w:r>
      <w:r>
        <w:rPr>
          <w:rFonts w:ascii="宋体" w:hAnsi="宋体" w:cs="宋体" w:eastAsia="宋体" w:hint="default"/>
        </w:rPr>
        <w:t>1986</w:t>
      </w:r>
      <w:r>
        <w:rPr/>
        <w:t>年毕业于东南大学无线电系，硕士研究生学历，高级工程师。</w:t>
      </w:r>
    </w:p>
    <w:p>
      <w:pPr>
        <w:spacing w:line="240" w:lineRule="auto" w:before="10"/>
        <w:rPr>
          <w:rFonts w:ascii="宋体" w:hAnsi="宋体" w:cs="宋体" w:eastAsia="宋体" w:hint="default"/>
          <w:sz w:val="14"/>
          <w:szCs w:val="14"/>
        </w:rPr>
      </w:pPr>
    </w:p>
    <w:p>
      <w:pPr>
        <w:pStyle w:val="BodyText"/>
        <w:spacing w:line="408" w:lineRule="auto"/>
        <w:ind w:right="1131"/>
        <w:jc w:val="both"/>
      </w:pPr>
      <w:r>
        <w:rPr>
          <w:rFonts w:ascii="宋体" w:hAnsi="宋体" w:cs="宋体" w:eastAsia="宋体" w:hint="default"/>
          <w:spacing w:val="-1"/>
        </w:rPr>
        <w:t>2009</w:t>
      </w:r>
      <w:r>
        <w:rPr>
          <w:spacing w:val="-1"/>
        </w:rPr>
        <w:t>年至今任公司第一届、第二届、第三届董事会董事、副总经理；全资子公司苏源光一董事、德能设计</w:t>
      </w:r>
      <w:r>
        <w:rPr>
          <w:spacing w:val="-82"/>
        </w:rPr>
        <w:t> </w:t>
      </w:r>
      <w:r>
        <w:rPr>
          <w:spacing w:val="-82"/>
        </w:rPr>
      </w:r>
      <w:r>
        <w:rPr>
          <w:spacing w:val="-1"/>
        </w:rPr>
        <w:t>董事；控股子公司云商天下董事。目前、董事、副总经理邱卫东先生主要负责公司行政、法务审计、后勤</w:t>
      </w:r>
      <w:r>
        <w:rPr>
          <w:spacing w:val="-83"/>
        </w:rPr>
        <w:t> </w:t>
      </w:r>
      <w:r>
        <w:rPr>
          <w:spacing w:val="-83"/>
        </w:rPr>
      </w:r>
      <w:r>
        <w:rPr/>
        <w:t>等方面工作。</w:t>
      </w:r>
    </w:p>
    <w:p>
      <w:pPr>
        <w:pStyle w:val="BodyText"/>
        <w:spacing w:line="408" w:lineRule="auto" w:before="46"/>
        <w:ind w:right="1130" w:firstLine="420"/>
        <w:jc w:val="both"/>
      </w:pPr>
      <w:r>
        <w:rPr>
          <w:rFonts w:ascii="宋体" w:hAnsi="宋体" w:cs="宋体" w:eastAsia="宋体" w:hint="default"/>
        </w:rPr>
        <w:t>4</w:t>
      </w:r>
      <w:r>
        <w:rPr/>
        <w:t>、董事、副总经理戴晓东先生，</w:t>
      </w:r>
      <w:r>
        <w:rPr>
          <w:rFonts w:ascii="宋体" w:hAnsi="宋体" w:cs="宋体" w:eastAsia="宋体" w:hint="default"/>
        </w:rPr>
        <w:t>2000</w:t>
      </w:r>
      <w:r>
        <w:rPr/>
        <w:t>年毕业于南京财经大学工业会计专业，硕士研究生学历，非执 </w:t>
      </w:r>
      <w:r>
        <w:rPr>
          <w:spacing w:val="-1"/>
        </w:rPr>
        <w:t>业注册会计师、高级会计师。</w:t>
      </w:r>
      <w:r>
        <w:rPr>
          <w:rFonts w:ascii="宋体" w:hAnsi="宋体" w:cs="宋体" w:eastAsia="宋体" w:hint="default"/>
          <w:spacing w:val="-1"/>
        </w:rPr>
        <w:t>2009</w:t>
      </w:r>
      <w:r>
        <w:rPr>
          <w:spacing w:val="-1"/>
        </w:rPr>
        <w:t>年至</w:t>
      </w:r>
      <w:r>
        <w:rPr>
          <w:rFonts w:ascii="宋体" w:hAnsi="宋体" w:cs="宋体" w:eastAsia="宋体" w:hint="default"/>
          <w:spacing w:val="-1"/>
        </w:rPr>
        <w:t>2012</w:t>
      </w:r>
      <w:r>
        <w:rPr>
          <w:spacing w:val="-1"/>
        </w:rPr>
        <w:t>年任光一科技第一届董事会董事、财务总监；</w:t>
      </w:r>
      <w:r>
        <w:rPr>
          <w:rFonts w:ascii="宋体" w:hAnsi="宋体" w:cs="宋体" w:eastAsia="宋体" w:hint="default"/>
          <w:spacing w:val="-1"/>
        </w:rPr>
        <w:t>2012</w:t>
      </w:r>
      <w:r>
        <w:rPr>
          <w:spacing w:val="-1"/>
        </w:rPr>
        <w:t>年至</w:t>
      </w:r>
      <w:r>
        <w:rPr>
          <w:rFonts w:ascii="宋体" w:hAnsi="宋体" w:cs="宋体" w:eastAsia="宋体" w:hint="default"/>
          <w:spacing w:val="-1"/>
        </w:rPr>
        <w:t>2014</w:t>
      </w:r>
      <w:r>
        <w:rPr>
          <w:spacing w:val="-1"/>
        </w:rPr>
        <w:t>年</w:t>
      </w:r>
      <w:r>
        <w:rPr>
          <w:spacing w:val="-77"/>
        </w:rPr>
        <w:t> </w:t>
      </w:r>
      <w:r>
        <w:rPr>
          <w:spacing w:val="-1"/>
        </w:rPr>
        <w:t>任光一科技财务总监；</w:t>
      </w:r>
      <w:r>
        <w:rPr>
          <w:rFonts w:ascii="宋体" w:hAnsi="宋体" w:cs="宋体" w:eastAsia="宋体" w:hint="default"/>
          <w:spacing w:val="-1"/>
        </w:rPr>
        <w:t>2012</w:t>
      </w:r>
      <w:r>
        <w:rPr>
          <w:spacing w:val="-1"/>
        </w:rPr>
        <w:t>年至今任光一科技第二届、第三届董事会董事、副总经理；全资子公司苏源光</w:t>
      </w:r>
      <w:r>
        <w:rPr>
          <w:spacing w:val="-83"/>
        </w:rPr>
        <w:t> </w:t>
      </w:r>
      <w:r>
        <w:rPr>
          <w:spacing w:val="-83"/>
        </w:rPr>
      </w:r>
      <w:r>
        <w:rPr>
          <w:spacing w:val="-1"/>
        </w:rPr>
        <w:t>一董事、控股子公司索瑞电气董事、副总经理。目前，董事、副总经理戴晓东先生主要负责公司与控股子</w:t>
      </w:r>
      <w:r>
        <w:rPr>
          <w:spacing w:val="-83"/>
        </w:rPr>
        <w:t> </w:t>
      </w:r>
      <w:r>
        <w:rPr>
          <w:spacing w:val="-83"/>
        </w:rPr>
      </w:r>
      <w:r>
        <w:rPr/>
        <w:t>公司索瑞电气的协调管理等工作。</w:t>
      </w:r>
    </w:p>
    <w:p>
      <w:pPr>
        <w:pStyle w:val="BodyText"/>
        <w:spacing w:line="408" w:lineRule="auto" w:before="46"/>
        <w:ind w:right="1130" w:firstLine="420"/>
        <w:jc w:val="both"/>
      </w:pPr>
      <w:r>
        <w:rPr>
          <w:rFonts w:ascii="宋体" w:hAnsi="宋体" w:cs="宋体" w:eastAsia="宋体" w:hint="default"/>
        </w:rPr>
        <w:t>5</w:t>
      </w:r>
      <w:r>
        <w:rPr/>
        <w:t>、董事任昌兆先生，</w:t>
      </w:r>
      <w:r>
        <w:rPr>
          <w:rFonts w:ascii="宋体" w:hAnsi="宋体" w:cs="宋体" w:eastAsia="宋体" w:hint="default"/>
        </w:rPr>
        <w:t>1991</w:t>
      </w:r>
      <w:r>
        <w:rPr/>
        <w:t>年毕业于武汉工学院，大专学历，高级工程师。</w:t>
      </w:r>
      <w:r>
        <w:rPr>
          <w:rFonts w:ascii="宋体" w:hAnsi="宋体" w:cs="宋体" w:eastAsia="宋体" w:hint="default"/>
        </w:rPr>
        <w:t>2005</w:t>
      </w:r>
      <w:r>
        <w:rPr/>
        <w:t>年</w:t>
      </w:r>
      <w:r>
        <w:rPr>
          <w:rFonts w:ascii="宋体" w:hAnsi="宋体" w:cs="宋体" w:eastAsia="宋体" w:hint="default"/>
        </w:rPr>
        <w:t>11</w:t>
      </w:r>
      <w:r>
        <w:rPr/>
        <w:t>月至今任湖北索 </w:t>
      </w:r>
      <w:r>
        <w:rPr>
          <w:spacing w:val="-1"/>
        </w:rPr>
        <w:t>瑞电气有限公司董事长、总经理，</w:t>
      </w:r>
      <w:r>
        <w:rPr>
          <w:rFonts w:ascii="宋体" w:hAnsi="宋体" w:cs="宋体" w:eastAsia="宋体" w:hint="default"/>
          <w:spacing w:val="-1"/>
        </w:rPr>
        <w:t>2014</w:t>
      </w:r>
      <w:r>
        <w:rPr>
          <w:spacing w:val="-1"/>
        </w:rPr>
        <w:t>年</w:t>
      </w:r>
      <w:r>
        <w:rPr>
          <w:rFonts w:ascii="宋体" w:hAnsi="宋体" w:cs="宋体" w:eastAsia="宋体" w:hint="default"/>
          <w:spacing w:val="-1"/>
        </w:rPr>
        <w:t>3</w:t>
      </w:r>
      <w:r>
        <w:rPr>
          <w:spacing w:val="-1"/>
        </w:rPr>
        <w:t>月至今任湖北乾瀚投资有限公司执行董事、经理；</w:t>
      </w:r>
      <w:r>
        <w:rPr>
          <w:rFonts w:ascii="宋体" w:hAnsi="宋体" w:cs="宋体" w:eastAsia="宋体" w:hint="default"/>
          <w:spacing w:val="-1"/>
        </w:rPr>
        <w:t>2015</w:t>
      </w:r>
      <w:r>
        <w:rPr>
          <w:spacing w:val="-1"/>
        </w:rPr>
        <w:t>年</w:t>
      </w:r>
      <w:r>
        <w:rPr>
          <w:rFonts w:ascii="宋体" w:hAnsi="宋体" w:cs="宋体" w:eastAsia="宋体" w:hint="default"/>
          <w:spacing w:val="-1"/>
        </w:rPr>
        <w:t>4</w:t>
      </w:r>
      <w:r>
        <w:rPr>
          <w:spacing w:val="-1"/>
        </w:rPr>
        <w:t>月至</w:t>
      </w:r>
      <w:r>
        <w:rPr>
          <w:spacing w:val="-80"/>
        </w:rPr>
        <w:t> </w:t>
      </w:r>
      <w:r>
        <w:rPr>
          <w:spacing w:val="-1"/>
        </w:rPr>
        <w:t>今任光一科技第二届、第三届董事会董事。目前，董事任昌兆先生主要负责公司控股子公司索瑞电气的经</w:t>
      </w:r>
      <w:r>
        <w:rPr>
          <w:spacing w:val="-83"/>
        </w:rPr>
        <w:t> </w:t>
      </w:r>
      <w:r>
        <w:rPr>
          <w:spacing w:val="-83"/>
        </w:rPr>
      </w:r>
      <w:r>
        <w:rPr/>
        <w:t>营管理工作。</w:t>
      </w:r>
    </w:p>
    <w:p>
      <w:pPr>
        <w:pStyle w:val="BodyText"/>
        <w:spacing w:line="240" w:lineRule="auto" w:before="46"/>
        <w:ind w:left="1553" w:right="0"/>
        <w:jc w:val="left"/>
      </w:pPr>
      <w:r>
        <w:rPr>
          <w:rFonts w:ascii="宋体" w:hAnsi="宋体" w:cs="宋体" w:eastAsia="宋体" w:hint="default"/>
        </w:rPr>
        <w:t>6</w:t>
      </w:r>
      <w:r>
        <w:rPr/>
        <w:t>、董事熊俊先生，</w:t>
      </w:r>
      <w:r>
        <w:rPr>
          <w:rFonts w:ascii="宋体" w:hAnsi="宋体" w:cs="宋体" w:eastAsia="宋体" w:hint="default"/>
        </w:rPr>
        <w:t>2008</w:t>
      </w:r>
      <w:r>
        <w:rPr/>
        <w:t>年毕业于美国波士顿大学，大学本科双学位。</w:t>
      </w:r>
      <w:r>
        <w:rPr>
          <w:rFonts w:ascii="宋体" w:hAnsi="宋体" w:cs="宋体" w:eastAsia="宋体" w:hint="default"/>
        </w:rPr>
        <w:t>2008</w:t>
      </w:r>
      <w:r>
        <w:rPr/>
        <w:t>年</w:t>
      </w:r>
      <w:r>
        <w:rPr>
          <w:rFonts w:ascii="宋体" w:hAnsi="宋体" w:cs="宋体" w:eastAsia="宋体" w:hint="default"/>
        </w:rPr>
        <w:t>8</w:t>
      </w:r>
      <w:r>
        <w:rPr/>
        <w:t>月至</w:t>
      </w:r>
      <w:r>
        <w:rPr>
          <w:rFonts w:ascii="宋体" w:hAnsi="宋体" w:cs="宋体" w:eastAsia="宋体" w:hint="default"/>
        </w:rPr>
        <w:t>2010</w:t>
      </w:r>
      <w:r>
        <w:rPr/>
        <w:t>年</w:t>
      </w:r>
      <w:r>
        <w:rPr>
          <w:rFonts w:ascii="宋体" w:hAnsi="宋体" w:cs="宋体" w:eastAsia="宋体" w:hint="default"/>
        </w:rPr>
        <w:t>2</w:t>
      </w:r>
      <w:r>
        <w:rPr/>
        <w:t>月任职于</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right="0"/>
        <w:jc w:val="left"/>
      </w:pPr>
      <w:r>
        <w:rPr/>
        <w:t>摩根史丹利投资银行部；</w:t>
      </w:r>
      <w:r>
        <w:rPr>
          <w:rFonts w:ascii="宋体" w:hAnsi="宋体" w:cs="宋体" w:eastAsia="宋体" w:hint="default"/>
        </w:rPr>
        <w:t>2010</w:t>
      </w:r>
      <w:r>
        <w:rPr/>
        <w:t>年</w:t>
      </w:r>
      <w:r>
        <w:rPr>
          <w:rFonts w:ascii="宋体" w:hAnsi="宋体" w:cs="宋体" w:eastAsia="宋体" w:hint="default"/>
        </w:rPr>
        <w:t>2</w:t>
      </w:r>
      <w:r>
        <w:rPr/>
        <w:t>月至</w:t>
      </w:r>
      <w:r>
        <w:rPr>
          <w:rFonts w:ascii="宋体" w:hAnsi="宋体" w:cs="宋体" w:eastAsia="宋体" w:hint="default"/>
        </w:rPr>
        <w:t>2010</w:t>
      </w:r>
      <w:r>
        <w:rPr/>
        <w:t>年</w:t>
      </w:r>
      <w:r>
        <w:rPr>
          <w:rFonts w:ascii="宋体" w:hAnsi="宋体" w:cs="宋体" w:eastAsia="宋体" w:hint="default"/>
        </w:rPr>
        <w:t>9</w:t>
      </w:r>
      <w:r>
        <w:rPr/>
        <w:t>月任职于香港荣俊投资发展有限公司，担任董事长；</w:t>
      </w:r>
      <w:r>
        <w:rPr>
          <w:rFonts w:ascii="宋体" w:hAnsi="宋体" w:cs="宋体" w:eastAsia="宋体" w:hint="default"/>
        </w:rPr>
        <w:t>2010</w:t>
      </w:r>
      <w:r>
        <w:rPr/>
        <w:t>年 </w:t>
      </w:r>
      <w:r>
        <w:rPr>
          <w:rFonts w:ascii="宋体" w:hAnsi="宋体" w:cs="宋体" w:eastAsia="宋体" w:hint="default"/>
          <w:spacing w:val="-3"/>
        </w:rPr>
        <w:t>10</w:t>
      </w:r>
      <w:r>
        <w:rPr>
          <w:spacing w:val="-3"/>
        </w:rPr>
        <w:t>月至今任职于北京华康瑞宏投资有限公司，担任执行董事、总经理；</w:t>
      </w:r>
      <w:r>
        <w:rPr>
          <w:rFonts w:ascii="宋体" w:hAnsi="宋体" w:cs="宋体" w:eastAsia="宋体" w:hint="default"/>
          <w:spacing w:val="-3"/>
        </w:rPr>
        <w:t>2010</w:t>
      </w:r>
      <w:r>
        <w:rPr>
          <w:spacing w:val="-3"/>
        </w:rPr>
        <w:t>年</w:t>
      </w:r>
      <w:r>
        <w:rPr>
          <w:rFonts w:ascii="宋体" w:hAnsi="宋体" w:cs="宋体" w:eastAsia="宋体" w:hint="default"/>
          <w:spacing w:val="-3"/>
        </w:rPr>
        <w:t>10</w:t>
      </w:r>
      <w:r>
        <w:rPr>
          <w:spacing w:val="-3"/>
        </w:rPr>
        <w:t>月至今任光一科技第一届、</w:t>
      </w:r>
      <w:r>
        <w:rPr>
          <w:spacing w:val="-82"/>
        </w:rPr>
        <w:t> </w:t>
      </w:r>
      <w:r>
        <w:rPr>
          <w:spacing w:val="-82"/>
        </w:rPr>
      </w:r>
      <w:r>
        <w:rPr/>
        <w:t>第二届、第三届董事会董事；</w:t>
      </w:r>
      <w:r>
        <w:rPr>
          <w:rFonts w:ascii="宋体" w:hAnsi="宋体" w:cs="宋体" w:eastAsia="宋体" w:hint="default"/>
        </w:rPr>
        <w:t>2014</w:t>
      </w:r>
      <w:r>
        <w:rPr/>
        <w:t>年至今任江苏大烨智能电气股份有限公司第一届董事会董事。目前，董 事熊俊先生不在公司担任除董事以外的其他职务。</w:t>
      </w:r>
    </w:p>
    <w:p>
      <w:pPr>
        <w:pStyle w:val="BodyText"/>
        <w:spacing w:line="408" w:lineRule="auto" w:before="46"/>
        <w:ind w:right="0" w:firstLine="420"/>
        <w:jc w:val="left"/>
      </w:pPr>
      <w:r>
        <w:rPr>
          <w:rFonts w:ascii="宋体" w:hAnsi="宋体" w:cs="宋体" w:eastAsia="宋体" w:hint="default"/>
          <w:spacing w:val="-1"/>
        </w:rPr>
        <w:t>7</w:t>
      </w:r>
      <w:r>
        <w:rPr>
          <w:spacing w:val="-1"/>
        </w:rPr>
        <w:t>、独立董事茅宁先生，</w:t>
      </w:r>
      <w:r>
        <w:rPr>
          <w:rFonts w:ascii="宋体" w:hAnsi="宋体" w:cs="宋体" w:eastAsia="宋体" w:hint="default"/>
          <w:spacing w:val="-1"/>
        </w:rPr>
        <w:t>1988</w:t>
      </w:r>
      <w:r>
        <w:rPr>
          <w:spacing w:val="-1"/>
        </w:rPr>
        <w:t>年毕业于国防科技大学，工学博士。</w:t>
      </w:r>
      <w:r>
        <w:rPr>
          <w:rFonts w:ascii="宋体" w:hAnsi="宋体" w:cs="宋体" w:eastAsia="宋体" w:hint="default"/>
          <w:spacing w:val="-1"/>
        </w:rPr>
        <w:t>1989</w:t>
      </w:r>
      <w:r>
        <w:rPr>
          <w:spacing w:val="-1"/>
        </w:rPr>
        <w:t>年至今在南京大学商学院任教，</w:t>
      </w:r>
      <w:r>
        <w:rPr/>
        <w:t> 历任南京大学工商管理系副系主任、主任，南京大学商学院院长助理，南京大学</w:t>
      </w:r>
      <w:r>
        <w:rPr>
          <w:rFonts w:ascii="宋体" w:hAnsi="宋体" w:cs="宋体" w:eastAsia="宋体" w:hint="default"/>
        </w:rPr>
        <w:t>EMBA</w:t>
      </w:r>
      <w:r>
        <w:rPr/>
        <w:t>及高级经理培训中心 主任，南京大学管理学院副院长，美国纽约大学</w:t>
      </w:r>
      <w:r>
        <w:rPr>
          <w:rFonts w:ascii="宋体" w:hAnsi="宋体" w:cs="宋体" w:eastAsia="宋体" w:hint="default"/>
        </w:rPr>
        <w:t>Stern</w:t>
      </w:r>
      <w:r>
        <w:rPr/>
        <w:t>商学院富布赖特高级访问学者。现任南京大学商学</w:t>
      </w:r>
      <w:r>
        <w:rPr>
          <w:spacing w:val="-31"/>
        </w:rPr>
        <w:t> </w:t>
      </w:r>
      <w:r>
        <w:rPr>
          <w:spacing w:val="-31"/>
        </w:rPr>
      </w:r>
      <w:r>
        <w:rPr>
          <w:spacing w:val="-13"/>
        </w:rPr>
        <w:t>院教授、博士生导师、享受国务院特殊津贴；兼任江苏省数量经济与管理科学学会会长、南京高科（</w:t>
      </w:r>
      <w:r>
        <w:rPr>
          <w:rFonts w:ascii="宋体" w:hAnsi="宋体" w:cs="宋体" w:eastAsia="宋体" w:hint="default"/>
          <w:spacing w:val="-13"/>
        </w:rPr>
        <w:t>600064</w:t>
      </w:r>
      <w:r>
        <w:rPr>
          <w:spacing w:val="-13"/>
        </w:rPr>
        <w:t>）、</w:t>
      </w:r>
      <w:r>
        <w:rPr>
          <w:spacing w:val="-85"/>
        </w:rPr>
        <w:t> </w:t>
      </w:r>
      <w:r>
        <w:rPr/>
        <w:t>金陵饭店（</w:t>
      </w:r>
      <w:r>
        <w:rPr>
          <w:rFonts w:ascii="宋体" w:hAnsi="宋体" w:cs="宋体" w:eastAsia="宋体" w:hint="default"/>
        </w:rPr>
        <w:t>601007</w:t>
      </w:r>
      <w:r>
        <w:rPr/>
        <w:t>）、华贸物流（</w:t>
      </w:r>
      <w:r>
        <w:rPr>
          <w:rFonts w:ascii="宋体" w:hAnsi="宋体" w:cs="宋体" w:eastAsia="宋体" w:hint="default"/>
        </w:rPr>
        <w:t>603128</w:t>
      </w:r>
      <w:r>
        <w:rPr/>
        <w:t>）栖霞建设（</w:t>
      </w:r>
      <w:r>
        <w:rPr>
          <w:rFonts w:ascii="宋体" w:hAnsi="宋体" w:cs="宋体" w:eastAsia="宋体" w:hint="default"/>
        </w:rPr>
        <w:t>600533</w:t>
      </w:r>
      <w:r>
        <w:rPr/>
        <w:t>）独立董事。</w:t>
      </w:r>
      <w:r>
        <w:rPr>
          <w:rFonts w:ascii="宋体" w:hAnsi="宋体" w:cs="宋体" w:eastAsia="宋体" w:hint="default"/>
        </w:rPr>
        <w:t>2015</w:t>
      </w:r>
      <w:r>
        <w:rPr/>
        <w:t>年</w:t>
      </w:r>
      <w:r>
        <w:rPr>
          <w:rFonts w:ascii="宋体" w:hAnsi="宋体" w:cs="宋体" w:eastAsia="宋体" w:hint="default"/>
        </w:rPr>
        <w:t>4</w:t>
      </w:r>
      <w:r>
        <w:rPr/>
        <w:t>月至今任光一科技第</w:t>
      </w:r>
      <w:r>
        <w:rPr>
          <w:spacing w:val="-30"/>
        </w:rPr>
        <w:t> </w:t>
      </w:r>
      <w:r>
        <w:rPr>
          <w:spacing w:val="-30"/>
        </w:rPr>
      </w:r>
      <w:r>
        <w:rPr/>
        <w:t>二届、第三届董事会独立董事。</w:t>
      </w:r>
    </w:p>
    <w:p>
      <w:pPr>
        <w:pStyle w:val="BodyText"/>
        <w:spacing w:line="408" w:lineRule="auto" w:before="46"/>
        <w:ind w:right="1024" w:firstLine="420"/>
        <w:jc w:val="left"/>
      </w:pPr>
      <w:r>
        <w:rPr>
          <w:rFonts w:ascii="宋体" w:hAnsi="宋体" w:cs="宋体" w:eastAsia="宋体" w:hint="default"/>
        </w:rPr>
        <w:t>8</w:t>
      </w:r>
      <w:r>
        <w:rPr/>
        <w:t>、独立董事周友梅先生，</w:t>
      </w:r>
      <w:r>
        <w:rPr>
          <w:rFonts w:ascii="宋体" w:hAnsi="宋体" w:cs="宋体" w:eastAsia="宋体" w:hint="default"/>
        </w:rPr>
        <w:t>1984</w:t>
      </w:r>
      <w:r>
        <w:rPr/>
        <w:t>年毕业于安徽财经大学，硕士，中国民建会员。现任南京财经大学会 </w:t>
      </w:r>
      <w:r>
        <w:rPr>
          <w:spacing w:val="-3"/>
        </w:rPr>
        <w:t>计学院会计学教授、硕士研究生导师；兼任民建中央经济委员会委员、中国对外经济贸易会计学会副会长、</w:t>
      </w:r>
      <w:r>
        <w:rPr>
          <w:spacing w:val="-90"/>
        </w:rPr>
        <w:t> </w:t>
      </w:r>
      <w:r>
        <w:rPr>
          <w:spacing w:val="-90"/>
        </w:rPr>
      </w:r>
      <w:r>
        <w:rPr>
          <w:spacing w:val="7"/>
        </w:rPr>
        <w:t>江苏省资产评估协会副会长、江苏省对外经济贸易会计学会副会长，江苏舜天（</w:t>
      </w:r>
      <w:r>
        <w:rPr>
          <w:rFonts w:ascii="宋体" w:hAnsi="宋体" w:cs="宋体" w:eastAsia="宋体" w:hint="default"/>
          <w:spacing w:val="7"/>
        </w:rPr>
        <w:t>600287</w:t>
      </w:r>
      <w:r>
        <w:rPr>
          <w:spacing w:val="7"/>
        </w:rPr>
        <w:t>）、丰东股份</w:t>
      </w:r>
    </w:p>
    <w:p>
      <w:pPr>
        <w:pStyle w:val="BodyText"/>
        <w:spacing w:line="408" w:lineRule="auto" w:before="46"/>
        <w:ind w:right="0"/>
        <w:jc w:val="left"/>
      </w:pPr>
      <w:r>
        <w:rPr>
          <w:spacing w:val="-1"/>
        </w:rPr>
        <w:t>（</w:t>
      </w:r>
      <w:r>
        <w:rPr>
          <w:rFonts w:ascii="宋体" w:hAnsi="宋体" w:cs="宋体" w:eastAsia="宋体" w:hint="default"/>
          <w:spacing w:val="-1"/>
        </w:rPr>
        <w:t>002530</w:t>
      </w:r>
      <w:r>
        <w:rPr>
          <w:spacing w:val="-1"/>
        </w:rPr>
        <w:t>）、亚夏汽车（</w:t>
      </w:r>
      <w:r>
        <w:rPr>
          <w:rFonts w:ascii="宋体" w:hAnsi="宋体" w:cs="宋体" w:eastAsia="宋体" w:hint="default"/>
          <w:spacing w:val="-1"/>
        </w:rPr>
        <w:t>002607</w:t>
      </w:r>
      <w:r>
        <w:rPr>
          <w:spacing w:val="-1"/>
        </w:rPr>
        <w:t>）、南京高科（</w:t>
      </w:r>
      <w:r>
        <w:rPr>
          <w:rFonts w:ascii="宋体" w:hAnsi="宋体" w:cs="宋体" w:eastAsia="宋体" w:hint="default"/>
          <w:spacing w:val="-1"/>
        </w:rPr>
        <w:t>600064</w:t>
      </w:r>
      <w:r>
        <w:rPr>
          <w:spacing w:val="-1"/>
        </w:rPr>
        <w:t>）独立董事及无锡路通视信网络股份有限公司（拟</w:t>
      </w:r>
      <w:r>
        <w:rPr>
          <w:spacing w:val="-77"/>
        </w:rPr>
        <w:t> </w:t>
      </w:r>
      <w:r>
        <w:rPr>
          <w:spacing w:val="-77"/>
        </w:rPr>
      </w:r>
      <w:r>
        <w:rPr/>
        <w:t>上市公司）独立董事，</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15</w:t>
      </w:r>
      <w:r>
        <w:rPr/>
        <w:t>日至今任光一科技第三届董事会独立董事。</w:t>
      </w:r>
    </w:p>
    <w:p>
      <w:pPr>
        <w:pStyle w:val="BodyText"/>
        <w:spacing w:line="408" w:lineRule="auto" w:before="46"/>
        <w:ind w:left="1134" w:right="1128" w:firstLine="420"/>
        <w:jc w:val="both"/>
      </w:pPr>
      <w:r>
        <w:rPr>
          <w:rFonts w:ascii="宋体" w:hAnsi="宋体" w:cs="宋体" w:eastAsia="宋体" w:hint="default"/>
        </w:rPr>
        <w:t>9</w:t>
      </w:r>
      <w:r>
        <w:rPr/>
        <w:t>、独立董事刘向明先生，</w:t>
      </w:r>
      <w:r>
        <w:rPr>
          <w:rFonts w:ascii="宋体" w:hAnsi="宋体" w:cs="宋体" w:eastAsia="宋体" w:hint="default"/>
        </w:rPr>
        <w:t>1989</w:t>
      </w:r>
      <w:r>
        <w:rPr/>
        <w:t>年毕业于苏州大学，法学学士、律师证券从业资格，民盟成员。</w:t>
      </w:r>
      <w:r>
        <w:rPr>
          <w:rFonts w:ascii="宋体" w:hAnsi="宋体" w:cs="宋体" w:eastAsia="宋体" w:hint="default"/>
        </w:rPr>
        <w:t>2000 </w:t>
      </w:r>
      <w:r>
        <w:rPr/>
        <w:t>年</w:t>
      </w:r>
      <w:r>
        <w:rPr>
          <w:rFonts w:ascii="宋体" w:hAnsi="宋体" w:cs="宋体" w:eastAsia="宋体" w:hint="default"/>
        </w:rPr>
        <w:t>6</w:t>
      </w:r>
      <w:r>
        <w:rPr/>
        <w:t>月至</w:t>
      </w:r>
      <w:r>
        <w:rPr>
          <w:rFonts w:ascii="宋体" w:hAnsi="宋体" w:cs="宋体" w:eastAsia="宋体" w:hint="default"/>
        </w:rPr>
        <w:t>2015</w:t>
      </w:r>
      <w:r>
        <w:rPr/>
        <w:t>年</w:t>
      </w:r>
      <w:r>
        <w:rPr>
          <w:rFonts w:ascii="宋体" w:hAnsi="宋体" w:cs="宋体" w:eastAsia="宋体" w:hint="default"/>
        </w:rPr>
        <w:t>4</w:t>
      </w:r>
      <w:r>
        <w:rPr/>
        <w:t>月任江苏金鼎英杰律师事务所合伙人；</w:t>
      </w:r>
      <w:r>
        <w:rPr>
          <w:rFonts w:ascii="宋体" w:hAnsi="宋体" w:cs="宋体" w:eastAsia="宋体" w:hint="default"/>
        </w:rPr>
        <w:t>2010</w:t>
      </w:r>
      <w:r>
        <w:rPr/>
        <w:t>年</w:t>
      </w:r>
      <w:r>
        <w:rPr>
          <w:rFonts w:ascii="宋体" w:hAnsi="宋体" w:cs="宋体" w:eastAsia="宋体" w:hint="default"/>
        </w:rPr>
        <w:t>2</w:t>
      </w:r>
      <w:r>
        <w:rPr/>
        <w:t>月至</w:t>
      </w:r>
      <w:r>
        <w:rPr>
          <w:rFonts w:ascii="宋体" w:hAnsi="宋体" w:cs="宋体" w:eastAsia="宋体" w:hint="default"/>
        </w:rPr>
        <w:t>2015</w:t>
      </w:r>
      <w:r>
        <w:rPr/>
        <w:t>年</w:t>
      </w:r>
      <w:r>
        <w:rPr>
          <w:rFonts w:ascii="宋体" w:hAnsi="宋体" w:cs="宋体" w:eastAsia="宋体" w:hint="default"/>
        </w:rPr>
        <w:t>10</w:t>
      </w:r>
      <w:r>
        <w:rPr/>
        <w:t>月任亿通科技（</w:t>
      </w:r>
      <w:r>
        <w:rPr>
          <w:rFonts w:ascii="宋体" w:hAnsi="宋体" w:cs="宋体" w:eastAsia="宋体" w:hint="default"/>
        </w:rPr>
        <w:t>300211</w:t>
      </w:r>
      <w:r>
        <w:rPr/>
        <w:t>）独</w:t>
      </w:r>
      <w:r>
        <w:rPr>
          <w:spacing w:val="-28"/>
        </w:rPr>
        <w:t> </w:t>
      </w:r>
      <w:r>
        <w:rPr>
          <w:spacing w:val="-1"/>
        </w:rPr>
        <w:t>立董事；</w:t>
      </w:r>
      <w:r>
        <w:rPr>
          <w:rFonts w:ascii="宋体" w:hAnsi="宋体" w:cs="宋体" w:eastAsia="宋体" w:hint="default"/>
          <w:spacing w:val="-1"/>
        </w:rPr>
        <w:t>2015</w:t>
      </w:r>
      <w:r>
        <w:rPr>
          <w:spacing w:val="-1"/>
        </w:rPr>
        <w:t>年</w:t>
      </w:r>
      <w:r>
        <w:rPr>
          <w:rFonts w:ascii="宋体" w:hAnsi="宋体" w:cs="宋体" w:eastAsia="宋体" w:hint="default"/>
          <w:spacing w:val="-1"/>
        </w:rPr>
        <w:t>5</w:t>
      </w:r>
      <w:r>
        <w:rPr>
          <w:spacing w:val="-1"/>
        </w:rPr>
        <w:t>月至今任国浩律师（南京）事务所合伙人；现任维格娜丝（</w:t>
      </w:r>
      <w:r>
        <w:rPr>
          <w:rFonts w:ascii="宋体" w:hAnsi="宋体" w:cs="宋体" w:eastAsia="宋体" w:hint="default"/>
          <w:spacing w:val="-1"/>
        </w:rPr>
        <w:t>603518</w:t>
      </w:r>
      <w:r>
        <w:rPr>
          <w:spacing w:val="-1"/>
        </w:rPr>
        <w:t>）独立董事，</w:t>
      </w:r>
      <w:r>
        <w:rPr>
          <w:rFonts w:ascii="宋体" w:hAnsi="宋体" w:cs="宋体" w:eastAsia="宋体" w:hint="default"/>
          <w:spacing w:val="-1"/>
        </w:rPr>
        <w:t>2016</w:t>
      </w:r>
      <w:r>
        <w:rPr>
          <w:spacing w:val="-1"/>
        </w:rPr>
        <w:t>年</w:t>
      </w:r>
      <w:r>
        <w:rPr>
          <w:rFonts w:ascii="宋体" w:hAnsi="宋体" w:cs="宋体" w:eastAsia="宋体" w:hint="default"/>
          <w:spacing w:val="-1"/>
        </w:rPr>
        <w:t>1</w:t>
      </w:r>
      <w:r>
        <w:rPr>
          <w:rFonts w:ascii="宋体" w:hAnsi="宋体" w:cs="宋体" w:eastAsia="宋体" w:hint="default"/>
          <w:spacing w:val="-77"/>
        </w:rPr>
        <w:t> </w:t>
      </w:r>
      <w:r>
        <w:rPr/>
        <w:t>月</w:t>
      </w:r>
      <w:r>
        <w:rPr>
          <w:rFonts w:ascii="宋体" w:hAnsi="宋体" w:cs="宋体" w:eastAsia="宋体" w:hint="default"/>
        </w:rPr>
        <w:t>15</w:t>
      </w:r>
      <w:r>
        <w:rPr/>
        <w:t>日至今任光一科技第三届董事会独立董事。</w:t>
      </w:r>
    </w:p>
    <w:p>
      <w:pPr>
        <w:pStyle w:val="BodyText"/>
        <w:spacing w:line="408" w:lineRule="auto" w:before="46"/>
        <w:ind w:right="1131" w:firstLine="420"/>
        <w:jc w:val="both"/>
      </w:pPr>
      <w:r>
        <w:rPr>
          <w:rFonts w:ascii="宋体" w:hAnsi="宋体" w:cs="宋体" w:eastAsia="宋体" w:hint="default"/>
          <w:spacing w:val="-1"/>
        </w:rPr>
        <w:t>10</w:t>
      </w:r>
      <w:r>
        <w:rPr>
          <w:spacing w:val="-1"/>
        </w:rPr>
        <w:t>、监事会主席朱云飞先生，</w:t>
      </w:r>
      <w:r>
        <w:rPr>
          <w:rFonts w:ascii="宋体" w:hAnsi="宋体" w:cs="宋体" w:eastAsia="宋体" w:hint="default"/>
          <w:spacing w:val="-1"/>
        </w:rPr>
        <w:t>1987</w:t>
      </w:r>
      <w:r>
        <w:rPr>
          <w:spacing w:val="-1"/>
        </w:rPr>
        <w:t>年毕业于东南大学无线电系，大学本科学历。</w:t>
      </w:r>
      <w:r>
        <w:rPr>
          <w:rFonts w:ascii="宋体" w:hAnsi="宋体" w:cs="宋体" w:eastAsia="宋体" w:hint="default"/>
          <w:spacing w:val="-1"/>
        </w:rPr>
        <w:t>2009</w:t>
      </w:r>
      <w:r>
        <w:rPr>
          <w:spacing w:val="-1"/>
        </w:rPr>
        <w:t>年至今任光一科</w:t>
      </w:r>
      <w:r>
        <w:rPr/>
        <w:t> </w:t>
      </w:r>
      <w:r>
        <w:rPr>
          <w:spacing w:val="-1"/>
        </w:rPr>
        <w:t>技第一届、第二届、第三届监事会主席；全资子公司苏源光一监事、智友尚云监事、德能工程监事、德能</w:t>
      </w:r>
      <w:r>
        <w:rPr>
          <w:spacing w:val="-83"/>
        </w:rPr>
        <w:t> </w:t>
      </w:r>
      <w:r>
        <w:rPr>
          <w:spacing w:val="-83"/>
        </w:rPr>
      </w:r>
      <w:r>
        <w:rPr>
          <w:spacing w:val="-1"/>
        </w:rPr>
        <w:t>设计监事；控股子公司南京云商天下监事、索瑞电气监事。目前，监事会主席朱云飞先生主要负责公司管</w:t>
      </w:r>
      <w:r>
        <w:rPr>
          <w:spacing w:val="-86"/>
        </w:rPr>
        <w:t> </w:t>
      </w:r>
      <w:r>
        <w:rPr>
          <w:spacing w:val="-86"/>
        </w:rPr>
      </w:r>
      <w:r>
        <w:rPr/>
        <w:t>理体系、制度流程的建设与运行。</w:t>
      </w:r>
    </w:p>
    <w:p>
      <w:pPr>
        <w:pStyle w:val="BodyText"/>
        <w:spacing w:line="408" w:lineRule="auto" w:before="46"/>
        <w:ind w:right="1130" w:firstLine="420"/>
        <w:jc w:val="both"/>
      </w:pPr>
      <w:r>
        <w:rPr>
          <w:rFonts w:ascii="宋体" w:hAnsi="宋体" w:cs="宋体" w:eastAsia="宋体" w:hint="default"/>
          <w:spacing w:val="-1"/>
        </w:rPr>
        <w:t>11</w:t>
      </w:r>
      <w:r>
        <w:rPr>
          <w:spacing w:val="-1"/>
        </w:rPr>
        <w:t>、监事钱卫民先生，</w:t>
      </w:r>
      <w:r>
        <w:rPr>
          <w:rFonts w:ascii="宋体" w:hAnsi="宋体" w:cs="宋体" w:eastAsia="宋体" w:hint="default"/>
          <w:spacing w:val="-1"/>
        </w:rPr>
        <w:t>1987</w:t>
      </w:r>
      <w:r>
        <w:rPr>
          <w:spacing w:val="-1"/>
        </w:rPr>
        <w:t>年毕业于南京大学理论物理专业，大学本科学历，高级工程师。</w:t>
      </w:r>
      <w:r>
        <w:rPr>
          <w:rFonts w:ascii="宋体" w:hAnsi="宋体" w:cs="宋体" w:eastAsia="宋体" w:hint="default"/>
          <w:spacing w:val="-1"/>
        </w:rPr>
        <w:t>2010</w:t>
      </w:r>
      <w:r>
        <w:rPr>
          <w:spacing w:val="-1"/>
        </w:rPr>
        <w:t>年</w:t>
      </w:r>
      <w:r>
        <w:rPr>
          <w:rFonts w:ascii="宋体" w:hAnsi="宋体" w:cs="宋体" w:eastAsia="宋体" w:hint="default"/>
          <w:spacing w:val="-1"/>
        </w:rPr>
        <w:t>12</w:t>
      </w:r>
      <w:r>
        <w:rPr>
          <w:rFonts w:ascii="宋体" w:hAnsi="宋体" w:cs="宋体" w:eastAsia="宋体" w:hint="default"/>
        </w:rPr>
        <w:t> </w:t>
      </w:r>
      <w:r>
        <w:rPr>
          <w:spacing w:val="-1"/>
        </w:rPr>
        <w:t>月至</w:t>
      </w:r>
      <w:r>
        <w:rPr>
          <w:rFonts w:ascii="宋体" w:hAnsi="宋体" w:cs="宋体" w:eastAsia="宋体" w:hint="default"/>
          <w:spacing w:val="-1"/>
        </w:rPr>
        <w:t>2012</w:t>
      </w:r>
      <w:r>
        <w:rPr>
          <w:spacing w:val="-1"/>
        </w:rPr>
        <w:t>年</w:t>
      </w:r>
      <w:r>
        <w:rPr>
          <w:rFonts w:ascii="宋体" w:hAnsi="宋体" w:cs="宋体" w:eastAsia="宋体" w:hint="default"/>
          <w:spacing w:val="-1"/>
        </w:rPr>
        <w:t>7</w:t>
      </w:r>
      <w:r>
        <w:rPr>
          <w:spacing w:val="-1"/>
        </w:rPr>
        <w:t>月任上海彩码信息科技有限公司总工程师；</w:t>
      </w:r>
      <w:r>
        <w:rPr>
          <w:rFonts w:ascii="宋体" w:hAnsi="宋体" w:cs="宋体" w:eastAsia="宋体" w:hint="default"/>
          <w:spacing w:val="-1"/>
        </w:rPr>
        <w:t>2012</w:t>
      </w:r>
      <w:r>
        <w:rPr>
          <w:spacing w:val="-1"/>
        </w:rPr>
        <w:t>年</w:t>
      </w:r>
      <w:r>
        <w:rPr>
          <w:rFonts w:ascii="宋体" w:hAnsi="宋体" w:cs="宋体" w:eastAsia="宋体" w:hint="default"/>
          <w:spacing w:val="-1"/>
        </w:rPr>
        <w:t>8</w:t>
      </w:r>
      <w:r>
        <w:rPr>
          <w:spacing w:val="-1"/>
        </w:rPr>
        <w:t>月至今任光一科技控股子公司南京云商天</w:t>
      </w:r>
      <w:r>
        <w:rPr>
          <w:spacing w:val="-80"/>
        </w:rPr>
        <w:t> </w:t>
      </w:r>
      <w:r>
        <w:rPr>
          <w:spacing w:val="-80"/>
        </w:rPr>
      </w:r>
      <w:r>
        <w:rPr/>
        <w:t>下董事、总经理，</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15</w:t>
      </w:r>
      <w:r>
        <w:rPr/>
        <w:t>日至今任光一科技第三届监事会监事。目前，监事钱卫民先生主要负责控</w:t>
      </w:r>
      <w:r>
        <w:rPr>
          <w:spacing w:val="-35"/>
        </w:rPr>
        <w:t> </w:t>
      </w:r>
      <w:r>
        <w:rPr>
          <w:spacing w:val="-35"/>
        </w:rPr>
      </w:r>
      <w:r>
        <w:rPr/>
        <w:t>股子公司南京云商天下的经营管理工作。</w:t>
      </w:r>
    </w:p>
    <w:p>
      <w:pPr>
        <w:pStyle w:val="BodyText"/>
        <w:spacing w:line="408" w:lineRule="auto" w:before="46"/>
        <w:ind w:left="1134" w:right="0" w:firstLine="420"/>
        <w:jc w:val="left"/>
      </w:pPr>
      <w:r>
        <w:rPr>
          <w:rFonts w:ascii="宋体" w:hAnsi="宋体" w:cs="宋体" w:eastAsia="宋体" w:hint="default"/>
        </w:rPr>
        <w:t>12</w:t>
      </w:r>
      <w:r>
        <w:rPr/>
        <w:t>、职工监事葛兹俊先生，</w:t>
      </w:r>
      <w:r>
        <w:rPr>
          <w:rFonts w:ascii="宋体" w:hAnsi="宋体" w:cs="宋体" w:eastAsia="宋体" w:hint="default"/>
        </w:rPr>
        <w:t>1982</w:t>
      </w:r>
      <w:r>
        <w:rPr/>
        <w:t>年毕业于河海大学电子计算机专业，大学本科学历，电子信息工程高 </w:t>
      </w:r>
      <w:r>
        <w:rPr>
          <w:spacing w:val="-3"/>
        </w:rPr>
        <w:t>级工程师。</w:t>
      </w:r>
      <w:r>
        <w:rPr>
          <w:rFonts w:ascii="宋体" w:hAnsi="宋体" w:cs="宋体" w:eastAsia="宋体" w:hint="default"/>
          <w:spacing w:val="-3"/>
        </w:rPr>
        <w:t>2010</w:t>
      </w:r>
      <w:r>
        <w:rPr>
          <w:spacing w:val="-3"/>
        </w:rPr>
        <w:t>年至今任公司项目申报主管、高级工程师。目前，职工监事葛兹俊先生主要负责公司项目、</w:t>
      </w:r>
      <w:r>
        <w:rPr>
          <w:spacing w:val="-90"/>
        </w:rPr>
        <w:t> </w:t>
      </w:r>
      <w:r>
        <w:rPr>
          <w:spacing w:val="-90"/>
        </w:rPr>
      </w:r>
      <w:r>
        <w:rPr/>
        <w:t>资质的申报工作。</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right="0" w:firstLine="420"/>
        <w:jc w:val="left"/>
      </w:pPr>
      <w:r>
        <w:rPr>
          <w:rFonts w:ascii="宋体" w:hAnsi="宋体" w:cs="宋体" w:eastAsia="宋体" w:hint="default"/>
          <w:spacing w:val="-1"/>
        </w:rPr>
        <w:t>13</w:t>
      </w:r>
      <w:r>
        <w:rPr>
          <w:spacing w:val="-1"/>
        </w:rPr>
        <w:t>、副总经理、董事会秘书蒋悦女士，</w:t>
      </w:r>
      <w:r>
        <w:rPr>
          <w:rFonts w:ascii="宋体" w:hAnsi="宋体" w:cs="宋体" w:eastAsia="宋体" w:hint="default"/>
          <w:spacing w:val="-1"/>
        </w:rPr>
        <w:t>1994</w:t>
      </w:r>
      <w:r>
        <w:rPr>
          <w:spacing w:val="-1"/>
        </w:rPr>
        <w:t>年</w:t>
      </w:r>
      <w:r>
        <w:rPr>
          <w:rFonts w:ascii="宋体" w:hAnsi="宋体" w:cs="宋体" w:eastAsia="宋体" w:hint="default"/>
          <w:spacing w:val="-1"/>
        </w:rPr>
        <w:t>7</w:t>
      </w:r>
      <w:r>
        <w:rPr>
          <w:spacing w:val="-1"/>
        </w:rPr>
        <w:t>月毕业于南京理工大学财会专业，东南大学</w:t>
      </w:r>
      <w:r>
        <w:rPr>
          <w:rFonts w:ascii="宋体" w:hAnsi="宋体" w:cs="宋体" w:eastAsia="宋体" w:hint="default"/>
          <w:spacing w:val="-1"/>
        </w:rPr>
        <w:t>EMBA</w:t>
      </w:r>
      <w:r>
        <w:rPr>
          <w:spacing w:val="-1"/>
        </w:rPr>
        <w:t>在读，</w:t>
      </w:r>
      <w:r>
        <w:rPr/>
        <w:t> 非执业注册会计师。</w:t>
      </w:r>
      <w:r>
        <w:rPr>
          <w:rFonts w:ascii="宋体" w:hAnsi="宋体" w:cs="宋体" w:eastAsia="宋体" w:hint="default"/>
        </w:rPr>
        <w:t>2010</w:t>
      </w:r>
      <w:r>
        <w:rPr/>
        <w:t>年至</w:t>
      </w:r>
      <w:r>
        <w:rPr>
          <w:rFonts w:ascii="宋体" w:hAnsi="宋体" w:cs="宋体" w:eastAsia="宋体" w:hint="default"/>
        </w:rPr>
        <w:t>2012</w:t>
      </w:r>
      <w:r>
        <w:rPr/>
        <w:t>年任公司证券事务代表；</w:t>
      </w:r>
      <w:r>
        <w:rPr>
          <w:rFonts w:ascii="宋体" w:hAnsi="宋体" w:cs="宋体" w:eastAsia="宋体" w:hint="default"/>
        </w:rPr>
        <w:t>2012</w:t>
      </w:r>
      <w:r>
        <w:rPr/>
        <w:t>年至今任公司副总经理、董事会秘书；全 资子公司光一贵仁监事。目前，副总经理、董事会秘书蒋悦女士主要负责公司董事会办公室相关事务。</w:t>
      </w:r>
    </w:p>
    <w:p>
      <w:pPr>
        <w:pStyle w:val="BodyText"/>
        <w:spacing w:line="408" w:lineRule="auto" w:before="46"/>
        <w:ind w:right="1130" w:firstLine="420"/>
        <w:jc w:val="both"/>
      </w:pPr>
      <w:r>
        <w:rPr>
          <w:rFonts w:ascii="宋体" w:hAnsi="宋体" w:cs="宋体" w:eastAsia="宋体" w:hint="default"/>
          <w:spacing w:val="-1"/>
        </w:rPr>
        <w:t>14</w:t>
      </w:r>
      <w:r>
        <w:rPr>
          <w:spacing w:val="-1"/>
        </w:rPr>
        <w:t>、财务总监周振娟女士，</w:t>
      </w:r>
      <w:r>
        <w:rPr>
          <w:rFonts w:ascii="宋体" w:hAnsi="宋体" w:cs="宋体" w:eastAsia="宋体" w:hint="default"/>
          <w:spacing w:val="-1"/>
        </w:rPr>
        <w:t>1999</w:t>
      </w:r>
      <w:r>
        <w:rPr>
          <w:spacing w:val="-1"/>
        </w:rPr>
        <w:t>年毕业于南京大学行政管理专业，东南大学</w:t>
      </w:r>
      <w:r>
        <w:rPr>
          <w:rFonts w:ascii="宋体" w:hAnsi="宋体" w:cs="宋体" w:eastAsia="宋体" w:hint="default"/>
          <w:spacing w:val="-1"/>
        </w:rPr>
        <w:t>EMBA</w:t>
      </w:r>
      <w:r>
        <w:rPr>
          <w:spacing w:val="-1"/>
        </w:rPr>
        <w:t>在读，会计师。</w:t>
      </w:r>
      <w:r>
        <w:rPr>
          <w:rFonts w:ascii="宋体" w:hAnsi="宋体" w:cs="宋体" w:eastAsia="宋体" w:hint="default"/>
          <w:spacing w:val="-1"/>
        </w:rPr>
        <w:t>2009</w:t>
      </w:r>
      <w:r>
        <w:rPr>
          <w:rFonts w:ascii="宋体" w:hAnsi="宋体" w:cs="宋体" w:eastAsia="宋体" w:hint="default"/>
        </w:rPr>
        <w:t> </w:t>
      </w:r>
      <w:r>
        <w:rPr>
          <w:spacing w:val="-1"/>
        </w:rPr>
        <w:t>年至</w:t>
      </w:r>
      <w:r>
        <w:rPr>
          <w:rFonts w:ascii="宋体" w:hAnsi="宋体" w:cs="宋体" w:eastAsia="宋体" w:hint="default"/>
          <w:spacing w:val="-1"/>
        </w:rPr>
        <w:t>2010</w:t>
      </w:r>
      <w:r>
        <w:rPr>
          <w:spacing w:val="-1"/>
        </w:rPr>
        <w:t>年任江苏光一文化有限责任公司总经理助理；</w:t>
      </w:r>
      <w:r>
        <w:rPr>
          <w:rFonts w:ascii="宋体" w:hAnsi="宋体" w:cs="宋体" w:eastAsia="宋体" w:hint="default"/>
          <w:spacing w:val="-1"/>
        </w:rPr>
        <w:t>2010</w:t>
      </w:r>
      <w:r>
        <w:rPr>
          <w:spacing w:val="-1"/>
        </w:rPr>
        <w:t>年至</w:t>
      </w:r>
      <w:r>
        <w:rPr>
          <w:rFonts w:ascii="宋体" w:hAnsi="宋体" w:cs="宋体" w:eastAsia="宋体" w:hint="default"/>
          <w:spacing w:val="-1"/>
        </w:rPr>
        <w:t>2011</w:t>
      </w:r>
      <w:r>
        <w:rPr>
          <w:spacing w:val="-1"/>
        </w:rPr>
        <w:t>年任公司审计经理；</w:t>
      </w:r>
      <w:r>
        <w:rPr>
          <w:rFonts w:ascii="宋体" w:hAnsi="宋体" w:cs="宋体" w:eastAsia="宋体" w:hint="default"/>
          <w:spacing w:val="-1"/>
        </w:rPr>
        <w:t>2012</w:t>
      </w:r>
      <w:r>
        <w:rPr>
          <w:spacing w:val="-1"/>
        </w:rPr>
        <w:t>年至</w:t>
      </w:r>
      <w:r>
        <w:rPr>
          <w:rFonts w:ascii="宋体" w:hAnsi="宋体" w:cs="宋体" w:eastAsia="宋体" w:hint="default"/>
          <w:spacing w:val="-1"/>
        </w:rPr>
        <w:t>2014</w:t>
      </w:r>
      <w:r>
        <w:rPr>
          <w:spacing w:val="-1"/>
        </w:rPr>
        <w:t>年</w:t>
      </w:r>
      <w:r>
        <w:rPr>
          <w:spacing w:val="-73"/>
        </w:rPr>
        <w:t> </w:t>
      </w:r>
      <w:r>
        <w:rPr>
          <w:spacing w:val="-1"/>
        </w:rPr>
        <w:t>任公司财务经理；</w:t>
      </w:r>
      <w:r>
        <w:rPr>
          <w:rFonts w:ascii="宋体" w:hAnsi="宋体" w:cs="宋体" w:eastAsia="宋体" w:hint="default"/>
          <w:spacing w:val="-1"/>
        </w:rPr>
        <w:t>2014</w:t>
      </w:r>
      <w:r>
        <w:rPr>
          <w:spacing w:val="-1"/>
        </w:rPr>
        <w:t>年至今任公司财务总监、全资子公司智友尚云总经理；参股公司中广格兰董事。目</w:t>
      </w:r>
      <w:r>
        <w:rPr>
          <w:spacing w:val="-83"/>
        </w:rPr>
        <w:t> </w:t>
      </w:r>
      <w:r>
        <w:rPr>
          <w:spacing w:val="-83"/>
        </w:rPr>
      </w:r>
      <w:r>
        <w:rPr/>
        <w:t>前，财务总监周振娟女士负责公司财务相关工作。</w:t>
      </w:r>
    </w:p>
    <w:p>
      <w:pPr>
        <w:pStyle w:val="BodyText"/>
        <w:spacing w:line="240" w:lineRule="auto" w:before="46"/>
        <w:ind w:left="1553" w:right="0"/>
        <w:jc w:val="left"/>
      </w:pPr>
      <w:r>
        <w:rPr>
          <w:rFonts w:ascii="宋体" w:hAnsi="宋体" w:cs="宋体" w:eastAsia="宋体" w:hint="default"/>
        </w:rPr>
        <w:t>15</w:t>
      </w:r>
      <w:r>
        <w:rPr/>
        <w:t>、副总经理李宝亮先生，</w:t>
      </w:r>
      <w:r>
        <w:rPr>
          <w:rFonts w:ascii="宋体" w:hAnsi="宋体" w:cs="宋体" w:eastAsia="宋体" w:hint="default"/>
        </w:rPr>
        <w:t>2001</w:t>
      </w:r>
      <w:r>
        <w:rPr/>
        <w:t>年毕业于南京理工大学机械电子工程专业，本科学历，中级工程师。</w:t>
      </w:r>
    </w:p>
    <w:p>
      <w:pPr>
        <w:spacing w:line="240" w:lineRule="auto" w:before="10"/>
        <w:rPr>
          <w:rFonts w:ascii="宋体" w:hAnsi="宋体" w:cs="宋体" w:eastAsia="宋体" w:hint="default"/>
          <w:sz w:val="14"/>
          <w:szCs w:val="14"/>
        </w:rPr>
      </w:pPr>
    </w:p>
    <w:p>
      <w:pPr>
        <w:pStyle w:val="BodyText"/>
        <w:spacing w:line="408" w:lineRule="auto"/>
        <w:ind w:left="1134" w:right="1132"/>
        <w:jc w:val="both"/>
      </w:pPr>
      <w:r>
        <w:rPr>
          <w:rFonts w:ascii="宋体" w:hAnsi="宋体" w:cs="宋体" w:eastAsia="宋体" w:hint="default"/>
          <w:spacing w:val="-1"/>
        </w:rPr>
        <w:t>2009</w:t>
      </w:r>
      <w:r>
        <w:rPr>
          <w:spacing w:val="-1"/>
        </w:rPr>
        <w:t>年至</w:t>
      </w:r>
      <w:r>
        <w:rPr>
          <w:rFonts w:ascii="宋体" w:hAnsi="宋体" w:cs="宋体" w:eastAsia="宋体" w:hint="default"/>
          <w:spacing w:val="-1"/>
        </w:rPr>
        <w:t>2011</w:t>
      </w:r>
      <w:r>
        <w:rPr>
          <w:spacing w:val="-1"/>
        </w:rPr>
        <w:t>年任江苏通驰自动化系统有限公司总经理；</w:t>
      </w:r>
      <w:r>
        <w:rPr>
          <w:rFonts w:ascii="宋体" w:hAnsi="宋体" w:cs="宋体" w:eastAsia="宋体" w:hint="default"/>
          <w:spacing w:val="-1"/>
        </w:rPr>
        <w:t>2012</w:t>
      </w:r>
      <w:r>
        <w:rPr>
          <w:spacing w:val="-1"/>
        </w:rPr>
        <w:t>年至</w:t>
      </w:r>
      <w:r>
        <w:rPr>
          <w:rFonts w:ascii="宋体" w:hAnsi="宋体" w:cs="宋体" w:eastAsia="宋体" w:hint="default"/>
          <w:spacing w:val="-1"/>
        </w:rPr>
        <w:t>2014</w:t>
      </w:r>
      <w:r>
        <w:rPr>
          <w:spacing w:val="-1"/>
        </w:rPr>
        <w:t>年任国电南瑞三能电力仪表有限公</w:t>
      </w:r>
      <w:r>
        <w:rPr>
          <w:spacing w:val="-76"/>
        </w:rPr>
        <w:t> </w:t>
      </w:r>
      <w:r>
        <w:rPr>
          <w:spacing w:val="-76"/>
        </w:rPr>
      </w:r>
      <w:r>
        <w:rPr/>
        <w:t>司总经理；</w:t>
      </w:r>
      <w:r>
        <w:rPr>
          <w:rFonts w:ascii="宋体" w:hAnsi="宋体" w:cs="宋体" w:eastAsia="宋体" w:hint="default"/>
        </w:rPr>
        <w:t>2015</w:t>
      </w:r>
      <w:r>
        <w:rPr/>
        <w:t>年至今，任公司智能终端事业部总经理，</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16</w:t>
      </w:r>
      <w:r>
        <w:rPr/>
        <w:t>日至今任公司副总经理。目前，副</w:t>
      </w:r>
      <w:r>
        <w:rPr>
          <w:spacing w:val="-30"/>
        </w:rPr>
        <w:t> </w:t>
      </w:r>
      <w:r>
        <w:rPr>
          <w:spacing w:val="-30"/>
        </w:rPr>
      </w:r>
      <w:r>
        <w:rPr/>
        <w:t>总经理李宝亮先生主要负责公司智能终端事业部的经营管理工作。</w:t>
      </w:r>
    </w:p>
    <w:p>
      <w:pPr>
        <w:pStyle w:val="BodyText"/>
        <w:spacing w:line="240" w:lineRule="auto" w:before="46"/>
        <w:ind w:right="0"/>
        <w:jc w:val="both"/>
      </w:pPr>
      <w:r>
        <w:rPr/>
        <w:t>在股东单位任职情况</w:t>
      </w:r>
    </w:p>
    <w:p>
      <w:pPr>
        <w:spacing w:line="240" w:lineRule="auto" w:before="10"/>
        <w:rPr>
          <w:rFonts w:ascii="宋体" w:hAnsi="宋体" w:cs="宋体" w:eastAsia="宋体" w:hint="default"/>
          <w:sz w:val="14"/>
          <w:szCs w:val="14"/>
        </w:rPr>
      </w:pPr>
    </w:p>
    <w:p>
      <w:pPr>
        <w:pStyle w:val="BodyText"/>
        <w:spacing w:line="240" w:lineRule="auto"/>
        <w:ind w:right="0"/>
        <w:jc w:val="both"/>
      </w:pPr>
      <w:r>
        <w:rPr/>
        <w:t>√ 适用 □</w:t>
      </w:r>
      <w:r>
        <w:rPr>
          <w:spacing w:val="-1"/>
        </w:rPr>
        <w:t> </w:t>
      </w:r>
      <w:r>
        <w:rPr/>
        <w:t>不适用</w:t>
      </w:r>
    </w:p>
    <w:p>
      <w:pPr>
        <w:spacing w:line="240" w:lineRule="auto" w:before="12"/>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995"/>
        <w:gridCol w:w="2835"/>
        <w:gridCol w:w="1417"/>
        <w:gridCol w:w="1559"/>
        <w:gridCol w:w="1419"/>
        <w:gridCol w:w="1345"/>
      </w:tblGrid>
      <w:tr>
        <w:trPr>
          <w:trHeight w:val="502" w:hRule="exact"/>
        </w:trPr>
        <w:tc>
          <w:tcPr>
            <w:tcW w:w="9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301" w:right="12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83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8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exact"/>
              <w:ind w:left="430" w:right="71"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1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16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exact"/>
              <w:ind w:left="124" w:right="25"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7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7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9" w:hRule="exact"/>
        </w:trPr>
        <w:tc>
          <w:tcPr>
            <w:tcW w:w="9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任昌兆</w:t>
            </w:r>
          </w:p>
        </w:tc>
        <w:tc>
          <w:tcPr>
            <w:tcW w:w="28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湖北乾瀚投资有限公司</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执行董事、经理</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12" w:space="0" w:color="000000"/>
              <w:right w:val="single" w:sz="6" w:space="0" w:color="000000"/>
            </w:tcBorders>
          </w:tcPr>
          <w:p>
            <w:pPr/>
          </w:p>
        </w:tc>
        <w:tc>
          <w:tcPr>
            <w:tcW w:w="13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1"/>
              <w:ind w:left="57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26"/>
        <w:ind w:left="1134" w:right="0"/>
        <w:jc w:val="left"/>
      </w:pPr>
      <w:r>
        <w:rPr/>
        <w:t>在其他单位任职情况</w:t>
      </w:r>
    </w:p>
    <w:p>
      <w:pPr>
        <w:pStyle w:val="BodyText"/>
        <w:spacing w:line="240" w:lineRule="auto" w:before="78"/>
        <w:ind w:left="1134" w:right="0"/>
        <w:jc w:val="left"/>
      </w:pPr>
      <w:r>
        <w:rPr/>
        <w:t>√ 适用 □</w:t>
      </w:r>
      <w:r>
        <w:rPr>
          <w:spacing w:val="-1"/>
        </w:rPr>
        <w:t> </w:t>
      </w:r>
      <w:r>
        <w:rPr/>
        <w:t>不适用</w:t>
      </w:r>
    </w:p>
    <w:p>
      <w:pPr>
        <w:spacing w:line="240" w:lineRule="auto" w:before="12"/>
        <w:rPr>
          <w:rFonts w:ascii="宋体" w:hAnsi="宋体" w:cs="宋体" w:eastAsia="宋体" w:hint="default"/>
          <w:sz w:val="6"/>
          <w:szCs w:val="6"/>
        </w:rPr>
      </w:pPr>
    </w:p>
    <w:tbl>
      <w:tblPr>
        <w:tblW w:w="0" w:type="auto"/>
        <w:jc w:val="left"/>
        <w:tblInd w:w="1118" w:type="dxa"/>
        <w:tblLayout w:type="fixed"/>
        <w:tblCellMar>
          <w:top w:w="0" w:type="dxa"/>
          <w:left w:w="0" w:type="dxa"/>
          <w:bottom w:w="0" w:type="dxa"/>
          <w:right w:w="0" w:type="dxa"/>
        </w:tblCellMar>
        <w:tblLook w:val="01E0"/>
      </w:tblPr>
      <w:tblGrid>
        <w:gridCol w:w="995"/>
        <w:gridCol w:w="2835"/>
        <w:gridCol w:w="1417"/>
        <w:gridCol w:w="1586"/>
        <w:gridCol w:w="1360"/>
        <w:gridCol w:w="1376"/>
      </w:tblGrid>
      <w:tr>
        <w:trPr>
          <w:trHeight w:val="502" w:hRule="exact"/>
        </w:trPr>
        <w:tc>
          <w:tcPr>
            <w:tcW w:w="9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301" w:right="12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83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exact"/>
              <w:ind w:left="430" w:right="71"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58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131"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exact"/>
              <w:ind w:left="140" w:right="4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江苏苏源光一科技有限公司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南京智友尚云信息技术有限公司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4"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9"/>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39" w:right="58" w:hanging="1080"/>
              <w:jc w:val="left"/>
              <w:rPr>
                <w:rFonts w:ascii="宋体" w:hAnsi="宋体" w:cs="宋体" w:eastAsia="宋体" w:hint="default"/>
                <w:sz w:val="18"/>
                <w:szCs w:val="18"/>
              </w:rPr>
            </w:pPr>
            <w:r>
              <w:rPr>
                <w:rFonts w:ascii="宋体" w:hAnsi="宋体" w:cs="宋体" w:eastAsia="宋体" w:hint="default"/>
                <w:sz w:val="18"/>
                <w:szCs w:val="18"/>
              </w:rPr>
              <w:t>江苏光一贵仁股权投资基金管理有 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江苏德能电气工程有限公司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中云文化大数据科技有限公司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天擎华媒（北京）科技有限公司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王海俊</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江苏苏源光一科技有限公司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王海俊</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1" w:hRule="exact"/>
        </w:trPr>
        <w:tc>
          <w:tcPr>
            <w:tcW w:w="9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王海俊</w:t>
            </w:r>
          </w:p>
        </w:tc>
        <w:tc>
          <w:tcPr>
            <w:tcW w:w="28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12" w:space="0" w:color="000000"/>
              <w:right w:val="single" w:sz="6" w:space="0" w:color="000000"/>
            </w:tcBorders>
          </w:tcPr>
          <w:p>
            <w:pPr/>
          </w:p>
        </w:tc>
        <w:tc>
          <w:tcPr>
            <w:tcW w:w="13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118" w:type="dxa"/>
        <w:tblLayout w:type="fixed"/>
        <w:tblCellMar>
          <w:top w:w="0" w:type="dxa"/>
          <w:left w:w="0" w:type="dxa"/>
          <w:bottom w:w="0" w:type="dxa"/>
          <w:right w:w="0" w:type="dxa"/>
        </w:tblCellMar>
        <w:tblLook w:val="01E0"/>
      </w:tblPr>
      <w:tblGrid>
        <w:gridCol w:w="995"/>
        <w:gridCol w:w="2835"/>
        <w:gridCol w:w="1417"/>
        <w:gridCol w:w="1586"/>
        <w:gridCol w:w="1360"/>
        <w:gridCol w:w="1376"/>
      </w:tblGrid>
      <w:tr>
        <w:trPr>
          <w:trHeight w:val="502" w:hRule="exact"/>
        </w:trPr>
        <w:tc>
          <w:tcPr>
            <w:tcW w:w="9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301" w:right="12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83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exact"/>
              <w:ind w:left="430" w:right="71"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58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131"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exact"/>
              <w:ind w:left="140" w:right="4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王海俊</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邱卫东</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江苏苏源光一科技有限公司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邱卫东</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邱卫东</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戴晓东</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江苏苏源光一科技有限公司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戴晓东</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1"/>
              <w:jc w:val="right"/>
              <w:rPr>
                <w:rFonts w:ascii="宋体" w:hAnsi="宋体" w:cs="宋体" w:eastAsia="宋体" w:hint="default"/>
                <w:sz w:val="18"/>
                <w:szCs w:val="18"/>
              </w:rPr>
            </w:pPr>
            <w:r>
              <w:rPr>
                <w:rFonts w:ascii="宋体" w:hAnsi="宋体" w:cs="宋体" w:eastAsia="宋体" w:hint="default"/>
                <w:sz w:val="18"/>
                <w:szCs w:val="18"/>
              </w:rPr>
              <w:t>董事、副总经理</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任昌兆</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1"/>
              <w:jc w:val="right"/>
              <w:rPr>
                <w:rFonts w:ascii="宋体" w:hAnsi="宋体" w:cs="宋体" w:eastAsia="宋体" w:hint="default"/>
                <w:sz w:val="18"/>
                <w:szCs w:val="18"/>
              </w:rPr>
            </w:pPr>
            <w:r>
              <w:rPr>
                <w:rFonts w:ascii="宋体" w:hAnsi="宋体" w:cs="宋体" w:eastAsia="宋体" w:hint="default"/>
                <w:sz w:val="18"/>
                <w:szCs w:val="18"/>
              </w:rPr>
              <w:t>董事长、总经理</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7"/>
              <w:jc w:val="center"/>
              <w:rPr>
                <w:rFonts w:ascii="宋体" w:hAnsi="宋体" w:cs="宋体" w:eastAsia="宋体" w:hint="default"/>
                <w:sz w:val="18"/>
                <w:szCs w:val="18"/>
              </w:rPr>
            </w:pPr>
            <w:r>
              <w:rPr>
                <w:rFonts w:ascii="宋体" w:hAnsi="宋体" w:cs="宋体" w:eastAsia="宋体" w:hint="default"/>
                <w:sz w:val="18"/>
                <w:szCs w:val="18"/>
              </w:rPr>
              <w:t>熊</w:t>
            </w:r>
            <w:r>
              <w:rPr>
                <w:rFonts w:ascii="宋体" w:hAnsi="宋体" w:cs="宋体" w:eastAsia="宋体" w:hint="default"/>
                <w:spacing w:val="90"/>
                <w:sz w:val="18"/>
                <w:szCs w:val="18"/>
              </w:rPr>
              <w:t> </w:t>
            </w:r>
            <w:r>
              <w:rPr>
                <w:rFonts w:ascii="宋体" w:hAnsi="宋体" w:cs="宋体" w:eastAsia="宋体" w:hint="default"/>
                <w:sz w:val="18"/>
                <w:szCs w:val="18"/>
              </w:rPr>
              <w:t>俊</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北京华康瑞宏投资有限公司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pacing w:val="-80"/>
                <w:sz w:val="18"/>
                <w:szCs w:val="18"/>
              </w:rPr>
              <w:t>、</w:t>
            </w:r>
            <w:r>
              <w:rPr>
                <w:rFonts w:ascii="宋体" w:hAnsi="宋体" w:cs="宋体" w:eastAsia="宋体" w:hint="default"/>
                <w:sz w:val="18"/>
                <w:szCs w:val="18"/>
              </w:rPr>
              <w:t>总经理</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7"/>
              <w:jc w:val="center"/>
              <w:rPr>
                <w:rFonts w:ascii="宋体" w:hAnsi="宋体" w:cs="宋体" w:eastAsia="宋体" w:hint="default"/>
                <w:sz w:val="18"/>
                <w:szCs w:val="18"/>
              </w:rPr>
            </w:pPr>
            <w:r>
              <w:rPr>
                <w:rFonts w:ascii="宋体" w:hAnsi="宋体" w:cs="宋体" w:eastAsia="宋体" w:hint="default"/>
                <w:sz w:val="18"/>
                <w:szCs w:val="18"/>
              </w:rPr>
              <w:t>熊</w:t>
            </w:r>
            <w:r>
              <w:rPr>
                <w:rFonts w:ascii="宋体" w:hAnsi="宋体" w:cs="宋体" w:eastAsia="宋体" w:hint="default"/>
                <w:spacing w:val="90"/>
                <w:sz w:val="18"/>
                <w:szCs w:val="18"/>
              </w:rPr>
              <w:t> </w:t>
            </w:r>
            <w:r>
              <w:rPr>
                <w:rFonts w:ascii="宋体" w:hAnsi="宋体" w:cs="宋体" w:eastAsia="宋体" w:hint="default"/>
                <w:sz w:val="18"/>
                <w:szCs w:val="18"/>
              </w:rPr>
              <w:t>俊</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江苏大烨智能电气股份有限公司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7"/>
              <w:jc w:val="center"/>
              <w:rPr>
                <w:rFonts w:ascii="宋体" w:hAnsi="宋体" w:cs="宋体" w:eastAsia="宋体" w:hint="default"/>
                <w:sz w:val="18"/>
                <w:szCs w:val="18"/>
              </w:rPr>
            </w:pPr>
            <w:r>
              <w:rPr>
                <w:rFonts w:ascii="宋体" w:hAnsi="宋体" w:cs="宋体" w:eastAsia="宋体" w:hint="default"/>
                <w:sz w:val="18"/>
                <w:szCs w:val="18"/>
              </w:rPr>
              <w:t>茅</w:t>
            </w:r>
            <w:r>
              <w:rPr>
                <w:rFonts w:ascii="宋体" w:hAnsi="宋体" w:cs="宋体" w:eastAsia="宋体" w:hint="default"/>
                <w:spacing w:val="90"/>
                <w:sz w:val="18"/>
                <w:szCs w:val="18"/>
              </w:rPr>
              <w:t> </w:t>
            </w:r>
            <w:r>
              <w:rPr>
                <w:rFonts w:ascii="宋体" w:hAnsi="宋体" w:cs="宋体" w:eastAsia="宋体" w:hint="default"/>
                <w:sz w:val="18"/>
                <w:szCs w:val="18"/>
              </w:rPr>
              <w:t>宁</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南京大学商学院</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教授</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1989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7"/>
              <w:jc w:val="center"/>
              <w:rPr>
                <w:rFonts w:ascii="宋体" w:hAnsi="宋体" w:cs="宋体" w:eastAsia="宋体" w:hint="default"/>
                <w:sz w:val="18"/>
                <w:szCs w:val="18"/>
              </w:rPr>
            </w:pPr>
            <w:r>
              <w:rPr>
                <w:rFonts w:ascii="宋体" w:hAnsi="宋体" w:cs="宋体" w:eastAsia="宋体" w:hint="default"/>
                <w:sz w:val="18"/>
                <w:szCs w:val="18"/>
              </w:rPr>
              <w:t>茅</w:t>
            </w:r>
            <w:r>
              <w:rPr>
                <w:rFonts w:ascii="宋体" w:hAnsi="宋体" w:cs="宋体" w:eastAsia="宋体" w:hint="default"/>
                <w:spacing w:val="90"/>
                <w:sz w:val="18"/>
                <w:szCs w:val="18"/>
              </w:rPr>
              <w:t> </w:t>
            </w:r>
            <w:r>
              <w:rPr>
                <w:rFonts w:ascii="宋体" w:hAnsi="宋体" w:cs="宋体" w:eastAsia="宋体" w:hint="default"/>
                <w:sz w:val="18"/>
                <w:szCs w:val="18"/>
              </w:rPr>
              <w:t>宁</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南京高科股份有限公司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7"/>
              <w:jc w:val="center"/>
              <w:rPr>
                <w:rFonts w:ascii="宋体" w:hAnsi="宋体" w:cs="宋体" w:eastAsia="宋体" w:hint="default"/>
                <w:sz w:val="18"/>
                <w:szCs w:val="18"/>
              </w:rPr>
            </w:pPr>
            <w:r>
              <w:rPr>
                <w:rFonts w:ascii="宋体" w:hAnsi="宋体" w:cs="宋体" w:eastAsia="宋体" w:hint="default"/>
                <w:sz w:val="18"/>
                <w:szCs w:val="18"/>
              </w:rPr>
              <w:t>茅</w:t>
            </w:r>
            <w:r>
              <w:rPr>
                <w:rFonts w:ascii="宋体" w:hAnsi="宋体" w:cs="宋体" w:eastAsia="宋体" w:hint="default"/>
                <w:spacing w:val="90"/>
                <w:sz w:val="18"/>
                <w:szCs w:val="18"/>
              </w:rPr>
              <w:t> </w:t>
            </w:r>
            <w:r>
              <w:rPr>
                <w:rFonts w:ascii="宋体" w:hAnsi="宋体" w:cs="宋体" w:eastAsia="宋体" w:hint="default"/>
                <w:sz w:val="18"/>
                <w:szCs w:val="18"/>
              </w:rPr>
              <w:t>宁</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金陵饭店股份有限公司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7"/>
              <w:jc w:val="center"/>
              <w:rPr>
                <w:rFonts w:ascii="宋体" w:hAnsi="宋体" w:cs="宋体" w:eastAsia="宋体" w:hint="default"/>
                <w:sz w:val="18"/>
                <w:szCs w:val="18"/>
              </w:rPr>
            </w:pPr>
            <w:r>
              <w:rPr>
                <w:rFonts w:ascii="宋体" w:hAnsi="宋体" w:cs="宋体" w:eastAsia="宋体" w:hint="default"/>
                <w:sz w:val="18"/>
                <w:szCs w:val="18"/>
              </w:rPr>
              <w:t>茅</w:t>
            </w:r>
            <w:r>
              <w:rPr>
                <w:rFonts w:ascii="宋体" w:hAnsi="宋体" w:cs="宋体" w:eastAsia="宋体" w:hint="default"/>
                <w:spacing w:val="90"/>
                <w:sz w:val="18"/>
                <w:szCs w:val="18"/>
              </w:rPr>
              <w:t> </w:t>
            </w:r>
            <w:r>
              <w:rPr>
                <w:rFonts w:ascii="宋体" w:hAnsi="宋体" w:cs="宋体" w:eastAsia="宋体" w:hint="default"/>
                <w:sz w:val="18"/>
                <w:szCs w:val="18"/>
              </w:rPr>
              <w:t>宁</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港中旅华贸国际物流股份有限公司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7"/>
              <w:jc w:val="center"/>
              <w:rPr>
                <w:rFonts w:ascii="宋体" w:hAnsi="宋体" w:cs="宋体" w:eastAsia="宋体" w:hint="default"/>
                <w:sz w:val="18"/>
                <w:szCs w:val="18"/>
              </w:rPr>
            </w:pPr>
            <w:r>
              <w:rPr>
                <w:rFonts w:ascii="宋体" w:hAnsi="宋体" w:cs="宋体" w:eastAsia="宋体" w:hint="default"/>
                <w:sz w:val="18"/>
                <w:szCs w:val="18"/>
              </w:rPr>
              <w:t>茅</w:t>
            </w:r>
            <w:r>
              <w:rPr>
                <w:rFonts w:ascii="宋体" w:hAnsi="宋体" w:cs="宋体" w:eastAsia="宋体" w:hint="default"/>
                <w:spacing w:val="90"/>
                <w:sz w:val="18"/>
                <w:szCs w:val="18"/>
              </w:rPr>
              <w:t> </w:t>
            </w:r>
            <w:r>
              <w:rPr>
                <w:rFonts w:ascii="宋体" w:hAnsi="宋体" w:cs="宋体" w:eastAsia="宋体" w:hint="default"/>
                <w:sz w:val="18"/>
                <w:szCs w:val="18"/>
              </w:rPr>
              <w:t>宁</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南京栖霞建设股份有限公司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周友梅</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南京财经大学会计学院</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教授</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周友梅</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江苏舜天股份有限公司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周友梅</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江苏丰东热技术股份有限公司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周友梅</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芜湖亚夏汽车股份有限公司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周友梅</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南京高科股份有限公司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周友梅</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无锡路通视信网络股份有限公司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刘向明</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国浩律师（南京）事务所</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0"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刘向明</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维格娜丝时装股份有限公司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江苏苏源光一科技有限公司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南京智友尚云信息技术有限公司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江苏德能电气工程有限公司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钱卫民</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0"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95"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7"/>
              <w:jc w:val="center"/>
              <w:rPr>
                <w:rFonts w:ascii="宋体" w:hAnsi="宋体" w:cs="宋体" w:eastAsia="宋体" w:hint="default"/>
                <w:sz w:val="18"/>
                <w:szCs w:val="18"/>
              </w:rPr>
            </w:pPr>
            <w:r>
              <w:rPr>
                <w:rFonts w:ascii="宋体" w:hAnsi="宋体" w:cs="宋体" w:eastAsia="宋体" w:hint="default"/>
                <w:sz w:val="18"/>
                <w:szCs w:val="18"/>
              </w:rPr>
              <w:t>蒋</w:t>
            </w:r>
            <w:r>
              <w:rPr>
                <w:rFonts w:ascii="宋体" w:hAnsi="宋体" w:cs="宋体" w:eastAsia="宋体" w:hint="default"/>
                <w:spacing w:val="90"/>
                <w:sz w:val="18"/>
                <w:szCs w:val="18"/>
              </w:rPr>
              <w:t> </w:t>
            </w:r>
            <w:r>
              <w:rPr>
                <w:rFonts w:ascii="宋体" w:hAnsi="宋体" w:cs="宋体" w:eastAsia="宋体" w:hint="default"/>
                <w:sz w:val="18"/>
                <w:szCs w:val="18"/>
              </w:rPr>
              <w:t>悦</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39" w:right="58" w:hanging="1080"/>
              <w:jc w:val="left"/>
              <w:rPr>
                <w:rFonts w:ascii="宋体" w:hAnsi="宋体" w:cs="宋体" w:eastAsia="宋体" w:hint="default"/>
                <w:sz w:val="18"/>
                <w:szCs w:val="18"/>
              </w:rPr>
            </w:pPr>
            <w:r>
              <w:rPr>
                <w:rFonts w:ascii="宋体" w:hAnsi="宋体" w:cs="宋体" w:eastAsia="宋体" w:hint="default"/>
                <w:sz w:val="18"/>
                <w:szCs w:val="18"/>
              </w:rPr>
              <w:t>江苏光一贵仁股权投资基金管理有 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周振娟</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南京智友尚云信息技术有限公司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0"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9" w:hRule="exact"/>
        </w:trPr>
        <w:tc>
          <w:tcPr>
            <w:tcW w:w="9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9"/>
              <w:ind w:right="9"/>
              <w:jc w:val="center"/>
              <w:rPr>
                <w:rFonts w:ascii="宋体" w:hAnsi="宋体" w:cs="宋体" w:eastAsia="宋体" w:hint="default"/>
                <w:sz w:val="18"/>
                <w:szCs w:val="18"/>
              </w:rPr>
            </w:pPr>
            <w:r>
              <w:rPr>
                <w:rFonts w:ascii="宋体" w:hAnsi="宋体" w:cs="宋体" w:eastAsia="宋体" w:hint="default"/>
                <w:sz w:val="18"/>
                <w:szCs w:val="18"/>
              </w:rPr>
              <w:t>周振娟</w:t>
            </w:r>
          </w:p>
        </w:tc>
        <w:tc>
          <w:tcPr>
            <w:tcW w:w="28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北京中广格兰信息科技有限公司</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4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60" w:type="dxa"/>
            <w:tcBorders>
              <w:top w:val="single" w:sz="6" w:space="0" w:color="000000"/>
              <w:left w:val="single" w:sz="6" w:space="0" w:color="000000"/>
              <w:bottom w:val="single" w:sz="12" w:space="0" w:color="000000"/>
              <w:right w:val="single" w:sz="6" w:space="0" w:color="000000"/>
            </w:tcBorders>
          </w:tcPr>
          <w:p>
            <w:pPr/>
          </w:p>
        </w:tc>
        <w:tc>
          <w:tcPr>
            <w:tcW w:w="13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9"/>
              <w:ind w:left="59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pStyle w:val="BodyText"/>
        <w:spacing w:line="240" w:lineRule="auto" w:before="35"/>
        <w:ind w:right="0"/>
        <w:jc w:val="both"/>
      </w:pPr>
      <w:r>
        <w:rPr/>
        <w:t>公司现任及报告期内离任董事、监事和高级管理人员近三年证券监管机构处罚的情况</w:t>
      </w:r>
    </w:p>
    <w:p>
      <w:pPr>
        <w:spacing w:line="240" w:lineRule="auto" w:before="10"/>
        <w:rPr>
          <w:rFonts w:ascii="宋体" w:hAnsi="宋体" w:cs="宋体" w:eastAsia="宋体" w:hint="default"/>
          <w:sz w:val="14"/>
          <w:szCs w:val="14"/>
        </w:rPr>
      </w:pPr>
    </w:p>
    <w:p>
      <w:pPr>
        <w:pStyle w:val="BodyText"/>
        <w:spacing w:line="240" w:lineRule="auto"/>
        <w:ind w:right="0"/>
        <w:jc w:val="both"/>
      </w:pPr>
      <w:r>
        <w:rPr/>
        <w:t>□ 适用 √</w:t>
      </w:r>
      <w:r>
        <w:rPr>
          <w:spacing w:val="-1"/>
        </w:rPr>
        <w:t> </w:t>
      </w:r>
      <w:r>
        <w:rPr/>
        <w:t>不适用</w:t>
      </w:r>
    </w:p>
    <w:p>
      <w:pPr>
        <w:pStyle w:val="Heading2"/>
        <w:spacing w:line="240" w:lineRule="auto"/>
        <w:ind w:left="1134" w:right="0"/>
        <w:jc w:val="both"/>
        <w:rPr>
          <w:b w:val="0"/>
          <w:bCs w:val="0"/>
        </w:rPr>
      </w:pPr>
      <w:bookmarkStart w:name="四、董事、监事、高级管理人员报酬情况" w:id="120"/>
      <w:bookmarkEnd w:id="120"/>
      <w:r>
        <w:rPr>
          <w:b w:val="0"/>
          <w:bCs w:val="0"/>
        </w:rPr>
      </w:r>
      <w:r>
        <w:rPr/>
        <w:t>四、董事、监事、高级管理人员报酬情况</w:t>
      </w:r>
      <w:r>
        <w:rPr>
          <w:b w:val="0"/>
          <w:bCs w:val="0"/>
        </w:rPr>
      </w:r>
    </w:p>
    <w:p>
      <w:pPr>
        <w:pStyle w:val="BodyText"/>
        <w:spacing w:line="408" w:lineRule="auto" w:before="177"/>
        <w:ind w:left="1553" w:right="0" w:hanging="420"/>
        <w:jc w:val="left"/>
      </w:pPr>
      <w:r>
        <w:rPr/>
        <w:t>董事、监事、高级管理人员报酬的决策程序、确定依据、实际支付情况 </w:t>
      </w:r>
      <w:r>
        <w:rPr>
          <w:spacing w:val="-1"/>
        </w:rPr>
        <w:t>关于薪酬的决策程序：公司董事、监事报酬按照《董事、监事薪酬管理制度》的规定执行，高级管理</w:t>
      </w:r>
    </w:p>
    <w:p>
      <w:pPr>
        <w:pStyle w:val="BodyText"/>
        <w:spacing w:line="408" w:lineRule="auto" w:before="46"/>
        <w:ind w:right="1133"/>
        <w:jc w:val="both"/>
      </w:pPr>
      <w:r>
        <w:rPr>
          <w:spacing w:val="-1"/>
        </w:rPr>
        <w:t>人员报酬按照《高级管理人员薪酬管理制度》的规定执行；在公司任职的董事、监事、高级管理人员报酬</w:t>
      </w:r>
      <w:r>
        <w:rPr>
          <w:spacing w:val="-83"/>
        </w:rPr>
        <w:t> </w:t>
      </w:r>
      <w:r>
        <w:rPr>
          <w:spacing w:val="-83"/>
        </w:rPr>
      </w:r>
      <w:r>
        <w:rPr>
          <w:spacing w:val="-1"/>
        </w:rPr>
        <w:t>由公司支付，董事、监事不另外支付津贴。独立董事津贴依据股东大会决议支付，董事履责产生的差旅费</w:t>
      </w:r>
      <w:r>
        <w:rPr>
          <w:spacing w:val="-86"/>
        </w:rPr>
        <w:t> </w:t>
      </w:r>
      <w:r>
        <w:rPr>
          <w:spacing w:val="-86"/>
        </w:rPr>
      </w:r>
      <w:r>
        <w:rPr/>
        <w:t>及住宿费等据实报销。</w:t>
      </w:r>
    </w:p>
    <w:p>
      <w:pPr>
        <w:pStyle w:val="BodyText"/>
        <w:spacing w:line="408" w:lineRule="auto" w:before="46"/>
        <w:ind w:right="0" w:firstLine="420"/>
        <w:jc w:val="left"/>
      </w:pPr>
      <w:r>
        <w:rPr>
          <w:spacing w:val="-1"/>
        </w:rPr>
        <w:t>关于薪酬的确定依据：根据公司盈利水平及董事、监事、高级管理人员的职责履行情况并结合年度绩</w:t>
      </w:r>
      <w:r>
        <w:rPr/>
        <w:t> 效完成情况综合确定。</w:t>
      </w:r>
    </w:p>
    <w:p>
      <w:pPr>
        <w:pStyle w:val="BodyText"/>
        <w:spacing w:line="408" w:lineRule="auto" w:before="46"/>
        <w:ind w:right="0" w:firstLine="420"/>
        <w:jc w:val="left"/>
      </w:pPr>
      <w:r>
        <w:rPr>
          <w:spacing w:val="-1"/>
        </w:rPr>
        <w:t>实际支付情况：报告期内，在公司领取薪酬的董事、监事、高级管理人员有</w:t>
      </w:r>
      <w:r>
        <w:rPr>
          <w:rFonts w:ascii="宋体" w:hAnsi="宋体" w:cs="宋体" w:eastAsia="宋体" w:hint="default"/>
          <w:spacing w:val="-1"/>
        </w:rPr>
        <w:t>14</w:t>
      </w:r>
      <w:r>
        <w:rPr>
          <w:spacing w:val="-1"/>
        </w:rPr>
        <w:t>人，董事熊俊先生、任</w:t>
      </w:r>
      <w:r>
        <w:rPr/>
        <w:t> 昌兆先生及原董事李俊先生不在公司领取薪酬，</w:t>
      </w:r>
      <w:r>
        <w:rPr>
          <w:rFonts w:ascii="宋体" w:hAnsi="宋体" w:cs="宋体" w:eastAsia="宋体" w:hint="default"/>
        </w:rPr>
        <w:t>2015</w:t>
      </w:r>
      <w:r>
        <w:rPr/>
        <w:t>年共计支付薪酬</w:t>
      </w:r>
      <w:r>
        <w:rPr>
          <w:rFonts w:ascii="宋体" w:hAnsi="宋体" w:cs="宋体" w:eastAsia="宋体" w:hint="default"/>
        </w:rPr>
        <w:t>278.78</w:t>
      </w:r>
      <w:r>
        <w:rPr/>
        <w:t>万元。 公司报告期内董事、监事和高级管理人员报酬情况</w:t>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51" w:type="dxa"/>
        <w:tblLayout w:type="fixed"/>
        <w:tblCellMar>
          <w:top w:w="0" w:type="dxa"/>
          <w:left w:w="0" w:type="dxa"/>
          <w:bottom w:w="0" w:type="dxa"/>
          <w:right w:w="0" w:type="dxa"/>
        </w:tblCellMar>
        <w:tblLook w:val="01E0"/>
      </w:tblPr>
      <w:tblGrid>
        <w:gridCol w:w="1369"/>
        <w:gridCol w:w="1368"/>
        <w:gridCol w:w="1367"/>
        <w:gridCol w:w="1367"/>
        <w:gridCol w:w="1367"/>
        <w:gridCol w:w="1367"/>
        <w:gridCol w:w="1366"/>
      </w:tblGrid>
      <w:tr>
        <w:trPr>
          <w:trHeight w:val="503" w:hRule="exact"/>
        </w:trPr>
        <w:tc>
          <w:tcPr>
            <w:tcW w:w="13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1"/>
              <w:ind w:right="4"/>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exact"/>
              <w:ind w:left="225" w:right="45"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exact"/>
              <w:ind w:left="226" w:right="35"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12" w:hRule="exact"/>
        </w:trPr>
        <w:tc>
          <w:tcPr>
            <w:tcW w:w="1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49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40.33</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王海俊</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46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45.54</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任昌兆</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0.00</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57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1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邱卫东</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50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38.31</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戴晓东</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44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25.25</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熊  俊</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30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0.00</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57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1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茅  宁</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60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3.33</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李  俊</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40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0.00</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57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1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李和渝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59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2.50</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廖家河</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46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5.00</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曲  凯</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45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5.00</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朱云飞</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51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19.3</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徐一宁</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66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16.00</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何素蓉</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34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6.16</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96" w:hRule="exact"/>
        </w:trPr>
        <w:tc>
          <w:tcPr>
            <w:tcW w:w="1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3"/>
              <w:ind w:right="5"/>
              <w:jc w:val="center"/>
              <w:rPr>
                <w:rFonts w:ascii="宋体" w:hAnsi="宋体" w:cs="宋体" w:eastAsia="宋体" w:hint="default"/>
                <w:sz w:val="18"/>
                <w:szCs w:val="18"/>
              </w:rPr>
            </w:pPr>
            <w:r>
              <w:rPr>
                <w:rFonts w:ascii="宋体" w:hAnsi="宋体" w:cs="宋体" w:eastAsia="宋体" w:hint="default"/>
                <w:sz w:val="18"/>
                <w:szCs w:val="18"/>
              </w:rPr>
              <w:t>蒋  悦</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226" w:right="224" w:firstLine="90"/>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sz w:val="18"/>
              </w:rPr>
              <w:t>41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8"/>
              <w:jc w:val="right"/>
              <w:rPr>
                <w:rFonts w:ascii="宋体" w:hAnsi="宋体" w:cs="宋体" w:eastAsia="宋体" w:hint="default"/>
                <w:sz w:val="18"/>
                <w:szCs w:val="18"/>
              </w:rPr>
            </w:pPr>
            <w:r>
              <w:rPr>
                <w:rFonts w:ascii="宋体"/>
                <w:sz w:val="18"/>
              </w:rPr>
              <w:t>25.20</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9" w:hRule="exact"/>
        </w:trPr>
        <w:tc>
          <w:tcPr>
            <w:tcW w:w="136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周振娟</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39</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24.77</w:t>
            </w: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1"/>
              <w:ind w:right="575"/>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51" w:type="dxa"/>
        <w:tblLayout w:type="fixed"/>
        <w:tblCellMar>
          <w:top w:w="0" w:type="dxa"/>
          <w:left w:w="0" w:type="dxa"/>
          <w:bottom w:w="0" w:type="dxa"/>
          <w:right w:w="0" w:type="dxa"/>
        </w:tblCellMar>
        <w:tblLook w:val="01E0"/>
      </w:tblPr>
      <w:tblGrid>
        <w:gridCol w:w="1369"/>
        <w:gridCol w:w="1368"/>
        <w:gridCol w:w="1367"/>
        <w:gridCol w:w="1367"/>
        <w:gridCol w:w="1367"/>
        <w:gridCol w:w="1367"/>
        <w:gridCol w:w="1366"/>
      </w:tblGrid>
      <w:tr>
        <w:trPr>
          <w:trHeight w:val="419" w:hRule="exact"/>
        </w:trPr>
        <w:tc>
          <w:tcPr>
            <w:tcW w:w="136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9"/>
              <w:ind w:right="5"/>
              <w:jc w:val="center"/>
              <w:rPr>
                <w:rFonts w:ascii="宋体" w:hAnsi="宋体" w:cs="宋体" w:eastAsia="宋体" w:hint="default"/>
                <w:sz w:val="18"/>
                <w:szCs w:val="18"/>
              </w:rPr>
            </w:pPr>
            <w:r>
              <w:rPr>
                <w:rFonts w:ascii="宋体" w:hAnsi="宋体" w:cs="宋体" w:eastAsia="宋体" w:hint="default"/>
                <w:sz w:val="18"/>
                <w:szCs w:val="18"/>
              </w:rPr>
              <w:t>沈  健</w:t>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58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43</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right="18"/>
              <w:jc w:val="right"/>
              <w:rPr>
                <w:rFonts w:ascii="宋体" w:hAnsi="宋体" w:cs="宋体" w:eastAsia="宋体" w:hint="default"/>
                <w:sz w:val="18"/>
                <w:szCs w:val="18"/>
              </w:rPr>
            </w:pPr>
            <w:r>
              <w:rPr>
                <w:rFonts w:ascii="宋体"/>
                <w:sz w:val="18"/>
              </w:rPr>
              <w:t>22.09</w:t>
            </w:r>
          </w:p>
        </w:tc>
        <w:tc>
          <w:tcPr>
            <w:tcW w:w="136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9"/>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9" w:hRule="exact"/>
        </w:trPr>
        <w:tc>
          <w:tcPr>
            <w:tcW w:w="13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合  计</w:t>
            </w:r>
          </w:p>
        </w:tc>
        <w:tc>
          <w:tcPr>
            <w:tcW w:w="136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36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61"/>
              <w:ind w:left="585" w:right="0"/>
              <w:jc w:val="left"/>
              <w:rPr>
                <w:rFonts w:ascii="宋体" w:hAnsi="宋体" w:cs="宋体" w:eastAsia="宋体" w:hint="default"/>
                <w:sz w:val="18"/>
                <w:szCs w:val="18"/>
              </w:rPr>
            </w:pPr>
            <w:r>
              <w:rPr>
                <w:rFonts w:ascii="宋体"/>
                <w:sz w:val="18"/>
              </w:rPr>
              <w:t>--</w:t>
            </w:r>
          </w:p>
        </w:tc>
        <w:tc>
          <w:tcPr>
            <w:tcW w:w="136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36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278.78</w:t>
            </w:r>
          </w:p>
        </w:tc>
        <w:tc>
          <w:tcPr>
            <w:tcW w:w="1366"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61"/>
              <w:ind w:right="575"/>
              <w:jc w:val="right"/>
              <w:rPr>
                <w:rFonts w:ascii="宋体" w:hAnsi="宋体" w:cs="宋体" w:eastAsia="宋体" w:hint="default"/>
                <w:sz w:val="18"/>
                <w:szCs w:val="18"/>
              </w:rPr>
            </w:pPr>
            <w:r>
              <w:rPr>
                <w:rFonts w:ascii="宋体"/>
                <w:sz w:val="18"/>
              </w:rPr>
              <w:t>--</w:t>
            </w:r>
          </w:p>
        </w:tc>
      </w:tr>
    </w:tbl>
    <w:p>
      <w:pPr>
        <w:pStyle w:val="BodyText"/>
        <w:spacing w:line="240" w:lineRule="auto" w:before="63"/>
        <w:ind w:left="1134" w:right="0"/>
        <w:jc w:val="left"/>
      </w:pPr>
      <w:r>
        <w:rPr/>
        <w:t>公司董事、监事、高级管理人员报告期内被授予的股权激励情况</w:t>
      </w:r>
    </w:p>
    <w:p>
      <w:pPr>
        <w:spacing w:line="240" w:lineRule="auto" w:before="10"/>
        <w:rPr>
          <w:rFonts w:ascii="宋体" w:hAnsi="宋体" w:cs="宋体" w:eastAsia="宋体" w:hint="default"/>
          <w:sz w:val="14"/>
          <w:szCs w:val="14"/>
        </w:rPr>
      </w:pPr>
    </w:p>
    <w:p>
      <w:pPr>
        <w:spacing w:line="386" w:lineRule="auto" w:before="0"/>
        <w:ind w:left="1133" w:right="7640" w:firstLine="0"/>
        <w:jc w:val="left"/>
        <w:rPr>
          <w:rFonts w:ascii="宋体" w:hAnsi="宋体" w:cs="宋体" w:eastAsia="宋体" w:hint="default"/>
          <w:sz w:val="20"/>
          <w:szCs w:val="20"/>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五、公司员工情况" w:id="121"/>
      <w:bookmarkEnd w:id="121"/>
      <w:r>
        <w:rPr>
          <w:rFonts w:ascii="宋体" w:hAnsi="宋体" w:cs="宋体" w:eastAsia="宋体" w:hint="default"/>
          <w:sz w:val="21"/>
          <w:szCs w:val="21"/>
        </w:rPr>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bookmarkStart w:name="1、员工数量、专业构成及教育程度" w:id="122"/>
      <w:bookmarkEnd w:id="122"/>
      <w:r>
        <w:rPr>
          <w:rFonts w:ascii="宋体" w:hAnsi="宋体" w:cs="宋体" w:eastAsia="宋体" w:hint="default"/>
          <w:b/>
          <w:bCs/>
          <w:w w:val="99"/>
          <w:sz w:val="24"/>
          <w:szCs w:val="24"/>
        </w:rPr>
      </w:r>
      <w:r>
        <w:rPr>
          <w:rFonts w:ascii="宋体" w:hAnsi="宋体" w:cs="宋体" w:eastAsia="宋体" w:hint="default"/>
          <w:b/>
          <w:bCs/>
          <w:sz w:val="20"/>
          <w:szCs w:val="20"/>
        </w:rPr>
        <w:t>1</w:t>
      </w:r>
      <w:r>
        <w:rPr>
          <w:rFonts w:ascii="宋体" w:hAnsi="宋体" w:cs="宋体" w:eastAsia="宋体" w:hint="default"/>
          <w:b/>
          <w:bCs/>
          <w:sz w:val="20"/>
          <w:szCs w:val="20"/>
        </w:rPr>
        <w:t>、员工数量、专业构成及教育程度</w:t>
      </w:r>
      <w:r>
        <w:rPr>
          <w:rFonts w:ascii="宋体" w:hAnsi="宋体" w:cs="宋体" w:eastAsia="宋体" w:hint="default"/>
          <w:sz w:val="20"/>
          <w:szCs w:val="20"/>
        </w:rPr>
      </w:r>
    </w:p>
    <w:p>
      <w:pPr>
        <w:spacing w:before="6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单位：人</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4786"/>
        <w:gridCol w:w="4783"/>
      </w:tblGrid>
      <w:tr>
        <w:trPr>
          <w:trHeight w:val="419" w:hRule="exact"/>
        </w:trPr>
        <w:tc>
          <w:tcPr>
            <w:tcW w:w="47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母公司在职员工的数量</w:t>
            </w:r>
          </w:p>
        </w:tc>
        <w:tc>
          <w:tcPr>
            <w:tcW w:w="4783"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297</w:t>
            </w:r>
          </w:p>
        </w:tc>
      </w:tr>
      <w:tr>
        <w:trPr>
          <w:trHeight w:val="412"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w:t>
            </w:r>
          </w:p>
        </w:tc>
        <w:tc>
          <w:tcPr>
            <w:tcW w:w="4783"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742</w:t>
            </w:r>
          </w:p>
        </w:tc>
      </w:tr>
      <w:tr>
        <w:trPr>
          <w:trHeight w:val="412"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在职员工的数量合计</w:t>
            </w:r>
          </w:p>
        </w:tc>
        <w:tc>
          <w:tcPr>
            <w:tcW w:w="4783"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1,039</w:t>
            </w:r>
          </w:p>
        </w:tc>
      </w:tr>
      <w:tr>
        <w:trPr>
          <w:trHeight w:val="412"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w:t>
            </w:r>
          </w:p>
        </w:tc>
        <w:tc>
          <w:tcPr>
            <w:tcW w:w="4783"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1,039</w:t>
            </w:r>
          </w:p>
        </w:tc>
      </w:tr>
      <w:tr>
        <w:trPr>
          <w:trHeight w:val="419"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w:t>
            </w:r>
          </w:p>
        </w:tc>
        <w:tc>
          <w:tcPr>
            <w:tcW w:w="4783"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0</w:t>
            </w:r>
          </w:p>
        </w:tc>
      </w:tr>
      <w:tr>
        <w:trPr>
          <w:trHeight w:val="426" w:hRule="exact"/>
        </w:trPr>
        <w:tc>
          <w:tcPr>
            <w:tcW w:w="9569"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62"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right="6"/>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2"/>
              <w:ind w:left="8" w:right="0"/>
              <w:jc w:val="center"/>
              <w:rPr>
                <w:rFonts w:ascii="宋体" w:hAnsi="宋体" w:cs="宋体" w:eastAsia="宋体" w:hint="default"/>
                <w:sz w:val="18"/>
                <w:szCs w:val="18"/>
              </w:rPr>
            </w:pPr>
            <w:r>
              <w:rPr>
                <w:rFonts w:ascii="宋体" w:hAnsi="宋体" w:cs="宋体" w:eastAsia="宋体" w:hint="default"/>
                <w:sz w:val="18"/>
                <w:szCs w:val="18"/>
              </w:rPr>
              <w:t>专业构成人数</w:t>
            </w:r>
          </w:p>
        </w:tc>
      </w:tr>
      <w:tr>
        <w:trPr>
          <w:trHeight w:val="441"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17" w:space="0" w:color="D2D2D2"/>
              <w:left w:val="single" w:sz="14" w:space="0" w:color="D2D2D2"/>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498</w:t>
            </w:r>
          </w:p>
        </w:tc>
      </w:tr>
      <w:tr>
        <w:trPr>
          <w:trHeight w:val="412"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67</w:t>
            </w:r>
          </w:p>
        </w:tc>
      </w:tr>
      <w:tr>
        <w:trPr>
          <w:trHeight w:val="413"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206</w:t>
            </w:r>
          </w:p>
        </w:tc>
      </w:tr>
      <w:tr>
        <w:trPr>
          <w:trHeight w:val="412"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36</w:t>
            </w:r>
          </w:p>
        </w:tc>
      </w:tr>
      <w:tr>
        <w:trPr>
          <w:trHeight w:val="411"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94</w:t>
            </w:r>
          </w:p>
        </w:tc>
      </w:tr>
      <w:tr>
        <w:trPr>
          <w:trHeight w:val="413" w:hRule="exact"/>
        </w:trPr>
        <w:tc>
          <w:tcPr>
            <w:tcW w:w="4786" w:type="dxa"/>
            <w:tcBorders>
              <w:top w:val="single" w:sz="23" w:space="0" w:color="D2D2D2"/>
              <w:left w:val="single" w:sz="12" w:space="0" w:color="000000"/>
              <w:bottom w:val="single" w:sz="6" w:space="0" w:color="000000"/>
              <w:right w:val="single" w:sz="6"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96</w:t>
            </w:r>
          </w:p>
        </w:tc>
      </w:tr>
      <w:tr>
        <w:trPr>
          <w:trHeight w:val="412" w:hRule="exact"/>
        </w:trPr>
        <w:tc>
          <w:tcPr>
            <w:tcW w:w="4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工程人员</w:t>
            </w:r>
          </w:p>
        </w:tc>
        <w:tc>
          <w:tcPr>
            <w:tcW w:w="4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30</w:t>
            </w:r>
          </w:p>
        </w:tc>
      </w:tr>
      <w:tr>
        <w:trPr>
          <w:trHeight w:val="433" w:hRule="exact"/>
        </w:trPr>
        <w:tc>
          <w:tcPr>
            <w:tcW w:w="4786" w:type="dxa"/>
            <w:tcBorders>
              <w:top w:val="single" w:sz="6" w:space="0" w:color="000000"/>
              <w:left w:val="single" w:sz="12" w:space="0" w:color="000000"/>
              <w:bottom w:val="single" w:sz="17" w:space="0" w:color="D2D2D2"/>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w:t>
            </w:r>
          </w:p>
        </w:tc>
      </w:tr>
      <w:tr>
        <w:trPr>
          <w:trHeight w:val="398"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right="6"/>
              <w:jc w:val="center"/>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z w:val="18"/>
              </w:rPr>
              <w:t>1,039</w:t>
            </w:r>
          </w:p>
        </w:tc>
      </w:tr>
      <w:tr>
        <w:trPr>
          <w:trHeight w:val="426" w:hRule="exact"/>
        </w:trPr>
        <w:tc>
          <w:tcPr>
            <w:tcW w:w="9569"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62"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right="6"/>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2"/>
              <w:ind w:left="8"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41" w:hRule="exact"/>
        </w:trPr>
        <w:tc>
          <w:tcPr>
            <w:tcW w:w="4786" w:type="dxa"/>
            <w:tcBorders>
              <w:top w:val="single" w:sz="23" w:space="0" w:color="D2D2D2"/>
              <w:left w:val="single" w:sz="12" w:space="0" w:color="000000"/>
              <w:bottom w:val="single" w:sz="6" w:space="0" w:color="000000"/>
              <w:right w:val="single" w:sz="6" w:space="0" w:color="000000"/>
            </w:tcBorders>
          </w:tcPr>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3"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37</w:t>
            </w:r>
          </w:p>
        </w:tc>
      </w:tr>
      <w:tr>
        <w:trPr>
          <w:trHeight w:val="412" w:hRule="exact"/>
        </w:trPr>
        <w:tc>
          <w:tcPr>
            <w:tcW w:w="4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212</w:t>
            </w:r>
          </w:p>
        </w:tc>
      </w:tr>
      <w:tr>
        <w:trPr>
          <w:trHeight w:val="412" w:hRule="exact"/>
        </w:trPr>
        <w:tc>
          <w:tcPr>
            <w:tcW w:w="4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4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221</w:t>
            </w:r>
          </w:p>
        </w:tc>
      </w:tr>
      <w:tr>
        <w:trPr>
          <w:trHeight w:val="413" w:hRule="exact"/>
        </w:trPr>
        <w:tc>
          <w:tcPr>
            <w:tcW w:w="4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569</w:t>
            </w:r>
          </w:p>
        </w:tc>
      </w:tr>
      <w:tr>
        <w:trPr>
          <w:trHeight w:val="420" w:hRule="exact"/>
        </w:trPr>
        <w:tc>
          <w:tcPr>
            <w:tcW w:w="47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1,039</w:t>
            </w:r>
          </w:p>
        </w:tc>
      </w:tr>
    </w:tbl>
    <w:p>
      <w:pPr>
        <w:spacing w:before="72"/>
        <w:ind w:left="1134" w:right="0" w:firstLine="0"/>
        <w:jc w:val="left"/>
        <w:rPr>
          <w:rFonts w:ascii="宋体" w:hAnsi="宋体" w:cs="宋体" w:eastAsia="宋体" w:hint="default"/>
          <w:sz w:val="20"/>
          <w:szCs w:val="20"/>
        </w:rPr>
      </w:pPr>
      <w:bookmarkStart w:name="2、薪酬政策" w:id="123"/>
      <w:bookmarkEnd w:id="123"/>
      <w:r>
        <w:rPr/>
      </w:r>
      <w:r>
        <w:rPr>
          <w:rFonts w:ascii="宋体" w:hAnsi="宋体" w:cs="宋体" w:eastAsia="宋体" w:hint="default"/>
          <w:b/>
          <w:bCs/>
          <w:sz w:val="20"/>
          <w:szCs w:val="20"/>
        </w:rPr>
        <w:t>2</w:t>
      </w:r>
      <w:r>
        <w:rPr>
          <w:rFonts w:ascii="宋体" w:hAnsi="宋体" w:cs="宋体" w:eastAsia="宋体" w:hint="default"/>
          <w:b/>
          <w:bCs/>
          <w:sz w:val="20"/>
          <w:szCs w:val="20"/>
        </w:rPr>
        <w:t>、薪酬政策</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554" w:right="0"/>
        <w:jc w:val="left"/>
      </w:pPr>
      <w:r>
        <w:rPr/>
        <w:t>公司建立公平、公正的薪酬管理体系，发挥薪酬的激励作用，调动员工的工作积极性，促进员工和企</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10" w:lineRule="auto"/>
        <w:ind w:right="1110"/>
        <w:jc w:val="both"/>
        <w:rPr>
          <w:rFonts w:ascii="宋体" w:hAnsi="宋体" w:cs="宋体" w:eastAsia="宋体" w:hint="default"/>
          <w:sz w:val="20"/>
          <w:szCs w:val="20"/>
        </w:rPr>
      </w:pPr>
      <w:r>
        <w:rPr>
          <w:spacing w:val="-1"/>
        </w:rPr>
        <w:t>业的共同发展。在公司《薪酬管理制度》中明确可以采用年薪制、结构工资制等分配机制，员工薪酬由岗</w:t>
      </w:r>
      <w:r>
        <w:rPr>
          <w:spacing w:val="-83"/>
        </w:rPr>
        <w:t> </w:t>
      </w:r>
      <w:r>
        <w:rPr>
          <w:spacing w:val="-83"/>
        </w:rPr>
      </w:r>
      <w:r>
        <w:rPr>
          <w:spacing w:val="-1"/>
        </w:rPr>
        <w:t>位工资、绩效工资、各种补贴、考核奖金等部分组成，其中岗位工资根据岗位技能高低，岗位职责轻重等</w:t>
      </w:r>
      <w:r>
        <w:rPr>
          <w:spacing w:val="-83"/>
        </w:rPr>
        <w:t> </w:t>
      </w:r>
      <w:r>
        <w:rPr>
          <w:spacing w:val="-83"/>
        </w:rPr>
      </w:r>
      <w:r>
        <w:rPr/>
        <w:t>因素具体确定，并随着岗位、工作年限、专业职称、绩效考核的变化而变动，体现一定的灵活性和弹性。 </w:t>
      </w:r>
      <w:bookmarkStart w:name="3、培训计划" w:id="124"/>
      <w:bookmarkEnd w:id="124"/>
      <w:r>
        <w:rPr/>
      </w:r>
      <w:r>
        <w:rPr>
          <w:rFonts w:ascii="宋体" w:hAnsi="宋体" w:cs="宋体" w:eastAsia="宋体" w:hint="default"/>
          <w:b/>
          <w:bCs/>
          <w:sz w:val="20"/>
          <w:szCs w:val="20"/>
        </w:rPr>
        <w:t>3</w:t>
      </w:r>
      <w:r>
        <w:rPr>
          <w:rFonts w:ascii="宋体" w:hAnsi="宋体" w:cs="宋体" w:eastAsia="宋体" w:hint="default"/>
          <w:b/>
          <w:bCs/>
          <w:sz w:val="20"/>
          <w:szCs w:val="20"/>
        </w:rPr>
        <w:t>、培训计划</w:t>
      </w:r>
      <w:r>
        <w:rPr>
          <w:rFonts w:ascii="宋体" w:hAnsi="宋体" w:cs="宋体" w:eastAsia="宋体" w:hint="default"/>
          <w:sz w:val="20"/>
          <w:szCs w:val="20"/>
        </w:rPr>
      </w:r>
    </w:p>
    <w:p>
      <w:pPr>
        <w:pStyle w:val="BodyText"/>
        <w:spacing w:line="410" w:lineRule="auto" w:before="55"/>
        <w:ind w:right="1116" w:firstLine="420"/>
        <w:jc w:val="left"/>
        <w:rPr>
          <w:rFonts w:ascii="宋体" w:hAnsi="宋体" w:cs="宋体" w:eastAsia="宋体" w:hint="default"/>
          <w:sz w:val="20"/>
          <w:szCs w:val="20"/>
        </w:rPr>
      </w:pPr>
      <w:r>
        <w:rPr>
          <w:spacing w:val="-1"/>
        </w:rPr>
        <w:t>报告期初，公司人力资源部根据公司战略目标及管理方向，结合各部门具体培训需求制定《光一科技</w:t>
      </w:r>
      <w:r>
        <w:rPr/>
        <w:t> </w:t>
      </w:r>
      <w:r>
        <w:rPr>
          <w:rFonts w:ascii="宋体" w:hAnsi="宋体" w:cs="宋体" w:eastAsia="宋体" w:hint="default"/>
          <w:spacing w:val="-1"/>
        </w:rPr>
        <w:t>2015</w:t>
      </w:r>
      <w:r>
        <w:rPr>
          <w:spacing w:val="-1"/>
        </w:rPr>
        <w:t>年培训计划》，从员工春训、安全管理、质量管理、制度管理、知识产权、知识技能、上岗培训、资</w:t>
      </w:r>
      <w:r>
        <w:rPr>
          <w:spacing w:val="-85"/>
        </w:rPr>
        <w:t> </w:t>
      </w:r>
      <w:r>
        <w:rPr>
          <w:spacing w:val="-85"/>
        </w:rPr>
      </w:r>
      <w:r>
        <w:rPr>
          <w:spacing w:val="-1"/>
        </w:rPr>
        <w:t>质证书培训等方面有针对性的开展各项培训工作。同时，在公司内部积极鼓励“能者为师”，通过内部分</w:t>
      </w:r>
      <w:r>
        <w:rPr>
          <w:spacing w:val="-82"/>
        </w:rPr>
        <w:t> </w:t>
      </w:r>
      <w:r>
        <w:rPr>
          <w:spacing w:val="-82"/>
        </w:rPr>
      </w:r>
      <w:r>
        <w:rPr/>
        <w:t>享机制开展办公软件、新</w:t>
      </w:r>
      <w:r>
        <w:rPr>
          <w:rFonts w:ascii="宋体" w:hAnsi="宋体" w:cs="宋体" w:eastAsia="宋体" w:hint="default"/>
        </w:rPr>
        <w:t>/</w:t>
      </w:r>
      <w:r>
        <w:rPr/>
        <w:t>老产品基础知识、班组质量体系管理、焊接工艺等专项培训课程，培训内容具</w:t>
      </w:r>
      <w:r>
        <w:rPr>
          <w:spacing w:val="-32"/>
        </w:rPr>
        <w:t> </w:t>
      </w:r>
      <w:r>
        <w:rPr>
          <w:spacing w:val="-32"/>
        </w:rPr>
      </w:r>
      <w:r>
        <w:rPr/>
        <w:t>体，培训形式多样，既激发员工广泛参与的积极性，又有效提升员工的综合素质和工作技能。 </w:t>
      </w:r>
      <w:bookmarkStart w:name="4、劳务外包情况" w:id="125"/>
      <w:bookmarkEnd w:id="125"/>
      <w:r>
        <w:rPr/>
      </w:r>
      <w:r>
        <w:rPr>
          <w:rFonts w:ascii="宋体" w:hAnsi="宋体" w:cs="宋体" w:eastAsia="宋体" w:hint="default"/>
          <w:b/>
          <w:bCs/>
          <w:sz w:val="20"/>
          <w:szCs w:val="20"/>
        </w:rPr>
        <w:t>4</w:t>
      </w:r>
      <w:r>
        <w:rPr>
          <w:rFonts w:ascii="宋体" w:hAnsi="宋体" w:cs="宋体" w:eastAsia="宋体" w:hint="default"/>
          <w:b/>
          <w:bCs/>
          <w:sz w:val="20"/>
          <w:szCs w:val="20"/>
        </w:rPr>
        <w:t>、劳务外包情况</w:t>
      </w:r>
      <w:r>
        <w:rPr>
          <w:rFonts w:ascii="宋体" w:hAnsi="宋体" w:cs="宋体" w:eastAsia="宋体" w:hint="default"/>
          <w:sz w:val="20"/>
          <w:szCs w:val="20"/>
        </w:rPr>
      </w:r>
    </w:p>
    <w:p>
      <w:pPr>
        <w:pStyle w:val="BodyText"/>
        <w:spacing w:line="240" w:lineRule="auto" w:before="55"/>
        <w:ind w:left="1134" w:right="0"/>
        <w:jc w:val="both"/>
      </w:pPr>
      <w:r>
        <w:rPr/>
        <w:t>√ 适用 □</w:t>
      </w:r>
      <w:r>
        <w:rPr>
          <w:spacing w:val="-1"/>
        </w:rPr>
        <w:t> </w:t>
      </w:r>
      <w:r>
        <w:rPr/>
        <w:t>不适用</w:t>
      </w:r>
    </w:p>
    <w:p>
      <w:pPr>
        <w:spacing w:line="240" w:lineRule="auto" w:before="11"/>
        <w:rPr>
          <w:rFonts w:ascii="宋体" w:hAnsi="宋体" w:cs="宋体" w:eastAsia="宋体" w:hint="default"/>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4786"/>
        <w:gridCol w:w="4783"/>
      </w:tblGrid>
      <w:tr>
        <w:trPr>
          <w:trHeight w:val="414" w:hRule="exact"/>
        </w:trPr>
        <w:tc>
          <w:tcPr>
            <w:tcW w:w="47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15,007.5</w:t>
            </w:r>
          </w:p>
        </w:tc>
      </w:tr>
      <w:tr>
        <w:trPr>
          <w:trHeight w:val="414" w:hRule="exact"/>
        </w:trPr>
        <w:tc>
          <w:tcPr>
            <w:tcW w:w="47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劳务外包支付的报酬总额</w:t>
            </w:r>
          </w:p>
        </w:tc>
        <w:tc>
          <w:tcPr>
            <w:tcW w:w="47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2,934,400.00</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right="1130"/>
        <w:jc w:val="center"/>
        <w:rPr>
          <w:b w:val="0"/>
          <w:bCs w:val="0"/>
        </w:rPr>
      </w:pPr>
      <w:bookmarkStart w:name="第九节 公司治理" w:id="126"/>
      <w:bookmarkEnd w:id="126"/>
      <w:r>
        <w:rPr>
          <w:b w:val="0"/>
          <w:bCs w:val="0"/>
        </w:rPr>
      </w:r>
      <w:bookmarkStart w:name="_bookmark8" w:id="127"/>
      <w:bookmarkEnd w:id="127"/>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Heading2"/>
        <w:spacing w:line="240" w:lineRule="auto" w:before="26"/>
        <w:ind w:right="0"/>
        <w:jc w:val="both"/>
        <w:rPr>
          <w:b w:val="0"/>
          <w:bCs w:val="0"/>
        </w:rPr>
      </w:pPr>
      <w:bookmarkStart w:name="一、公司治理的基本状况" w:id="128"/>
      <w:bookmarkEnd w:id="128"/>
      <w:r>
        <w:rPr>
          <w:b w:val="0"/>
          <w:bCs w:val="0"/>
        </w:rPr>
      </w:r>
      <w:r>
        <w:rPr/>
        <w:t>一、公司治理的基本状况</w:t>
      </w:r>
      <w:r>
        <w:rPr>
          <w:b w:val="0"/>
          <w:bCs w:val="0"/>
        </w:rPr>
      </w:r>
    </w:p>
    <w:p>
      <w:pPr>
        <w:pStyle w:val="BodyText"/>
        <w:spacing w:line="408" w:lineRule="auto" w:before="177"/>
        <w:ind w:right="1131" w:firstLine="424"/>
        <w:jc w:val="both"/>
      </w:pPr>
      <w:r>
        <w:rPr>
          <w:spacing w:val="-1"/>
        </w:rPr>
        <w:t>报告期内，公司严格按照《公司法》、《证券法》、《上市公司信息披露管理办法》、《深圳证券交</w:t>
      </w:r>
      <w:r>
        <w:rPr/>
        <w:t> </w:t>
      </w:r>
      <w:r>
        <w:rPr>
          <w:spacing w:val="-1"/>
        </w:rPr>
        <w:t>易所创业板股票上市规则》、《深圳证券交易所创业板上市公司规范运作指引》等有关法律、法规、业务</w:t>
      </w:r>
      <w:r>
        <w:rPr>
          <w:spacing w:val="-83"/>
        </w:rPr>
        <w:t> </w:t>
      </w:r>
      <w:r>
        <w:rPr>
          <w:spacing w:val="-83"/>
        </w:rPr>
      </w:r>
      <w:r>
        <w:rPr>
          <w:spacing w:val="-1"/>
        </w:rPr>
        <w:t>规则的有关规定，结合公司实际情况，进一步完善公司规范运作管理制度，加强内部控制制度建设，不断</w:t>
      </w:r>
      <w:r>
        <w:rPr>
          <w:spacing w:val="-85"/>
        </w:rPr>
        <w:t> </w:t>
      </w:r>
      <w:r>
        <w:rPr>
          <w:spacing w:val="-85"/>
        </w:rPr>
      </w:r>
      <w:r>
        <w:rPr/>
        <w:t>规范公司运作，提高公司治理水平。</w:t>
      </w:r>
    </w:p>
    <w:p>
      <w:pPr>
        <w:pStyle w:val="BodyText"/>
        <w:spacing w:line="408" w:lineRule="auto" w:before="46"/>
        <w:ind w:left="1558" w:right="1132"/>
        <w:jc w:val="left"/>
      </w:pPr>
      <w:r>
        <w:rPr>
          <w:rFonts w:ascii="宋体" w:hAnsi="宋体" w:cs="宋体" w:eastAsia="宋体" w:hint="default"/>
        </w:rPr>
        <w:t>1</w:t>
      </w:r>
      <w:r>
        <w:rPr/>
        <w:t>、关于股东与股东大会 </w:t>
      </w:r>
      <w:r>
        <w:rPr>
          <w:spacing w:val="-1"/>
        </w:rPr>
        <w:t>公司股东按照《公司章程》、《上市公司股东大会规则》的规定按其所持股份享有平等地位，并承担</w:t>
      </w:r>
    </w:p>
    <w:p>
      <w:pPr>
        <w:pStyle w:val="BodyText"/>
        <w:spacing w:line="408" w:lineRule="auto" w:before="46"/>
        <w:ind w:right="1133"/>
        <w:jc w:val="both"/>
      </w:pPr>
      <w:r>
        <w:rPr>
          <w:spacing w:val="-1"/>
        </w:rPr>
        <w:t>相应义务。公司治理结构能够保证所有股东，特别是中小股东享有平等地位，确保股东合法行使权益，保</w:t>
      </w:r>
      <w:r>
        <w:rPr>
          <w:spacing w:val="-85"/>
        </w:rPr>
        <w:t> </w:t>
      </w:r>
      <w:r>
        <w:rPr>
          <w:spacing w:val="-85"/>
        </w:rPr>
      </w:r>
      <w:r>
        <w:rPr/>
        <w:t>证了股东对公司重大事项的知情权、参与权、表决权。</w:t>
      </w:r>
    </w:p>
    <w:p>
      <w:pPr>
        <w:pStyle w:val="BodyText"/>
        <w:spacing w:line="408" w:lineRule="auto" w:before="46"/>
        <w:ind w:right="1132" w:firstLine="424"/>
        <w:jc w:val="both"/>
      </w:pPr>
      <w:r>
        <w:rPr>
          <w:spacing w:val="-1"/>
        </w:rPr>
        <w:t>报告期内的股东大会均由董事会召集召开，并聘请律师进行现场见证，根据相关法律、行政法规、部</w:t>
      </w:r>
      <w:r>
        <w:rPr/>
        <w:t> </w:t>
      </w:r>
      <w:r>
        <w:rPr>
          <w:spacing w:val="-1"/>
        </w:rPr>
        <w:t>门规章、规范性文件及公司章程等规定应由股东大会表决的事项均按照相应的权限审批后交由股东大会审</w:t>
      </w:r>
      <w:r>
        <w:rPr>
          <w:spacing w:val="-81"/>
        </w:rPr>
        <w:t> </w:t>
      </w:r>
      <w:r>
        <w:rPr>
          <w:spacing w:val="-81"/>
        </w:rPr>
      </w:r>
      <w:r>
        <w:rPr/>
        <w:t>议，不存在越权审批或先实施后审议的情况。</w:t>
      </w:r>
    </w:p>
    <w:p>
      <w:pPr>
        <w:pStyle w:val="BodyText"/>
        <w:spacing w:line="408" w:lineRule="auto" w:before="46"/>
        <w:ind w:left="1558" w:right="1132"/>
        <w:jc w:val="left"/>
      </w:pPr>
      <w:r>
        <w:rPr>
          <w:rFonts w:ascii="宋体" w:hAnsi="宋体" w:cs="宋体" w:eastAsia="宋体" w:hint="default"/>
        </w:rPr>
        <w:t>2</w:t>
      </w:r>
      <w:r>
        <w:rPr/>
        <w:t>、关于公司与控股股东 </w:t>
      </w:r>
      <w:r>
        <w:rPr>
          <w:spacing w:val="-1"/>
        </w:rPr>
        <w:t>公司具有独立的业务经营能力及完备的运营体系，在业务、人员、资产、机构、财务上均独立于控股</w:t>
      </w:r>
    </w:p>
    <w:p>
      <w:pPr>
        <w:pStyle w:val="BodyText"/>
        <w:spacing w:line="408" w:lineRule="auto" w:before="46"/>
        <w:ind w:left="1134" w:right="1110"/>
        <w:jc w:val="both"/>
      </w:pPr>
      <w:r>
        <w:rPr>
          <w:spacing w:val="-1"/>
        </w:rPr>
        <w:t>股东，公司董事会、监事会和内部机构根据其议事规则或公司制度独立运作。公司控股股东能严格规范自</w:t>
      </w:r>
      <w:r>
        <w:rPr>
          <w:spacing w:val="-83"/>
        </w:rPr>
        <w:t> </w:t>
      </w:r>
      <w:r>
        <w:rPr>
          <w:spacing w:val="-83"/>
        </w:rPr>
      </w:r>
      <w:r>
        <w:rPr/>
        <w:t>己的行为，通过股东大会依法行使其权利并承担义务，没有超越股东大会直接或间接干预公司经营活动。 报告期内</w:t>
      </w:r>
      <w:r>
        <w:rPr>
          <w:rFonts w:ascii="宋体" w:hAnsi="宋体" w:cs="宋体" w:eastAsia="宋体" w:hint="default"/>
        </w:rPr>
        <w:t>,</w:t>
      </w:r>
      <w:r>
        <w:rPr/>
        <w:t>公司没有为控股股东提供担保，亦不存在控股股东非经营性占用公司资金的行为。</w:t>
      </w:r>
    </w:p>
    <w:p>
      <w:pPr>
        <w:pStyle w:val="BodyText"/>
        <w:spacing w:line="408" w:lineRule="auto" w:before="46"/>
        <w:ind w:left="1558" w:right="0"/>
        <w:jc w:val="left"/>
      </w:pPr>
      <w:r>
        <w:rPr>
          <w:rFonts w:ascii="宋体" w:hAnsi="宋体" w:cs="宋体" w:eastAsia="宋体" w:hint="default"/>
        </w:rPr>
        <w:t>3</w:t>
      </w:r>
      <w:r>
        <w:rPr/>
        <w:t>、关于董事和董事会 </w:t>
      </w:r>
      <w:r>
        <w:rPr>
          <w:spacing w:val="-1"/>
        </w:rPr>
        <w:t>公司严格按照《公司法》、《公司章程》规定的选聘程序选举董事，公司董事会人数和人员构成符合</w:t>
      </w:r>
    </w:p>
    <w:p>
      <w:pPr>
        <w:pStyle w:val="BodyText"/>
        <w:spacing w:line="408" w:lineRule="auto" w:before="46"/>
        <w:ind w:left="1134" w:right="1131"/>
        <w:jc w:val="both"/>
      </w:pPr>
      <w:r>
        <w:rPr>
          <w:spacing w:val="-1"/>
        </w:rPr>
        <w:t>法律、法规的要求，各位董事能够以认真负责的态度出席董事会和股东大会，从公司和全体股东的利益出</w:t>
      </w:r>
      <w:r>
        <w:rPr>
          <w:spacing w:val="-83"/>
        </w:rPr>
        <w:t> </w:t>
      </w:r>
      <w:r>
        <w:rPr>
          <w:spacing w:val="-83"/>
        </w:rPr>
      </w:r>
      <w:r>
        <w:rPr>
          <w:spacing w:val="-1"/>
        </w:rPr>
        <w:t>发，忠实履行职责，积极参加有关培训，学习有关法律法规，促进董事会规范运作和科学决策。董事会会</w:t>
      </w:r>
      <w:r>
        <w:rPr>
          <w:spacing w:val="-83"/>
        </w:rPr>
        <w:t> </w:t>
      </w:r>
      <w:r>
        <w:rPr>
          <w:spacing w:val="-83"/>
        </w:rPr>
      </w:r>
      <w:r>
        <w:rPr/>
        <w:t>议程序符合规定，会议记录完整、真实，会议相关信息披露及时、准确、充分。</w:t>
      </w:r>
    </w:p>
    <w:p>
      <w:pPr>
        <w:pStyle w:val="BodyText"/>
        <w:spacing w:line="408" w:lineRule="auto" w:before="46"/>
        <w:ind w:left="1558" w:right="1132"/>
        <w:jc w:val="left"/>
      </w:pPr>
      <w:r>
        <w:rPr>
          <w:rFonts w:ascii="宋体" w:hAnsi="宋体" w:cs="宋体" w:eastAsia="宋体" w:hint="default"/>
        </w:rPr>
        <w:t>4</w:t>
      </w:r>
      <w:r>
        <w:rPr/>
        <w:t>、关于监事和监事会 </w:t>
      </w:r>
      <w:r>
        <w:rPr>
          <w:spacing w:val="-1"/>
        </w:rPr>
        <w:t>公司严格按照《公司法》、《公司章程》规定的选聘程序选举监事，公司监事会人数和人员构成符合</w:t>
      </w:r>
    </w:p>
    <w:p>
      <w:pPr>
        <w:pStyle w:val="BodyText"/>
        <w:spacing w:line="408" w:lineRule="auto" w:before="46"/>
        <w:ind w:left="1134" w:right="1130"/>
        <w:jc w:val="both"/>
      </w:pPr>
      <w:r>
        <w:rPr>
          <w:spacing w:val="-1"/>
        </w:rPr>
        <w:t>法律、法规的要求。各位监事能够认真学习有关法律法规、积极参加相关业务培训、认真履行职责，本着</w:t>
      </w:r>
      <w:r>
        <w:rPr>
          <w:spacing w:val="-83"/>
        </w:rPr>
        <w:t> </w:t>
      </w:r>
      <w:r>
        <w:rPr>
          <w:spacing w:val="-83"/>
        </w:rPr>
      </w:r>
      <w:r>
        <w:rPr>
          <w:spacing w:val="-1"/>
        </w:rPr>
        <w:t>对全体股东尤其是中小股东负责的精神，对公司重大事项、关联交易、财务状况以及董事和其他高级管理</w:t>
      </w:r>
      <w:r>
        <w:rPr>
          <w:spacing w:val="-83"/>
        </w:rPr>
        <w:t> </w:t>
      </w:r>
      <w:r>
        <w:rPr>
          <w:spacing w:val="-83"/>
        </w:rPr>
      </w:r>
      <w:r>
        <w:rPr/>
        <w:t>人员履行职责的合法、合规性进行监督并发表独立意见，维护公司及股东的合法权益。</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left="1558" w:right="1132"/>
        <w:jc w:val="left"/>
      </w:pPr>
      <w:r>
        <w:rPr>
          <w:rFonts w:ascii="宋体" w:hAnsi="宋体" w:cs="宋体" w:eastAsia="宋体" w:hint="default"/>
        </w:rPr>
        <w:t>5</w:t>
      </w:r>
      <w:r>
        <w:rPr/>
        <w:t>、关于绩效评价与激励约束机制 </w:t>
      </w:r>
      <w:r>
        <w:rPr>
          <w:spacing w:val="-1"/>
        </w:rPr>
        <w:t>公司建立并逐步完善公正、透明的董事、监事、高级管理人员的绩效评价标准与激励约束机制；高级</w:t>
      </w:r>
    </w:p>
    <w:p>
      <w:pPr>
        <w:pStyle w:val="BodyText"/>
        <w:spacing w:line="408" w:lineRule="auto" w:before="46"/>
        <w:ind w:left="1558" w:right="5293" w:hanging="425"/>
        <w:jc w:val="left"/>
      </w:pPr>
      <w:r>
        <w:rPr/>
        <w:t>管理人员的聘任公开、透明，符合相关法律、法规的规定。 </w:t>
      </w:r>
      <w:r>
        <w:rPr>
          <w:rFonts w:ascii="宋体" w:hAnsi="宋体" w:cs="宋体" w:eastAsia="宋体" w:hint="default"/>
        </w:rPr>
        <w:t>6</w:t>
      </w:r>
      <w:r>
        <w:rPr/>
        <w:t>、关于相关利益者</w:t>
      </w:r>
    </w:p>
    <w:p>
      <w:pPr>
        <w:pStyle w:val="BodyText"/>
        <w:spacing w:line="408" w:lineRule="auto" w:before="46"/>
        <w:ind w:right="1014" w:firstLine="424"/>
        <w:jc w:val="left"/>
      </w:pPr>
      <w:r>
        <w:rPr>
          <w:spacing w:val="-3"/>
        </w:rPr>
        <w:t>公司能够充分尊重和维护相关利益者的合法权益，积极与相关利益者合作，加强与各方的沟通和交流，</w:t>
      </w:r>
      <w:r>
        <w:rPr/>
        <w:t> 实现社会、股东、公司、员工等各方利益的协调平衡，推动公司持续、稳定、健康发展。</w:t>
      </w:r>
    </w:p>
    <w:p>
      <w:pPr>
        <w:pStyle w:val="BodyText"/>
        <w:spacing w:line="408" w:lineRule="auto" w:before="46"/>
        <w:ind w:left="1558" w:right="1132"/>
        <w:jc w:val="left"/>
      </w:pPr>
      <w:r>
        <w:rPr>
          <w:rFonts w:ascii="宋体" w:hAnsi="宋体" w:cs="宋体" w:eastAsia="宋体" w:hint="default"/>
        </w:rPr>
        <w:t>7</w:t>
      </w:r>
      <w:r>
        <w:rPr/>
        <w:t>、关于信息披露与透明度 </w:t>
      </w:r>
      <w:r>
        <w:rPr>
          <w:spacing w:val="-1"/>
        </w:rPr>
        <w:t>公司严格按照有关法律法规和《公司信息披露管理制度》的规定，加强信息披露事务管理，履行信息</w:t>
      </w:r>
    </w:p>
    <w:p>
      <w:pPr>
        <w:pStyle w:val="BodyText"/>
        <w:spacing w:line="408" w:lineRule="auto" w:before="46"/>
        <w:ind w:right="0"/>
        <w:jc w:val="left"/>
      </w:pPr>
      <w:r>
        <w:rPr/>
        <w:t>披露义务，并指定《证券时报》、《中国证券报》、《上海证券报》和中国证监会创业板指定信息披露网 </w:t>
      </w:r>
      <w:r>
        <w:rPr>
          <w:spacing w:val="-1"/>
        </w:rPr>
        <w:t>站（巨潮资讯网</w:t>
      </w:r>
      <w:r>
        <w:rPr>
          <w:rFonts w:ascii="宋体" w:hAnsi="宋体" w:cs="宋体" w:eastAsia="宋体" w:hint="default"/>
          <w:spacing w:val="-1"/>
        </w:rPr>
      </w:r>
      <w:hyperlink r:id="rId11">
        <w:r>
          <w:rPr>
            <w:rFonts w:ascii="宋体" w:hAnsi="宋体" w:cs="宋体" w:eastAsia="宋体" w:hint="default"/>
            <w:spacing w:val="-1"/>
            <w:u w:val="single" w:color="000000"/>
          </w:rPr>
          <w:t>www.cninfo.com.cn</w:t>
        </w:r>
        <w:r>
          <w:rPr>
            <w:rFonts w:ascii="宋体" w:hAnsi="宋体" w:cs="宋体" w:eastAsia="宋体" w:hint="default"/>
            <w:spacing w:val="-1"/>
          </w:rPr>
        </w:r>
      </w:hyperlink>
      <w:r>
        <w:rPr>
          <w:spacing w:val="-1"/>
        </w:rPr>
        <w:t>）为公司信息披露报纸和网站，真实、准确、及时、完整的披露信息，</w:t>
      </w:r>
      <w:r>
        <w:rPr>
          <w:spacing w:val="-75"/>
        </w:rPr>
        <w:t> </w:t>
      </w:r>
      <w:r>
        <w:rPr>
          <w:spacing w:val="-75"/>
        </w:rPr>
      </w:r>
      <w:r>
        <w:rPr/>
        <w:t>确保所有投资者公平获取公司信息。</w:t>
      </w:r>
    </w:p>
    <w:p>
      <w:pPr>
        <w:pStyle w:val="BodyText"/>
        <w:spacing w:line="408" w:lineRule="auto" w:before="46"/>
        <w:ind w:left="1134" w:right="2352" w:firstLine="424"/>
        <w:jc w:val="left"/>
      </w:pPr>
      <w:r>
        <w:rPr/>
        <w:t>报告期内，公司未发生信息披露不规范而受到监管部门批评的情形。 公司治理的实际状况与中国证监会发布的有关上市公司治理的规范性文件是否存在重大差异</w:t>
      </w:r>
    </w:p>
    <w:p>
      <w:pPr>
        <w:spacing w:line="398" w:lineRule="auto" w:before="46"/>
        <w:ind w:left="1134" w:right="2352" w:firstLine="0"/>
        <w:jc w:val="left"/>
        <w:rPr>
          <w:rFonts w:ascii="宋体" w:hAnsi="宋体" w:cs="宋体" w:eastAsia="宋体" w:hint="default"/>
          <w:sz w:val="24"/>
          <w:szCs w:val="24"/>
        </w:rPr>
      </w:pPr>
      <w:r>
        <w:rPr>
          <w:rFonts w:ascii="宋体" w:hAnsi="宋体" w:cs="宋体" w:eastAsia="宋体" w:hint="default"/>
          <w:sz w:val="21"/>
          <w:szCs w:val="21"/>
        </w:rPr>
        <w:t>□ 是 √ 否 公司治理的实际状况与中国证监会发布的有关上市公司治理的规范性文件不存在重大差异。 </w:t>
      </w:r>
      <w:bookmarkStart w:name="二、公司相对于控股股东在业务、人员、资产、机构、财务等方面的独立情况" w:id="129"/>
      <w:bookmarkEnd w:id="129"/>
      <w:r>
        <w:rPr>
          <w:rFonts w:ascii="宋体" w:hAnsi="宋体" w:cs="宋体" w:eastAsia="宋体" w:hint="default"/>
          <w:sz w:val="21"/>
          <w:szCs w:val="21"/>
        </w:rPr>
      </w:r>
      <w:r>
        <w:rPr>
          <w:rFonts w:ascii="宋体" w:hAnsi="宋体" w:cs="宋体" w:eastAsia="宋体" w:hint="default"/>
          <w:b/>
          <w:bCs/>
          <w:sz w:val="24"/>
          <w:szCs w:val="24"/>
        </w:rPr>
        <w:t>二、公司相对于控股股东在业务、人员、资产、机构、财务等方面的独立情况</w:t>
      </w:r>
      <w:r>
        <w:rPr>
          <w:rFonts w:ascii="宋体" w:hAnsi="宋体" w:cs="宋体" w:eastAsia="宋体" w:hint="default"/>
          <w:sz w:val="24"/>
          <w:szCs w:val="24"/>
        </w:rPr>
      </w:r>
    </w:p>
    <w:p>
      <w:pPr>
        <w:spacing w:line="391" w:lineRule="auto" w:before="10"/>
        <w:ind w:left="1134" w:right="1133" w:firstLine="441"/>
        <w:jc w:val="both"/>
        <w:rPr>
          <w:rFonts w:ascii="宋体" w:hAnsi="宋体" w:cs="宋体" w:eastAsia="宋体" w:hint="default"/>
          <w:sz w:val="22"/>
          <w:szCs w:val="22"/>
        </w:rPr>
      </w:pPr>
      <w:r>
        <w:rPr>
          <w:rFonts w:ascii="宋体" w:hAnsi="宋体" w:cs="宋体" w:eastAsia="宋体" w:hint="default"/>
          <w:spacing w:val="-2"/>
          <w:sz w:val="22"/>
          <w:szCs w:val="22"/>
        </w:rPr>
        <w:t>报告期内，公司严格按照《公司法》、《证券法》、《公司章程》及证券监管部门的有关规定正</w:t>
      </w:r>
      <w:r>
        <w:rPr>
          <w:rFonts w:ascii="宋体" w:hAnsi="宋体" w:cs="宋体" w:eastAsia="宋体" w:hint="default"/>
          <w:w w:val="99"/>
          <w:sz w:val="22"/>
          <w:szCs w:val="22"/>
        </w:rPr>
        <w:t> </w:t>
      </w:r>
      <w:r>
        <w:rPr>
          <w:rFonts w:ascii="宋体" w:hAnsi="宋体" w:cs="宋体" w:eastAsia="宋体" w:hint="default"/>
          <w:spacing w:val="-1"/>
          <w:w w:val="95"/>
          <w:sz w:val="22"/>
          <w:szCs w:val="22"/>
        </w:rPr>
        <w:t>确处理与控股股东的关系。公司控股股东根据法律法规的要求，严格规范自己的行为，依法行使其权</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pacing w:val="-1"/>
          <w:w w:val="95"/>
          <w:sz w:val="22"/>
          <w:szCs w:val="22"/>
        </w:rPr>
        <w:t>利并承担相应义务，没有超越股东大会直接或间接地干预公司的决策和经营活动。公司拥有独立完整</w:t>
      </w:r>
      <w:r>
        <w:rPr>
          <w:rFonts w:ascii="宋体" w:hAnsi="宋体" w:cs="宋体" w:eastAsia="宋体" w:hint="default"/>
          <w:spacing w:val="48"/>
          <w:w w:val="95"/>
          <w:sz w:val="22"/>
          <w:szCs w:val="22"/>
        </w:rPr>
        <w:t> </w:t>
      </w:r>
      <w:r>
        <w:rPr>
          <w:rFonts w:ascii="宋体" w:hAnsi="宋体" w:cs="宋体" w:eastAsia="宋体" w:hint="default"/>
          <w:spacing w:val="48"/>
          <w:w w:val="95"/>
          <w:sz w:val="22"/>
          <w:szCs w:val="22"/>
        </w:rPr>
      </w:r>
      <w:r>
        <w:rPr>
          <w:rFonts w:ascii="宋体" w:hAnsi="宋体" w:cs="宋体" w:eastAsia="宋体" w:hint="default"/>
          <w:spacing w:val="-1"/>
          <w:sz w:val="22"/>
          <w:szCs w:val="22"/>
        </w:rPr>
        <w:t>的业务和自主经营能力，在业务、人员、资产、机构、财务上独立于控股股东，公司董事会、监事会</w:t>
      </w:r>
      <w:r>
        <w:rPr>
          <w:rFonts w:ascii="宋体" w:hAnsi="宋体" w:cs="宋体" w:eastAsia="宋体" w:hint="default"/>
          <w:w w:val="99"/>
          <w:sz w:val="22"/>
          <w:szCs w:val="22"/>
        </w:rPr>
        <w:t> </w:t>
      </w:r>
      <w:r>
        <w:rPr>
          <w:rFonts w:ascii="宋体" w:hAnsi="宋体" w:cs="宋体" w:eastAsia="宋体" w:hint="default"/>
          <w:sz w:val="22"/>
          <w:szCs w:val="22"/>
        </w:rPr>
        <w:t>和内部机构独立运作。</w:t>
      </w:r>
    </w:p>
    <w:p>
      <w:pPr>
        <w:pStyle w:val="Heading2"/>
        <w:spacing w:line="240" w:lineRule="auto" w:before="26"/>
        <w:ind w:left="1134" w:right="0"/>
        <w:jc w:val="left"/>
        <w:rPr>
          <w:b w:val="0"/>
          <w:bCs w:val="0"/>
        </w:rPr>
      </w:pPr>
      <w:bookmarkStart w:name="三、同业竞争情况" w:id="130"/>
      <w:bookmarkEnd w:id="130"/>
      <w:r>
        <w:rPr>
          <w:b w:val="0"/>
          <w:bCs w:val="0"/>
        </w:rPr>
      </w:r>
      <w:r>
        <w:rPr/>
        <w:t>三、同业竞争情况</w:t>
      </w:r>
      <w:r>
        <w:rPr>
          <w:b w:val="0"/>
          <w:bCs w:val="0"/>
        </w:rPr>
      </w:r>
    </w:p>
    <w:p>
      <w:pPr>
        <w:spacing w:line="386" w:lineRule="auto" w:before="177"/>
        <w:ind w:left="1133" w:right="4304" w:firstLine="0"/>
        <w:jc w:val="left"/>
        <w:rPr>
          <w:rFonts w:ascii="宋体" w:hAnsi="宋体" w:cs="宋体" w:eastAsia="宋体" w:hint="default"/>
          <w:sz w:val="20"/>
          <w:szCs w:val="20"/>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四、报告期内召开的年度股东大会和临时股东大会的有关情况" w:id="131"/>
      <w:bookmarkEnd w:id="131"/>
      <w:r>
        <w:rPr>
          <w:rFonts w:ascii="宋体" w:hAnsi="宋体" w:cs="宋体" w:eastAsia="宋体" w:hint="default"/>
          <w:sz w:val="21"/>
          <w:szCs w:val="21"/>
        </w:rPr>
      </w:r>
      <w:r>
        <w:rPr>
          <w:rFonts w:ascii="宋体" w:hAnsi="宋体" w:cs="宋体" w:eastAsia="宋体" w:hint="default"/>
          <w:b/>
          <w:bCs/>
          <w:w w:val="95"/>
          <w:sz w:val="24"/>
          <w:szCs w:val="24"/>
        </w:rPr>
        <w:t>四、报告期内召开的年度股东大会和临时股东大会的有关情况</w:t>
      </w:r>
      <w:r>
        <w:rPr>
          <w:rFonts w:ascii="宋体" w:hAnsi="宋体" w:cs="宋体" w:eastAsia="宋体" w:hint="default"/>
          <w:b/>
          <w:bCs/>
          <w:spacing w:val="70"/>
          <w:w w:val="95"/>
          <w:sz w:val="24"/>
          <w:szCs w:val="24"/>
        </w:rPr>
        <w:t> </w:t>
      </w:r>
      <w:bookmarkStart w:name="1、本报告期股东大会情况" w:id="132"/>
      <w:bookmarkEnd w:id="132"/>
      <w:r>
        <w:rPr>
          <w:rFonts w:ascii="宋体" w:hAnsi="宋体" w:cs="宋体" w:eastAsia="宋体" w:hint="default"/>
          <w:b/>
          <w:bCs/>
          <w:spacing w:val="70"/>
          <w:w w:val="95"/>
          <w:sz w:val="24"/>
          <w:szCs w:val="24"/>
        </w:rPr>
      </w:r>
      <w:r>
        <w:rPr>
          <w:rFonts w:ascii="宋体" w:hAnsi="宋体" w:cs="宋体" w:eastAsia="宋体" w:hint="default"/>
          <w:b/>
          <w:bCs/>
          <w:sz w:val="20"/>
          <w:szCs w:val="20"/>
        </w:rPr>
        <w:t>1</w:t>
      </w:r>
      <w:r>
        <w:rPr>
          <w:rFonts w:ascii="宋体" w:hAnsi="宋体" w:cs="宋体" w:eastAsia="宋体" w:hint="default"/>
          <w:b/>
          <w:bCs/>
          <w:sz w:val="20"/>
          <w:szCs w:val="20"/>
        </w:rPr>
        <w:t>、本报告期股东大会情况</w:t>
      </w:r>
      <w:r>
        <w:rPr>
          <w:rFonts w:ascii="宋体" w:hAnsi="宋体" w:cs="宋体" w:eastAsia="宋体" w:hint="default"/>
          <w:sz w:val="20"/>
          <w:szCs w:val="20"/>
        </w:rPr>
      </w:r>
    </w:p>
    <w:tbl>
      <w:tblPr>
        <w:tblW w:w="0" w:type="auto"/>
        <w:jc w:val="left"/>
        <w:tblInd w:w="1118" w:type="dxa"/>
        <w:tblLayout w:type="fixed"/>
        <w:tblCellMar>
          <w:top w:w="0" w:type="dxa"/>
          <w:left w:w="0" w:type="dxa"/>
          <w:bottom w:w="0" w:type="dxa"/>
          <w:right w:w="0" w:type="dxa"/>
        </w:tblCellMar>
        <w:tblLook w:val="01E0"/>
      </w:tblPr>
      <w:tblGrid>
        <w:gridCol w:w="2269"/>
        <w:gridCol w:w="1276"/>
        <w:gridCol w:w="1419"/>
        <w:gridCol w:w="1702"/>
        <w:gridCol w:w="1559"/>
        <w:gridCol w:w="1343"/>
      </w:tblGrid>
      <w:tr>
        <w:trPr>
          <w:trHeight w:val="415" w:hRule="exact"/>
        </w:trPr>
        <w:tc>
          <w:tcPr>
            <w:tcW w:w="22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1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70"/>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7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34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30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9" w:hRule="exact"/>
        </w:trPr>
        <w:tc>
          <w:tcPr>
            <w:tcW w:w="22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年度股东大会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43"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51"/>
              <w:ind w:left="20" w:right="38"/>
              <w:jc w:val="left"/>
              <w:rPr>
                <w:rFonts w:ascii="宋体" w:hAnsi="宋体" w:cs="宋体" w:eastAsia="宋体" w:hint="default"/>
                <w:sz w:val="18"/>
                <w:szCs w:val="18"/>
              </w:rPr>
            </w:pPr>
            <w:r>
              <w:rPr>
                <w:rFonts w:ascii="宋体"/>
                <w:sz w:val="18"/>
              </w:rPr>
              <w:t>http://www.cni nfo.com.cn</w:t>
            </w:r>
          </w:p>
        </w:tc>
      </w:tr>
      <w:tr>
        <w:trPr>
          <w:trHeight w:val="727" w:hRule="exact"/>
        </w:trPr>
        <w:tc>
          <w:tcPr>
            <w:tcW w:w="226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0.05%</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43" w:type="dxa"/>
            <w:tcBorders>
              <w:top w:val="single" w:sz="6" w:space="0" w:color="000000"/>
              <w:left w:val="single" w:sz="6" w:space="0" w:color="000000"/>
              <w:bottom w:val="single" w:sz="12" w:space="0" w:color="000000"/>
              <w:right w:val="single" w:sz="12" w:space="0" w:color="000000"/>
            </w:tcBorders>
          </w:tcPr>
          <w:p>
            <w:pPr>
              <w:pStyle w:val="TableParagraph"/>
              <w:spacing w:line="319" w:lineRule="auto" w:before="51"/>
              <w:ind w:left="20" w:right="38"/>
              <w:jc w:val="left"/>
              <w:rPr>
                <w:rFonts w:ascii="宋体" w:hAnsi="宋体" w:cs="宋体" w:eastAsia="宋体" w:hint="default"/>
                <w:sz w:val="18"/>
                <w:szCs w:val="18"/>
              </w:rPr>
            </w:pPr>
            <w:r>
              <w:rPr>
                <w:rFonts w:ascii="宋体"/>
                <w:sz w:val="18"/>
              </w:rPr>
              <w:t>http://www.cni nfo.com.cn</w:t>
            </w:r>
          </w:p>
        </w:tc>
      </w:tr>
    </w:tbl>
    <w:p>
      <w:pPr>
        <w:spacing w:after="0" w:line="319"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b/>
          <w:bCs/>
          <w:sz w:val="29"/>
          <w:szCs w:val="29"/>
        </w:rPr>
      </w:pPr>
    </w:p>
    <w:tbl>
      <w:tblPr>
        <w:tblW w:w="0" w:type="auto"/>
        <w:jc w:val="left"/>
        <w:tblInd w:w="1118" w:type="dxa"/>
        <w:tblLayout w:type="fixed"/>
        <w:tblCellMar>
          <w:top w:w="0" w:type="dxa"/>
          <w:left w:w="0" w:type="dxa"/>
          <w:bottom w:w="0" w:type="dxa"/>
          <w:right w:w="0" w:type="dxa"/>
        </w:tblCellMar>
        <w:tblLook w:val="01E0"/>
      </w:tblPr>
      <w:tblGrid>
        <w:gridCol w:w="2269"/>
        <w:gridCol w:w="1276"/>
        <w:gridCol w:w="1419"/>
        <w:gridCol w:w="1702"/>
        <w:gridCol w:w="1559"/>
        <w:gridCol w:w="1343"/>
      </w:tblGrid>
      <w:tr>
        <w:trPr>
          <w:trHeight w:val="734" w:hRule="exact"/>
        </w:trPr>
        <w:tc>
          <w:tcPr>
            <w:tcW w:w="2269"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33" w:right="0"/>
              <w:jc w:val="left"/>
              <w:rPr>
                <w:rFonts w:ascii="宋体" w:hAnsi="宋体" w:cs="宋体" w:eastAsia="宋体" w:hint="default"/>
                <w:sz w:val="18"/>
                <w:szCs w:val="18"/>
              </w:rPr>
            </w:pPr>
            <w:r>
              <w:rPr>
                <w:rFonts w:ascii="宋体"/>
                <w:sz w:val="18"/>
              </w:rPr>
              <w:t>0.01%</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43" w:type="dxa"/>
            <w:tcBorders>
              <w:top w:val="single" w:sz="12" w:space="0" w:color="000000"/>
              <w:left w:val="single" w:sz="6" w:space="0" w:color="000000"/>
              <w:bottom w:val="single" w:sz="12" w:space="0" w:color="000000"/>
              <w:right w:val="single" w:sz="12" w:space="0" w:color="000000"/>
            </w:tcBorders>
          </w:tcPr>
          <w:p>
            <w:pPr>
              <w:pStyle w:val="TableParagraph"/>
              <w:spacing w:line="316" w:lineRule="auto" w:before="51"/>
              <w:ind w:left="20" w:right="38"/>
              <w:jc w:val="left"/>
              <w:rPr>
                <w:rFonts w:ascii="宋体" w:hAnsi="宋体" w:cs="宋体" w:eastAsia="宋体" w:hint="default"/>
                <w:sz w:val="18"/>
                <w:szCs w:val="18"/>
              </w:rPr>
            </w:pPr>
            <w:r>
              <w:rPr>
                <w:rFonts w:ascii="宋体"/>
                <w:sz w:val="18"/>
              </w:rPr>
              <w:t>http://www.cni nfo.com.cn</w:t>
            </w:r>
          </w:p>
        </w:tc>
      </w:tr>
    </w:tbl>
    <w:p>
      <w:pPr>
        <w:spacing w:before="72"/>
        <w:ind w:left="1134" w:right="0" w:firstLine="0"/>
        <w:jc w:val="left"/>
        <w:rPr>
          <w:rFonts w:ascii="宋体" w:hAnsi="宋体" w:cs="宋体" w:eastAsia="宋体" w:hint="default"/>
          <w:sz w:val="20"/>
          <w:szCs w:val="20"/>
        </w:rPr>
      </w:pPr>
      <w:bookmarkStart w:name="2、表决权恢复的优先股股东请求召开临时股东大会" w:id="133"/>
      <w:bookmarkEnd w:id="133"/>
      <w:r>
        <w:rPr/>
      </w:r>
      <w:r>
        <w:rPr>
          <w:rFonts w:ascii="宋体" w:hAnsi="宋体" w:cs="宋体" w:eastAsia="宋体" w:hint="default"/>
          <w:b/>
          <w:bCs/>
          <w:sz w:val="20"/>
          <w:szCs w:val="20"/>
        </w:rPr>
        <w:t>2</w:t>
      </w:r>
      <w:r>
        <w:rPr>
          <w:rFonts w:ascii="宋体" w:hAnsi="宋体" w:cs="宋体" w:eastAsia="宋体" w:hint="default"/>
          <w:b/>
          <w:bCs/>
          <w:sz w:val="20"/>
          <w:szCs w:val="20"/>
        </w:rPr>
        <w:t>、表决权恢复的优先股股东请求召开临时股东大会</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spacing w:line="386" w:lineRule="auto" w:before="0"/>
        <w:ind w:left="1133" w:right="6793" w:firstLine="0"/>
        <w:jc w:val="left"/>
        <w:rPr>
          <w:rFonts w:ascii="宋体" w:hAnsi="宋体" w:cs="宋体" w:eastAsia="宋体" w:hint="default"/>
          <w:sz w:val="20"/>
          <w:szCs w:val="20"/>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五、报告期内独立董事履行职责的情况" w:id="134"/>
      <w:bookmarkEnd w:id="134"/>
      <w:r>
        <w:rPr>
          <w:rFonts w:ascii="宋体" w:hAnsi="宋体" w:cs="宋体" w:eastAsia="宋体" w:hint="default"/>
          <w:sz w:val="21"/>
          <w:szCs w:val="21"/>
        </w:rPr>
      </w:r>
      <w:r>
        <w:rPr>
          <w:rFonts w:ascii="宋体" w:hAnsi="宋体" w:cs="宋体" w:eastAsia="宋体" w:hint="default"/>
          <w:b/>
          <w:bCs/>
          <w:w w:val="95"/>
          <w:sz w:val="24"/>
          <w:szCs w:val="24"/>
        </w:rPr>
        <w:t>五、报告期内独立董事履行职责的情况</w:t>
      </w:r>
      <w:r>
        <w:rPr>
          <w:rFonts w:ascii="宋体" w:hAnsi="宋体" w:cs="宋体" w:eastAsia="宋体" w:hint="default"/>
          <w:b/>
          <w:bCs/>
          <w:spacing w:val="73"/>
          <w:w w:val="95"/>
          <w:sz w:val="24"/>
          <w:szCs w:val="24"/>
        </w:rPr>
        <w:t> </w:t>
      </w:r>
      <w:bookmarkStart w:name="1、独立董事出席董事会及股东大会的情况" w:id="135"/>
      <w:bookmarkEnd w:id="135"/>
      <w:r>
        <w:rPr>
          <w:rFonts w:ascii="宋体" w:hAnsi="宋体" w:cs="宋体" w:eastAsia="宋体" w:hint="default"/>
          <w:b/>
          <w:bCs/>
          <w:spacing w:val="73"/>
          <w:w w:val="95"/>
          <w:sz w:val="24"/>
          <w:szCs w:val="24"/>
        </w:rPr>
      </w:r>
      <w:r>
        <w:rPr>
          <w:rFonts w:ascii="宋体" w:hAnsi="宋体" w:cs="宋体" w:eastAsia="宋体" w:hint="default"/>
          <w:b/>
          <w:bCs/>
          <w:sz w:val="20"/>
          <w:szCs w:val="20"/>
        </w:rPr>
        <w:t>1</w:t>
      </w:r>
      <w:r>
        <w:rPr>
          <w:rFonts w:ascii="宋体" w:hAnsi="宋体" w:cs="宋体" w:eastAsia="宋体" w:hint="default"/>
          <w:b/>
          <w:bCs/>
          <w:sz w:val="20"/>
          <w:szCs w:val="20"/>
        </w:rPr>
        <w:t>、独立董事出席董事会及股东大会的情况</w:t>
      </w:r>
      <w:r>
        <w:rPr>
          <w:rFonts w:ascii="宋体" w:hAnsi="宋体" w:cs="宋体" w:eastAsia="宋体" w:hint="default"/>
          <w:sz w:val="20"/>
          <w:szCs w:val="20"/>
        </w:rPr>
      </w:r>
    </w:p>
    <w:tbl>
      <w:tblPr>
        <w:tblW w:w="0" w:type="auto"/>
        <w:jc w:val="left"/>
        <w:tblInd w:w="1118" w:type="dxa"/>
        <w:tblLayout w:type="fixed"/>
        <w:tblCellMar>
          <w:top w:w="0" w:type="dxa"/>
          <w:left w:w="0" w:type="dxa"/>
          <w:bottom w:w="0" w:type="dxa"/>
          <w:right w:w="0" w:type="dxa"/>
        </w:tblCellMar>
        <w:tblLook w:val="01E0"/>
      </w:tblPr>
      <w:tblGrid>
        <w:gridCol w:w="1625"/>
        <w:gridCol w:w="1325"/>
        <w:gridCol w:w="1324"/>
        <w:gridCol w:w="1324"/>
        <w:gridCol w:w="1325"/>
        <w:gridCol w:w="1324"/>
        <w:gridCol w:w="1323"/>
      </w:tblGrid>
      <w:tr>
        <w:trPr>
          <w:trHeight w:val="413" w:hRule="exact"/>
        </w:trPr>
        <w:tc>
          <w:tcPr>
            <w:tcW w:w="9569" w:type="dxa"/>
            <w:gridSpan w:val="7"/>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9" w:hRule="exact"/>
        </w:trPr>
        <w:tc>
          <w:tcPr>
            <w:tcW w:w="162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2"/>
              <w:ind w:left="205" w:right="23"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2"/>
              <w:ind w:left="473" w:right="23"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2"/>
              <w:ind w:left="113" w:right="14"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8"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李和渝</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325"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茅  宁</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w:t>
            </w:r>
          </w:p>
        </w:tc>
        <w:tc>
          <w:tcPr>
            <w:tcW w:w="1325"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廖家河</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w:t>
            </w:r>
          </w:p>
        </w:tc>
        <w:tc>
          <w:tcPr>
            <w:tcW w:w="1325"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曲  凯</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w:t>
            </w:r>
          </w:p>
        </w:tc>
        <w:tc>
          <w:tcPr>
            <w:tcW w:w="1325"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949" w:type="dxa"/>
            <w:gridSpan w:val="2"/>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w:t>
            </w:r>
          </w:p>
        </w:tc>
      </w:tr>
    </w:tbl>
    <w:p>
      <w:pPr>
        <w:spacing w:line="420" w:lineRule="auto" w:before="75"/>
        <w:ind w:left="1133" w:right="6837" w:firstLine="0"/>
        <w:jc w:val="left"/>
        <w:rPr>
          <w:rFonts w:ascii="宋体" w:hAnsi="宋体" w:cs="宋体" w:eastAsia="宋体" w:hint="default"/>
          <w:sz w:val="21"/>
          <w:szCs w:val="21"/>
        </w:rPr>
      </w:pPr>
      <w:r>
        <w:rPr>
          <w:rFonts w:ascii="宋体" w:hAnsi="宋体" w:cs="宋体" w:eastAsia="宋体" w:hint="default"/>
          <w:sz w:val="21"/>
          <w:szCs w:val="21"/>
        </w:rPr>
        <w:t>连续两次未亲自出席董事会的说明：无 </w:t>
      </w:r>
      <w:bookmarkStart w:name="2、独立董事对公司有关事项提出异议的情况" w:id="136"/>
      <w:bookmarkEnd w:id="136"/>
      <w:r>
        <w:rPr>
          <w:rFonts w:ascii="宋体" w:hAnsi="宋体" w:cs="宋体" w:eastAsia="宋体" w:hint="default"/>
          <w:sz w:val="21"/>
          <w:szCs w:val="21"/>
        </w:rPr>
      </w:r>
      <w:r>
        <w:rPr>
          <w:rFonts w:ascii="宋体" w:hAnsi="宋体" w:cs="宋体" w:eastAsia="宋体" w:hint="default"/>
          <w:b/>
          <w:bCs/>
          <w:sz w:val="20"/>
          <w:szCs w:val="20"/>
        </w:rPr>
        <w:t>2</w:t>
      </w:r>
      <w:r>
        <w:rPr>
          <w:rFonts w:ascii="宋体" w:hAnsi="宋体" w:cs="宋体" w:eastAsia="宋体" w:hint="default"/>
          <w:b/>
          <w:bCs/>
          <w:sz w:val="20"/>
          <w:szCs w:val="20"/>
        </w:rPr>
        <w:t>、独立董事对公司有关事项提出异议的情况</w:t>
      </w:r>
      <w:r>
        <w:rPr>
          <w:rFonts w:ascii="宋体" w:hAnsi="宋体" w:cs="宋体" w:eastAsia="宋体" w:hint="default"/>
          <w:b/>
          <w:bCs/>
          <w:w w:val="99"/>
          <w:sz w:val="20"/>
          <w:szCs w:val="20"/>
        </w:rPr>
        <w:t> </w:t>
      </w:r>
      <w:r>
        <w:rPr>
          <w:rFonts w:ascii="宋体" w:hAnsi="宋体" w:cs="宋体" w:eastAsia="宋体" w:hint="default"/>
          <w:sz w:val="21"/>
          <w:szCs w:val="21"/>
        </w:rPr>
        <w:t>独立董事对公司有关事项是否提出异议</w:t>
      </w:r>
    </w:p>
    <w:p>
      <w:pPr>
        <w:spacing w:line="415" w:lineRule="auto" w:before="35"/>
        <w:ind w:left="1133" w:right="6343" w:firstLine="0"/>
        <w:jc w:val="left"/>
        <w:rPr>
          <w:rFonts w:ascii="宋体" w:hAnsi="宋体" w:cs="宋体" w:eastAsia="宋体" w:hint="default"/>
          <w:sz w:val="21"/>
          <w:szCs w:val="21"/>
        </w:rPr>
      </w:pPr>
      <w:r>
        <w:rPr>
          <w:rFonts w:ascii="宋体" w:hAnsi="宋体" w:cs="宋体" w:eastAsia="宋体" w:hint="default"/>
          <w:sz w:val="21"/>
          <w:szCs w:val="21"/>
        </w:rPr>
        <w:t>□ 是 √ 否 报告期内独立董事对公司有关事项未提出异议。 </w:t>
      </w:r>
      <w:bookmarkStart w:name="3、独立董事履行职责的其他说明" w:id="137"/>
      <w:bookmarkEnd w:id="137"/>
      <w:r>
        <w:rPr>
          <w:rFonts w:ascii="宋体" w:hAnsi="宋体" w:cs="宋体" w:eastAsia="宋体" w:hint="default"/>
          <w:sz w:val="21"/>
          <w:szCs w:val="21"/>
        </w:rPr>
      </w:r>
      <w:r>
        <w:rPr>
          <w:rFonts w:ascii="宋体" w:hAnsi="宋体" w:cs="宋体" w:eastAsia="宋体" w:hint="default"/>
          <w:b/>
          <w:bCs/>
          <w:sz w:val="20"/>
          <w:szCs w:val="20"/>
        </w:rPr>
        <w:t>3</w:t>
      </w:r>
      <w:r>
        <w:rPr>
          <w:rFonts w:ascii="宋体" w:hAnsi="宋体" w:cs="宋体" w:eastAsia="宋体" w:hint="default"/>
          <w:b/>
          <w:bCs/>
          <w:sz w:val="20"/>
          <w:szCs w:val="20"/>
        </w:rPr>
        <w:t>、独立董事履行职责的其他说明</w:t>
      </w:r>
      <w:r>
        <w:rPr>
          <w:rFonts w:ascii="宋体" w:hAnsi="宋体" w:cs="宋体" w:eastAsia="宋体" w:hint="default"/>
          <w:b/>
          <w:bCs/>
          <w:w w:val="99"/>
          <w:sz w:val="20"/>
          <w:szCs w:val="20"/>
        </w:rPr>
        <w:t> </w:t>
      </w:r>
      <w:r>
        <w:rPr>
          <w:rFonts w:ascii="宋体" w:hAnsi="宋体" w:cs="宋体" w:eastAsia="宋体" w:hint="default"/>
          <w:sz w:val="21"/>
          <w:szCs w:val="21"/>
        </w:rPr>
        <w:t>独立董事对公司有关建议是否被采纳</w:t>
      </w:r>
    </w:p>
    <w:p>
      <w:pPr>
        <w:pStyle w:val="BodyText"/>
        <w:spacing w:line="408" w:lineRule="auto" w:before="40"/>
        <w:ind w:right="6133"/>
        <w:jc w:val="left"/>
      </w:pPr>
      <w:r>
        <w:rPr/>
        <w:t>√ 是 □ 否 独立董事对公司有关建议被采纳或未被采纳的说明</w:t>
      </w:r>
    </w:p>
    <w:p>
      <w:pPr>
        <w:pStyle w:val="BodyText"/>
        <w:spacing w:line="405" w:lineRule="auto" w:before="46"/>
        <w:ind w:right="0" w:firstLine="405"/>
        <w:jc w:val="left"/>
        <w:rPr>
          <w:rFonts w:ascii="宋体" w:hAnsi="宋体" w:cs="宋体" w:eastAsia="宋体" w:hint="default"/>
          <w:sz w:val="24"/>
          <w:szCs w:val="24"/>
        </w:rPr>
      </w:pPr>
      <w:r>
        <w:rPr>
          <w:spacing w:val="-1"/>
        </w:rPr>
        <w:t>报告期内，公司独立董事严格按照《独立董事工作制度》、《独立董事年报工作制度》等有关法律法</w:t>
      </w:r>
      <w:r>
        <w:rPr/>
        <w:t> </w:t>
      </w:r>
      <w:r>
        <w:rPr>
          <w:spacing w:val="-1"/>
        </w:rPr>
        <w:t>规，认真履行职责，本着诚信勤勉义务，利用各自专业上的优势对公司收购资产、员工持股计划、聘任董</w:t>
      </w:r>
      <w:r>
        <w:rPr>
          <w:spacing w:val="-83"/>
        </w:rPr>
        <w:t> </w:t>
      </w:r>
      <w:r>
        <w:rPr>
          <w:spacing w:val="-83"/>
        </w:rPr>
      </w:r>
      <w:r>
        <w:rPr>
          <w:spacing w:val="-1"/>
        </w:rPr>
        <w:t>事、高管、续聘会计师事务所等重要事项作出独立、客观、公正的判断，发表了独立意见，并根据公司实</w:t>
      </w:r>
      <w:r>
        <w:rPr>
          <w:spacing w:val="-82"/>
        </w:rPr>
        <w:t> </w:t>
      </w:r>
      <w:r>
        <w:rPr>
          <w:spacing w:val="-82"/>
        </w:rPr>
      </w:r>
      <w:r>
        <w:rPr>
          <w:spacing w:val="-1"/>
        </w:rPr>
        <w:t>际情况，科学审慎决策，给公司的经营管理、规范运作提出了合理的建议并均被得以采纳；为公司未来的</w:t>
      </w:r>
      <w:r>
        <w:rPr>
          <w:spacing w:val="-86"/>
        </w:rPr>
        <w:t> </w:t>
      </w:r>
      <w:r>
        <w:rPr>
          <w:spacing w:val="-86"/>
        </w:rPr>
      </w:r>
      <w:r>
        <w:rPr/>
        <w:t>健康发展出谋划策，切实维护了公司和股东尤其是社会公众股东的利益。 </w:t>
      </w:r>
      <w:bookmarkStart w:name="六、董事会下设专门委员会在报告期内履行职责情况" w:id="138"/>
      <w:bookmarkEnd w:id="138"/>
      <w:r>
        <w:rPr/>
      </w:r>
      <w:r>
        <w:rPr>
          <w:rFonts w:ascii="宋体" w:hAnsi="宋体" w:cs="宋体" w:eastAsia="宋体" w:hint="default"/>
          <w:b/>
          <w:bCs/>
          <w:sz w:val="24"/>
          <w:szCs w:val="24"/>
        </w:rPr>
        <w:t>六、董事会下设专门委员会在报告期内履行职责情况</w:t>
      </w:r>
      <w:r>
        <w:rPr>
          <w:rFonts w:ascii="宋体" w:hAnsi="宋体" w:cs="宋体" w:eastAsia="宋体" w:hint="default"/>
          <w:sz w:val="24"/>
          <w:szCs w:val="24"/>
        </w:rPr>
      </w:r>
    </w:p>
    <w:p>
      <w:pPr>
        <w:pStyle w:val="BodyText"/>
        <w:spacing w:line="408" w:lineRule="auto" w:before="11"/>
        <w:ind w:left="1553" w:right="2563"/>
        <w:jc w:val="left"/>
      </w:pPr>
      <w:r>
        <w:rPr/>
        <w:t>公司董事会下设审计委员、战略委员会及提名、薪酬与考核委员会三个专门委员会。 </w:t>
      </w:r>
      <w:r>
        <w:rPr>
          <w:rFonts w:ascii="宋体" w:hAnsi="宋体" w:cs="宋体" w:eastAsia="宋体" w:hint="default"/>
        </w:rPr>
        <w:t>1</w:t>
      </w:r>
      <w:r>
        <w:rPr/>
        <w:t>、审计委员会</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right="1133" w:firstLine="420"/>
        <w:jc w:val="both"/>
      </w:pPr>
      <w:r>
        <w:rPr>
          <w:spacing w:val="-1"/>
        </w:rPr>
        <w:t>报告期内，公司董事会审计委员会严格按照《董事会审计委员会工作细则》的相关要求开展工作，审</w:t>
      </w:r>
      <w:r>
        <w:rPr/>
        <w:t> 计委员会对公司定期报告等进行了审议。</w:t>
      </w:r>
    </w:p>
    <w:p>
      <w:pPr>
        <w:pStyle w:val="BodyText"/>
        <w:spacing w:line="408" w:lineRule="auto" w:before="46"/>
        <w:ind w:right="1130" w:firstLine="420"/>
        <w:jc w:val="both"/>
      </w:pPr>
      <w:r>
        <w:rPr>
          <w:spacing w:val="-1"/>
        </w:rPr>
        <w:t>在年报审计工作中，审计委员会与审计机构协商确定年度财务报告审计工作时间安排，对公司财务报</w:t>
      </w:r>
      <w:r>
        <w:rPr/>
        <w:t> </w:t>
      </w:r>
      <w:r>
        <w:rPr>
          <w:spacing w:val="-1"/>
        </w:rPr>
        <w:t>表进行审阅并形成书面意见；督促审计工作进展，保持与审计会计师的联系和沟通，就审计过程中发现的</w:t>
      </w:r>
      <w:r>
        <w:rPr>
          <w:spacing w:val="-83"/>
        </w:rPr>
        <w:t> </w:t>
      </w:r>
      <w:r>
        <w:rPr>
          <w:spacing w:val="-83"/>
        </w:rPr>
      </w:r>
      <w:r>
        <w:rPr>
          <w:spacing w:val="-1"/>
        </w:rPr>
        <w:t>问题及时交换意见，确保审计的独立性和审计工作的如期完成。同时，对审计机构的年报审计工作进行总</w:t>
      </w:r>
      <w:r>
        <w:rPr>
          <w:spacing w:val="-83"/>
        </w:rPr>
        <w:t> </w:t>
      </w:r>
      <w:r>
        <w:rPr>
          <w:spacing w:val="-83"/>
        </w:rPr>
      </w:r>
      <w:r>
        <w:rPr/>
        <w:t>结和评价，建议续聘并形成决议提交董事会。</w:t>
      </w:r>
    </w:p>
    <w:p>
      <w:pPr>
        <w:pStyle w:val="BodyText"/>
        <w:spacing w:line="408" w:lineRule="auto" w:before="46"/>
        <w:ind w:left="1553" w:right="0"/>
        <w:jc w:val="left"/>
      </w:pPr>
      <w:r>
        <w:rPr>
          <w:rFonts w:ascii="宋体" w:hAnsi="宋体" w:cs="宋体" w:eastAsia="宋体" w:hint="default"/>
        </w:rPr>
        <w:t>2</w:t>
      </w:r>
      <w:r>
        <w:rPr/>
        <w:t>、战略委员会 </w:t>
      </w:r>
      <w:r>
        <w:rPr>
          <w:spacing w:val="-1"/>
        </w:rPr>
        <w:t>报告期内，公司董事会战略委员会严格按照《董事会战略委员会实施细则》的相关要求开展工作，对</w:t>
      </w:r>
    </w:p>
    <w:p>
      <w:pPr>
        <w:pStyle w:val="BodyText"/>
        <w:spacing w:line="408" w:lineRule="auto" w:before="46"/>
        <w:ind w:right="0"/>
        <w:jc w:val="left"/>
      </w:pPr>
      <w:r>
        <w:rPr>
          <w:spacing w:val="-1"/>
        </w:rPr>
        <w:t>公司长期发展战略规划进行研究，就公司以自有资金收购德能工程、德能设计</w:t>
      </w:r>
      <w:r>
        <w:rPr>
          <w:rFonts w:ascii="宋体" w:hAnsi="宋体" w:cs="宋体" w:eastAsia="宋体" w:hint="default"/>
          <w:spacing w:val="-1"/>
        </w:rPr>
        <w:t>100%</w:t>
      </w:r>
      <w:r>
        <w:rPr>
          <w:spacing w:val="-1"/>
        </w:rPr>
        <w:t>股权及对中广格兰增资</w:t>
      </w:r>
      <w:r>
        <w:rPr>
          <w:spacing w:val="-80"/>
        </w:rPr>
        <w:t> </w:t>
      </w:r>
      <w:r>
        <w:rPr>
          <w:spacing w:val="-80"/>
        </w:rPr>
      </w:r>
      <w:r>
        <w:rPr/>
        <w:t>等事项提出意见。</w:t>
      </w:r>
    </w:p>
    <w:p>
      <w:pPr>
        <w:pStyle w:val="BodyText"/>
        <w:spacing w:line="408" w:lineRule="auto" w:before="46"/>
        <w:ind w:left="1553" w:right="1093"/>
        <w:jc w:val="left"/>
      </w:pPr>
      <w:r>
        <w:rPr>
          <w:rFonts w:ascii="宋体" w:hAnsi="宋体" w:cs="宋体" w:eastAsia="宋体" w:hint="default"/>
        </w:rPr>
        <w:t>3</w:t>
      </w:r>
      <w:r>
        <w:rPr/>
        <w:t>、提名薪酬与考核委员会委员会 报告期内，公司董事会提名薪酬与考核委员会严格按照《董事会提名、薪酬与考核委员会工作细则》</w:t>
      </w:r>
    </w:p>
    <w:p>
      <w:pPr>
        <w:pStyle w:val="BodyText"/>
        <w:spacing w:line="408" w:lineRule="auto" w:before="46"/>
        <w:ind w:right="1133"/>
        <w:jc w:val="both"/>
      </w:pPr>
      <w:r>
        <w:rPr>
          <w:spacing w:val="-1"/>
        </w:rPr>
        <w:t>等相关规定，对独立董事、非独立董事人选和任职资格进行严格审查，提出专业建议，审议后向公司董事</w:t>
      </w:r>
      <w:r>
        <w:rPr>
          <w:spacing w:val="-86"/>
        </w:rPr>
        <w:t> </w:t>
      </w:r>
      <w:r>
        <w:rPr>
          <w:spacing w:val="-86"/>
        </w:rPr>
      </w:r>
      <w:r>
        <w:rPr>
          <w:spacing w:val="-1"/>
        </w:rPr>
        <w:t>会提名，切实履行了职责。对公司的绩效考核程序、标准等进行审查和研究并提出建议，监督公司薪酬及</w:t>
      </w:r>
      <w:r>
        <w:rPr>
          <w:spacing w:val="-86"/>
        </w:rPr>
        <w:t> </w:t>
      </w:r>
      <w:r>
        <w:rPr>
          <w:spacing w:val="-86"/>
        </w:rPr>
      </w:r>
      <w:r>
        <w:rPr/>
        <w:t>绩效考核的执行。</w:t>
      </w:r>
    </w:p>
    <w:p>
      <w:pPr>
        <w:pStyle w:val="Heading2"/>
        <w:spacing w:line="240" w:lineRule="auto" w:before="23"/>
        <w:ind w:right="0"/>
        <w:jc w:val="left"/>
        <w:rPr>
          <w:b w:val="0"/>
          <w:bCs w:val="0"/>
        </w:rPr>
      </w:pPr>
      <w:bookmarkStart w:name="七、监事会工作情况" w:id="139"/>
      <w:bookmarkEnd w:id="139"/>
      <w:r>
        <w:rPr>
          <w:b w:val="0"/>
          <w:bCs w:val="0"/>
        </w:rPr>
      </w:r>
      <w:r>
        <w:rPr/>
        <w:t>七、监事会工作情况</w:t>
      </w:r>
      <w:r>
        <w:rPr>
          <w:b w:val="0"/>
          <w:bCs w:val="0"/>
        </w:rPr>
      </w:r>
    </w:p>
    <w:p>
      <w:pPr>
        <w:pStyle w:val="BodyText"/>
        <w:spacing w:line="240" w:lineRule="auto" w:before="177"/>
        <w:ind w:right="0"/>
        <w:jc w:val="left"/>
      </w:pPr>
      <w:r>
        <w:rPr/>
        <w:t>监事会在报告期内的监督活动是否发现公司存在风险</w:t>
      </w:r>
    </w:p>
    <w:p>
      <w:pPr>
        <w:spacing w:line="240" w:lineRule="auto" w:before="10"/>
        <w:rPr>
          <w:rFonts w:ascii="宋体" w:hAnsi="宋体" w:cs="宋体" w:eastAsia="宋体" w:hint="default"/>
          <w:sz w:val="14"/>
          <w:szCs w:val="14"/>
        </w:rPr>
      </w:pPr>
    </w:p>
    <w:p>
      <w:pPr>
        <w:spacing w:line="398" w:lineRule="auto" w:before="0"/>
        <w:ind w:left="1134" w:right="6762" w:firstLine="0"/>
        <w:jc w:val="left"/>
        <w:rPr>
          <w:rFonts w:ascii="宋体" w:hAnsi="宋体" w:cs="宋体" w:eastAsia="宋体" w:hint="default"/>
          <w:sz w:val="24"/>
          <w:szCs w:val="24"/>
        </w:rPr>
      </w:pPr>
      <w:r>
        <w:rPr>
          <w:rFonts w:ascii="宋体" w:hAnsi="宋体" w:cs="宋体" w:eastAsia="宋体" w:hint="default"/>
          <w:sz w:val="21"/>
          <w:szCs w:val="21"/>
        </w:rPr>
        <w:t>□ 是 √ 否 公司监事会对报告期内的监督事项无异议。 </w:t>
      </w:r>
      <w:bookmarkStart w:name="八、高级管理人员的考评及激励情况" w:id="140"/>
      <w:bookmarkEnd w:id="140"/>
      <w:r>
        <w:rPr>
          <w:rFonts w:ascii="宋体" w:hAnsi="宋体" w:cs="宋体" w:eastAsia="宋体" w:hint="default"/>
          <w:sz w:val="21"/>
          <w:szCs w:val="21"/>
        </w:rPr>
      </w:r>
      <w:r>
        <w:rPr>
          <w:rFonts w:ascii="宋体" w:hAnsi="宋体" w:cs="宋体" w:eastAsia="宋体" w:hint="default"/>
          <w:b/>
          <w:bCs/>
          <w:sz w:val="24"/>
          <w:szCs w:val="24"/>
        </w:rPr>
        <w:t>八、高级管理人员的考评及激励情况</w:t>
      </w:r>
      <w:r>
        <w:rPr>
          <w:rFonts w:ascii="宋体" w:hAnsi="宋体" w:cs="宋体" w:eastAsia="宋体" w:hint="default"/>
          <w:sz w:val="24"/>
          <w:szCs w:val="24"/>
        </w:rPr>
      </w:r>
    </w:p>
    <w:p>
      <w:pPr>
        <w:pStyle w:val="BodyText"/>
        <w:spacing w:line="408" w:lineRule="auto" w:before="18"/>
        <w:ind w:left="1134" w:right="1130" w:firstLine="420"/>
        <w:jc w:val="both"/>
      </w:pPr>
      <w:r>
        <w:rPr>
          <w:spacing w:val="-1"/>
        </w:rPr>
        <w:t>按照《高级管理人员薪酬管理制度》的规定，公司高级管理人员的薪酬与考核以公司的经济效益为出</w:t>
      </w:r>
      <w:r>
        <w:rPr/>
        <w:t> </w:t>
      </w:r>
      <w:r>
        <w:rPr>
          <w:spacing w:val="-1"/>
        </w:rPr>
        <w:t>发点，根据公司年度经营计划和分管工作的工作目标，进行综合考核，公司提名、薪酬与考核委员会负责</w:t>
      </w:r>
      <w:r>
        <w:rPr>
          <w:spacing w:val="-86"/>
        </w:rPr>
        <w:t> </w:t>
      </w:r>
      <w:r>
        <w:rPr>
          <w:spacing w:val="-86"/>
        </w:rPr>
      </w:r>
      <w:r>
        <w:rPr>
          <w:spacing w:val="-1"/>
        </w:rPr>
        <w:t>对高级管理人员的工作能力、履职情况、责任目标完成情况进行考评，制定薪酬方案。报告期内，公司高</w:t>
      </w:r>
      <w:r>
        <w:rPr>
          <w:spacing w:val="-83"/>
        </w:rPr>
        <w:t> </w:t>
      </w:r>
      <w:r>
        <w:rPr>
          <w:spacing w:val="-83"/>
        </w:rPr>
      </w:r>
      <w:r>
        <w:rPr>
          <w:spacing w:val="-1"/>
        </w:rPr>
        <w:t>级管理人员能够严格按照《公司法》、《公司章程》及相关法律法规认真履行职责，积极落实公司股东大</w:t>
      </w:r>
      <w:r>
        <w:rPr>
          <w:spacing w:val="-83"/>
        </w:rPr>
        <w:t> </w:t>
      </w:r>
      <w:r>
        <w:rPr>
          <w:spacing w:val="-83"/>
        </w:rPr>
      </w:r>
      <w:r>
        <w:rPr>
          <w:spacing w:val="-1"/>
        </w:rPr>
        <w:t>会和董事会相关决议，认真履行了工作职责。公司各项考评及激励机制执行情况良好，起到了应有的激励</w:t>
      </w:r>
      <w:r>
        <w:rPr>
          <w:spacing w:val="-83"/>
        </w:rPr>
        <w:t> </w:t>
      </w:r>
      <w:r>
        <w:rPr>
          <w:spacing w:val="-83"/>
        </w:rPr>
      </w:r>
      <w:r>
        <w:rPr/>
        <w:t>和约束作用。</w:t>
      </w:r>
    </w:p>
    <w:p>
      <w:pPr>
        <w:pStyle w:val="Heading2"/>
        <w:spacing w:line="240" w:lineRule="auto" w:before="23"/>
        <w:ind w:left="1134" w:right="0"/>
        <w:jc w:val="left"/>
        <w:rPr>
          <w:b w:val="0"/>
          <w:bCs w:val="0"/>
        </w:rPr>
      </w:pPr>
      <w:bookmarkStart w:name="九、内部控制评价报告" w:id="141"/>
      <w:bookmarkEnd w:id="141"/>
      <w:r>
        <w:rPr>
          <w:b w:val="0"/>
          <w:bCs w:val="0"/>
        </w:rPr>
      </w:r>
      <w:r>
        <w:rPr/>
        <w:t>九、内部控制评价报告</w:t>
      </w:r>
      <w:r>
        <w:rPr>
          <w:b w:val="0"/>
          <w:bCs w:val="0"/>
        </w:rPr>
      </w:r>
    </w:p>
    <w:p>
      <w:pPr>
        <w:spacing w:before="186"/>
        <w:ind w:left="1134" w:right="0" w:firstLine="0"/>
        <w:jc w:val="left"/>
        <w:rPr>
          <w:rFonts w:ascii="宋体" w:hAnsi="宋体" w:cs="宋体" w:eastAsia="宋体" w:hint="default"/>
          <w:sz w:val="20"/>
          <w:szCs w:val="20"/>
        </w:rPr>
      </w:pPr>
      <w:bookmarkStart w:name="1、报告期内发现的内部控制重大缺陷的具体情况" w:id="142"/>
      <w:bookmarkEnd w:id="142"/>
      <w:r>
        <w:rPr/>
      </w:r>
      <w:r>
        <w:rPr>
          <w:rFonts w:ascii="宋体" w:hAnsi="宋体" w:cs="宋体" w:eastAsia="宋体" w:hint="default"/>
          <w:b/>
          <w:bCs/>
          <w:sz w:val="20"/>
          <w:szCs w:val="20"/>
        </w:rPr>
        <w:t>1</w:t>
      </w:r>
      <w:r>
        <w:rPr>
          <w:rFonts w:ascii="宋体" w:hAnsi="宋体" w:cs="宋体" w:eastAsia="宋体" w:hint="default"/>
          <w:b/>
          <w:bCs/>
          <w:sz w:val="20"/>
          <w:szCs w:val="20"/>
        </w:rPr>
        <w:t>、报告期内发现的内部控制重大缺陷的具体情况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是 √ 否</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3" w:right="0" w:firstLine="0"/>
        <w:jc w:val="left"/>
        <w:rPr>
          <w:rFonts w:ascii="宋体" w:hAnsi="宋体" w:cs="宋体" w:eastAsia="宋体" w:hint="default"/>
          <w:sz w:val="20"/>
          <w:szCs w:val="20"/>
        </w:rPr>
      </w:pPr>
      <w:bookmarkStart w:name="2、内控自我评价报告" w:id="143"/>
      <w:bookmarkEnd w:id="143"/>
      <w:r>
        <w:rPr/>
      </w:r>
      <w:r>
        <w:rPr>
          <w:rFonts w:ascii="宋体" w:hAnsi="宋体" w:cs="宋体" w:eastAsia="宋体" w:hint="default"/>
          <w:b/>
          <w:bCs/>
          <w:sz w:val="20"/>
          <w:szCs w:val="20"/>
        </w:rPr>
        <w:t>2</w:t>
      </w:r>
      <w:r>
        <w:rPr>
          <w:rFonts w:ascii="宋体" w:hAnsi="宋体" w:cs="宋体" w:eastAsia="宋体" w:hint="default"/>
          <w:b/>
          <w:bCs/>
          <w:sz w:val="20"/>
          <w:szCs w:val="20"/>
        </w:rPr>
        <w:t>、内控自我评价报告</w:t>
      </w:r>
      <w:r>
        <w:rPr>
          <w:rFonts w:ascii="宋体" w:hAnsi="宋体" w:cs="宋体" w:eastAsia="宋体" w:hint="default"/>
          <w:sz w:val="20"/>
          <w:szCs w:val="20"/>
        </w:rPr>
      </w:r>
    </w:p>
    <w:p>
      <w:pPr>
        <w:spacing w:line="240" w:lineRule="auto" w:before="1"/>
        <w:rPr>
          <w:rFonts w:ascii="宋体" w:hAnsi="宋体" w:cs="宋体" w:eastAsia="宋体" w:hint="default"/>
          <w:b/>
          <w:bCs/>
          <w:sz w:val="13"/>
          <w:szCs w:val="13"/>
        </w:rPr>
      </w:pPr>
    </w:p>
    <w:p>
      <w:pPr>
        <w:tabs>
          <w:tab w:pos="4356" w:val="left" w:leader="none"/>
        </w:tabs>
        <w:spacing w:before="44"/>
        <w:ind w:left="1161" w:right="0" w:firstLine="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tab/>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9"/>
        <w:rPr>
          <w:rFonts w:ascii="宋体" w:hAnsi="宋体" w:cs="宋体" w:eastAsia="宋体" w:hint="default"/>
          <w:sz w:val="9"/>
          <w:szCs w:val="9"/>
        </w:rPr>
      </w:pPr>
    </w:p>
    <w:p>
      <w:pPr>
        <w:tabs>
          <w:tab w:pos="4356" w:val="left" w:leader="none"/>
        </w:tabs>
        <w:spacing w:before="44"/>
        <w:ind w:left="1161" w:right="0" w:firstLine="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tab/>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《光一科技：</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年度内部控制自我评价报告》</w:t>
      </w:r>
    </w:p>
    <w:p>
      <w:pPr>
        <w:spacing w:line="240" w:lineRule="auto" w:before="9"/>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7" w:footer="1000" w:top="1040" w:bottom="1180" w:left="0" w:right="0"/>
        </w:sectPr>
      </w:pPr>
    </w:p>
    <w:p>
      <w:pPr>
        <w:spacing w:line="319" w:lineRule="auto" w:before="44"/>
        <w:ind w:left="1161" w:right="-20" w:firstLine="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1142" w:right="1209" w:firstLine="0"/>
        <w:jc w:val="center"/>
        <w:rPr>
          <w:rFonts w:ascii="宋体" w:hAnsi="宋体" w:cs="宋体" w:eastAsia="宋体" w:hint="default"/>
          <w:sz w:val="18"/>
          <w:szCs w:val="18"/>
        </w:rPr>
      </w:pPr>
      <w:r>
        <w:rPr>
          <w:rFonts w:ascii="宋体"/>
          <w:sz w:val="18"/>
        </w:rPr>
        <w:t>100.00%</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4222" w:space="4661"/>
            <w:col w:w="3027"/>
          </w:cols>
        </w:sectPr>
      </w:pPr>
    </w:p>
    <w:p>
      <w:pPr>
        <w:spacing w:line="319" w:lineRule="auto" w:before="110"/>
        <w:ind w:left="1161" w:right="-20" w:firstLine="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p>
      <w:pPr>
        <w:spacing w:line="240" w:lineRule="auto" w:before="5"/>
        <w:rPr>
          <w:rFonts w:ascii="宋体" w:hAnsi="宋体" w:cs="宋体" w:eastAsia="宋体" w:hint="default"/>
          <w:sz w:val="20"/>
          <w:szCs w:val="20"/>
        </w:rPr>
      </w:pPr>
      <w:r>
        <w:rPr/>
        <w:br w:type="column"/>
      </w:r>
      <w:r>
        <w:rPr>
          <w:rFonts w:ascii="宋体"/>
          <w:sz w:val="20"/>
        </w:rPr>
      </w:r>
    </w:p>
    <w:p>
      <w:pPr>
        <w:spacing w:before="0"/>
        <w:ind w:left="1142" w:right="1209" w:firstLine="0"/>
        <w:jc w:val="center"/>
        <w:rPr>
          <w:rFonts w:ascii="宋体" w:hAnsi="宋体" w:cs="宋体" w:eastAsia="宋体" w:hint="default"/>
          <w:sz w:val="18"/>
          <w:szCs w:val="18"/>
        </w:rPr>
      </w:pPr>
      <w:r>
        <w:rPr>
          <w:rFonts w:ascii="宋体"/>
          <w:sz w:val="18"/>
        </w:rPr>
        <w:t>100.00%</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4222" w:space="4661"/>
            <w:col w:w="3027"/>
          </w:cols>
        </w:sectPr>
      </w:pPr>
    </w:p>
    <w:p>
      <w:pPr>
        <w:spacing w:before="112"/>
        <w:ind w:left="1062" w:right="1130" w:firstLine="0"/>
        <w:jc w:val="center"/>
        <w:rPr>
          <w:rFonts w:ascii="宋体" w:hAnsi="宋体" w:cs="宋体" w:eastAsia="宋体" w:hint="default"/>
          <w:sz w:val="18"/>
          <w:szCs w:val="18"/>
        </w:rPr>
      </w:pPr>
      <w:r>
        <w:rPr>
          <w:rFonts w:ascii="宋体" w:hAnsi="宋体" w:cs="宋体" w:eastAsia="宋体" w:hint="default"/>
          <w:sz w:val="18"/>
          <w:szCs w:val="18"/>
        </w:rPr>
        <w:t>缺陷认定标准</w:t>
      </w:r>
    </w:p>
    <w:p>
      <w:pPr>
        <w:spacing w:line="240" w:lineRule="auto" w:before="9"/>
        <w:rPr>
          <w:rFonts w:ascii="宋体" w:hAnsi="宋体" w:cs="宋体" w:eastAsia="宋体" w:hint="default"/>
          <w:sz w:val="9"/>
          <w:szCs w:val="9"/>
        </w:rPr>
      </w:pPr>
    </w:p>
    <w:p>
      <w:pPr>
        <w:tabs>
          <w:tab w:pos="5629" w:val="left" w:leader="none"/>
          <w:tab w:pos="8727" w:val="left" w:leader="none"/>
        </w:tabs>
        <w:spacing w:before="44"/>
        <w:ind w:left="2550" w:right="0" w:firstLine="0"/>
        <w:jc w:val="left"/>
        <w:rPr>
          <w:rFonts w:ascii="宋体" w:hAnsi="宋体" w:cs="宋体" w:eastAsia="宋体" w:hint="default"/>
          <w:sz w:val="18"/>
          <w:szCs w:val="18"/>
        </w:rPr>
      </w:pPr>
      <w:r>
        <w:rPr>
          <w:rFonts w:ascii="宋体" w:hAnsi="宋体" w:cs="宋体" w:eastAsia="宋体" w:hint="default"/>
          <w:sz w:val="18"/>
          <w:szCs w:val="18"/>
        </w:rPr>
        <w:t>类别</w:t>
        <w:tab/>
        <w:t>财务报告</w:t>
        <w:tab/>
        <w:t>非财务报告</w:t>
      </w:r>
    </w:p>
    <w:p>
      <w:pPr>
        <w:spacing w:line="240" w:lineRule="auto" w:before="9"/>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40" w:bottom="1180" w:left="0" w:right="0"/>
        </w:sectPr>
      </w:pPr>
    </w:p>
    <w:p>
      <w:pPr>
        <w:spacing w:line="316" w:lineRule="auto" w:before="44"/>
        <w:ind w:left="4356" w:right="-6" w:firstLine="0"/>
        <w:jc w:val="left"/>
        <w:rPr>
          <w:rFonts w:ascii="宋体" w:hAnsi="宋体" w:cs="宋体" w:eastAsia="宋体" w:hint="default"/>
          <w:sz w:val="18"/>
          <w:szCs w:val="18"/>
        </w:rPr>
      </w:pPr>
      <w:r>
        <w:rPr/>
        <w:pict>
          <v:shape style="position:absolute;margin-left:376.720001pt;margin-top:-.368286pt;width:157.7pt;height:70.2pt;mso-position-horizontal-relative:page;mso-position-vertical-relative:paragraph;z-index:-9173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①重大缺陷：单独缺陷或连同其他缺陷， 导致不能及时防止或发现并纠正财务报告 中的重大错报。出现下列情形的，认定为 </w:t>
      </w:r>
      <w:r>
        <w:rPr>
          <w:rFonts w:ascii="宋体" w:hAnsi="宋体" w:cs="宋体" w:eastAsia="宋体" w:hint="default"/>
          <w:spacing w:val="-13"/>
          <w:sz w:val="18"/>
          <w:szCs w:val="18"/>
        </w:rPr>
        <w:t>重大缺陷：（</w:t>
      </w:r>
      <w:r>
        <w:rPr>
          <w:rFonts w:ascii="宋体" w:hAnsi="宋体" w:cs="宋体" w:eastAsia="宋体" w:hint="default"/>
          <w:spacing w:val="-13"/>
          <w:sz w:val="18"/>
          <w:szCs w:val="18"/>
        </w:rPr>
        <w:t>a</w:t>
      </w:r>
      <w:r>
        <w:rPr>
          <w:rFonts w:ascii="宋体" w:hAnsi="宋体" w:cs="宋体" w:eastAsia="宋体" w:hint="default"/>
          <w:spacing w:val="-13"/>
          <w:sz w:val="18"/>
          <w:szCs w:val="18"/>
        </w:rPr>
        <w:t>）财务报告的任何舞弊；（</w:t>
      </w:r>
      <w:r>
        <w:rPr>
          <w:rFonts w:ascii="宋体" w:hAnsi="宋体" w:cs="宋体" w:eastAsia="宋体" w:hint="default"/>
          <w:spacing w:val="-13"/>
          <w:sz w:val="18"/>
          <w:szCs w:val="18"/>
        </w:rPr>
        <w:t>b</w:t>
      </w:r>
      <w:r>
        <w:rPr>
          <w:rFonts w:ascii="宋体" w:hAnsi="宋体" w:cs="宋体" w:eastAsia="宋体" w:hint="default"/>
          <w:spacing w:val="-75"/>
          <w:sz w:val="18"/>
          <w:szCs w:val="18"/>
        </w:rPr>
        <w:t> </w:t>
      </w:r>
      <w:r>
        <w:rPr>
          <w:rFonts w:ascii="宋体" w:hAnsi="宋体" w:cs="宋体" w:eastAsia="宋体" w:hint="default"/>
          <w:spacing w:val="-4"/>
          <w:sz w:val="18"/>
          <w:szCs w:val="18"/>
        </w:rPr>
        <w:t>对已公布</w:t>
      </w:r>
      <w:r>
        <w:rPr>
          <w:rFonts w:ascii="宋体" w:hAnsi="宋体" w:cs="宋体" w:eastAsia="宋体" w:hint="default"/>
          <w:spacing w:val="-4"/>
          <w:sz w:val="18"/>
          <w:szCs w:val="18"/>
        </w:rPr>
        <w:t>/</w:t>
      </w:r>
      <w:r>
        <w:rPr>
          <w:rFonts w:ascii="宋体" w:hAnsi="宋体" w:cs="宋体" w:eastAsia="宋体" w:hint="default"/>
          <w:spacing w:val="-4"/>
          <w:sz w:val="18"/>
          <w:szCs w:val="18"/>
        </w:rPr>
        <w:t>披露的财务报告进行重报，以更</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正重大错误； （</w:t>
      </w:r>
      <w:r>
        <w:rPr>
          <w:rFonts w:ascii="宋体" w:hAnsi="宋体" w:cs="宋体" w:eastAsia="宋体" w:hint="default"/>
          <w:sz w:val="18"/>
          <w:szCs w:val="18"/>
        </w:rPr>
        <w:t>c</w:t>
      </w:r>
      <w:r>
        <w:rPr>
          <w:rFonts w:ascii="宋体" w:hAnsi="宋体" w:cs="宋体" w:eastAsia="宋体" w:hint="default"/>
          <w:sz w:val="18"/>
          <w:szCs w:val="18"/>
        </w:rPr>
        <w:t>）注册会计师审计中发 现重大错报，需进行调整； （</w:t>
      </w:r>
      <w:r>
        <w:rPr>
          <w:rFonts w:ascii="宋体" w:hAnsi="宋体" w:cs="宋体" w:eastAsia="宋体" w:hint="default"/>
          <w:sz w:val="18"/>
          <w:szCs w:val="18"/>
        </w:rPr>
        <w:t>d</w:t>
      </w:r>
      <w:r>
        <w:rPr>
          <w:rFonts w:ascii="宋体" w:hAnsi="宋体" w:cs="宋体" w:eastAsia="宋体" w:hint="default"/>
          <w:sz w:val="18"/>
          <w:szCs w:val="18"/>
        </w:rPr>
        <w:t>）内部审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spacing w:line="316" w:lineRule="auto" w:before="0"/>
        <w:ind w:left="15" w:right="1147" w:firstLine="0"/>
        <w:jc w:val="left"/>
        <w:rPr>
          <w:rFonts w:ascii="宋体" w:hAnsi="宋体" w:cs="宋体" w:eastAsia="宋体" w:hint="default"/>
          <w:sz w:val="18"/>
          <w:szCs w:val="18"/>
        </w:rPr>
      </w:pPr>
      <w:r>
        <w:rPr>
          <w:rFonts w:ascii="宋体" w:hAnsi="宋体" w:cs="宋体" w:eastAsia="宋体" w:hint="default"/>
          <w:spacing w:val="-4"/>
          <w:sz w:val="18"/>
          <w:szCs w:val="18"/>
        </w:rPr>
        <w:t>具备以下特征之一的缺陷，视影响程度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可认定为重要缺陷或重大缺陷。 （</w:t>
      </w:r>
      <w:r>
        <w:rPr>
          <w:rFonts w:ascii="宋体" w:hAnsi="宋体" w:cs="宋体" w:eastAsia="宋体" w:hint="default"/>
          <w:sz w:val="18"/>
          <w:szCs w:val="18"/>
        </w:rPr>
        <w:t>a</w:t>
      </w:r>
      <w:r>
        <w:rPr>
          <w:rFonts w:ascii="宋体" w:hAnsi="宋体" w:cs="宋体" w:eastAsia="宋体" w:hint="default"/>
          <w:sz w:val="18"/>
          <w:szCs w:val="18"/>
        </w:rPr>
        <w:t>）</w:t>
      </w:r>
    </w:p>
    <w:p>
      <w:pPr>
        <w:spacing w:line="212" w:lineRule="exact" w:before="19"/>
        <w:ind w:left="15" w:right="0" w:firstLine="0"/>
        <w:jc w:val="left"/>
        <w:rPr>
          <w:rFonts w:ascii="宋体" w:hAnsi="宋体" w:cs="宋体" w:eastAsia="宋体" w:hint="default"/>
          <w:sz w:val="18"/>
          <w:szCs w:val="18"/>
        </w:rPr>
      </w:pPr>
      <w:r>
        <w:rPr>
          <w:rFonts w:ascii="宋体" w:hAnsi="宋体" w:cs="宋体" w:eastAsia="宋体" w:hint="default"/>
          <w:sz w:val="18"/>
          <w:szCs w:val="18"/>
        </w:rPr>
        <w:t>违反法律法规，导致被行政法律部门、</w:t>
      </w:r>
    </w:p>
    <w:p>
      <w:pPr>
        <w:spacing w:after="0" w:line="212" w:lineRule="exact"/>
        <w:jc w:val="left"/>
        <w:rPr>
          <w:rFonts w:ascii="宋体" w:hAnsi="宋体" w:cs="宋体" w:eastAsia="宋体" w:hint="default"/>
          <w:sz w:val="18"/>
          <w:szCs w:val="18"/>
        </w:rPr>
        <w:sectPr>
          <w:type w:val="continuous"/>
          <w:pgSz w:w="11910" w:h="16840"/>
          <w:pgMar w:top="1040" w:bottom="1180" w:left="0" w:right="0"/>
          <w:cols w:num="2" w:equalWidth="0">
            <w:col w:w="7625" w:space="40"/>
            <w:col w:w="4245"/>
          </w:cols>
        </w:sectPr>
      </w:pPr>
    </w:p>
    <w:p>
      <w:pPr>
        <w:spacing w:line="140" w:lineRule="exact" w:before="0"/>
        <w:ind w:left="1293" w:right="1130" w:firstLine="0"/>
        <w:jc w:val="center"/>
        <w:rPr>
          <w:rFonts w:ascii="宋体" w:hAnsi="宋体" w:cs="宋体" w:eastAsia="宋体" w:hint="default"/>
          <w:sz w:val="18"/>
          <w:szCs w:val="18"/>
        </w:rPr>
      </w:pPr>
      <w:r>
        <w:rPr>
          <w:rFonts w:ascii="宋体" w:hAnsi="宋体" w:cs="宋体" w:eastAsia="宋体" w:hint="default"/>
          <w:spacing w:val="-4"/>
          <w:sz w:val="18"/>
          <w:szCs w:val="18"/>
        </w:rPr>
        <w:t>计对财务报告的监督无效等。②重要缺陷：</w:t>
      </w:r>
    </w:p>
    <w:p>
      <w:pPr>
        <w:spacing w:line="172" w:lineRule="exact" w:before="0"/>
        <w:ind w:left="7679" w:right="0" w:firstLine="0"/>
        <w:jc w:val="left"/>
        <w:rPr>
          <w:rFonts w:ascii="宋体" w:hAnsi="宋体" w:cs="宋体" w:eastAsia="宋体" w:hint="default"/>
          <w:sz w:val="18"/>
          <w:szCs w:val="18"/>
        </w:rPr>
      </w:pPr>
      <w:r>
        <w:rPr>
          <w:rFonts w:ascii="宋体" w:hAnsi="宋体" w:cs="宋体" w:eastAsia="宋体" w:hint="default"/>
          <w:sz w:val="18"/>
          <w:szCs w:val="18"/>
        </w:rPr>
        <w:t>监管机构判罚或处罚；</w:t>
      </w:r>
      <w:r>
        <w:rPr>
          <w:rFonts w:ascii="宋体" w:hAnsi="宋体" w:cs="宋体" w:eastAsia="宋体" w:hint="default"/>
          <w:spacing w:val="-37"/>
          <w:sz w:val="18"/>
          <w:szCs w:val="18"/>
        </w:rPr>
        <w:t> </w:t>
      </w:r>
      <w:r>
        <w:rPr>
          <w:rFonts w:ascii="宋体" w:hAnsi="宋体" w:cs="宋体" w:eastAsia="宋体" w:hint="default"/>
          <w:spacing w:val="-4"/>
          <w:sz w:val="18"/>
          <w:szCs w:val="18"/>
        </w:rPr>
        <w:t>（</w:t>
      </w:r>
      <w:r>
        <w:rPr>
          <w:rFonts w:ascii="宋体" w:hAnsi="宋体" w:cs="宋体" w:eastAsia="宋体" w:hint="default"/>
          <w:spacing w:val="-4"/>
          <w:sz w:val="18"/>
          <w:szCs w:val="18"/>
        </w:rPr>
        <w:t>b</w:t>
      </w:r>
      <w:r>
        <w:rPr>
          <w:rFonts w:ascii="宋体" w:hAnsi="宋体" w:cs="宋体" w:eastAsia="宋体" w:hint="default"/>
          <w:spacing w:val="-4"/>
          <w:sz w:val="18"/>
          <w:szCs w:val="18"/>
        </w:rPr>
        <w:t>）被媒体曝</w:t>
      </w:r>
    </w:p>
    <w:p>
      <w:pPr>
        <w:spacing w:after="0" w:line="172" w:lineRule="exact"/>
        <w:jc w:val="left"/>
        <w:rPr>
          <w:rFonts w:ascii="宋体" w:hAnsi="宋体" w:cs="宋体" w:eastAsia="宋体" w:hint="default"/>
          <w:sz w:val="18"/>
          <w:szCs w:val="18"/>
        </w:rPr>
        <w:sectPr>
          <w:type w:val="continuous"/>
          <w:pgSz w:w="11910" w:h="16840"/>
          <w:pgMar w:top="1040" w:bottom="1180" w:left="0" w:right="0"/>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spacing w:before="0"/>
        <w:ind w:left="1161" w:right="-20" w:firstLine="0"/>
        <w:jc w:val="left"/>
        <w:rPr>
          <w:rFonts w:ascii="宋体" w:hAnsi="宋体" w:cs="宋体" w:eastAsia="宋体" w:hint="default"/>
          <w:sz w:val="18"/>
          <w:szCs w:val="18"/>
        </w:rPr>
      </w:pPr>
      <w:r>
        <w:rPr>
          <w:rFonts w:ascii="宋体" w:hAnsi="宋体" w:cs="宋体" w:eastAsia="宋体" w:hint="default"/>
          <w:sz w:val="18"/>
          <w:szCs w:val="18"/>
        </w:rPr>
        <w:t>定性标准</w:t>
      </w:r>
    </w:p>
    <w:p>
      <w:pPr>
        <w:spacing w:line="180" w:lineRule="exact" w:before="0"/>
        <w:ind w:left="116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单独缺陷或连同其他缺陷，导致不能及时</w:t>
      </w:r>
    </w:p>
    <w:p>
      <w:pPr>
        <w:spacing w:line="316" w:lineRule="auto" w:before="76"/>
        <w:ind w:left="1161" w:right="-20" w:firstLine="0"/>
        <w:jc w:val="left"/>
        <w:rPr>
          <w:rFonts w:ascii="宋体" w:hAnsi="宋体" w:cs="宋体" w:eastAsia="宋体" w:hint="default"/>
          <w:sz w:val="18"/>
          <w:szCs w:val="18"/>
        </w:rPr>
      </w:pPr>
      <w:r>
        <w:rPr>
          <w:rFonts w:ascii="宋体" w:hAnsi="宋体" w:cs="宋体" w:eastAsia="宋体" w:hint="default"/>
          <w:sz w:val="18"/>
          <w:szCs w:val="18"/>
        </w:rPr>
        <w:t>防止或发现并纠正财务报告中虽不构成重 大错报但仍应引起管理层重视的错报：</w:t>
      </w:r>
    </w:p>
    <w:p>
      <w:pPr>
        <w:spacing w:line="316" w:lineRule="auto" w:before="100"/>
        <w:ind w:left="43" w:right="1129"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光负面新闻，且未能及时消除影响，导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致公司生产经营、企业形象受损；（</w:t>
      </w:r>
      <w:r>
        <w:rPr>
          <w:rFonts w:ascii="宋体" w:hAnsi="宋体" w:cs="宋体" w:eastAsia="宋体" w:hint="default"/>
          <w:spacing w:val="-4"/>
          <w:sz w:val="18"/>
          <w:szCs w:val="18"/>
        </w:rPr>
        <w:t>c</w:t>
      </w:r>
      <w:r>
        <w:rPr>
          <w:rFonts w:ascii="宋体" w:hAnsi="宋体" w:cs="宋体" w:eastAsia="宋体" w:hint="default"/>
          <w:spacing w:val="-4"/>
          <w:sz w:val="18"/>
          <w:szCs w:val="18"/>
        </w:rPr>
        <w:t>）</w:t>
      </w:r>
    </w:p>
    <w:p>
      <w:pPr>
        <w:spacing w:line="212" w:lineRule="exact" w:before="19"/>
        <w:ind w:left="43" w:right="1129" w:firstLine="0"/>
        <w:jc w:val="left"/>
        <w:rPr>
          <w:rFonts w:ascii="宋体" w:hAnsi="宋体" w:cs="宋体" w:eastAsia="宋体" w:hint="default"/>
          <w:sz w:val="18"/>
          <w:szCs w:val="18"/>
        </w:rPr>
      </w:pPr>
      <w:r>
        <w:rPr>
          <w:rFonts w:ascii="宋体" w:hAnsi="宋体" w:cs="宋体" w:eastAsia="宋体" w:hint="default"/>
          <w:spacing w:val="-4"/>
          <w:sz w:val="18"/>
          <w:szCs w:val="18"/>
        </w:rPr>
        <w:t>出现安全生产、环境保护和质量方面的</w:t>
      </w:r>
    </w:p>
    <w:p>
      <w:pPr>
        <w:spacing w:after="0" w:line="212" w:lineRule="exact"/>
        <w:jc w:val="left"/>
        <w:rPr>
          <w:rFonts w:ascii="宋体" w:hAnsi="宋体" w:cs="宋体" w:eastAsia="宋体" w:hint="default"/>
          <w:sz w:val="18"/>
          <w:szCs w:val="18"/>
        </w:rPr>
        <w:sectPr>
          <w:type w:val="continuous"/>
          <w:pgSz w:w="11910" w:h="16840"/>
          <w:pgMar w:top="1040" w:bottom="1180" w:left="0" w:right="0"/>
          <w:cols w:num="3" w:equalWidth="0">
            <w:col w:w="1882" w:space="1313"/>
            <w:col w:w="4402" w:space="40"/>
            <w:col w:w="4273"/>
          </w:cols>
        </w:sectPr>
      </w:pPr>
    </w:p>
    <w:p>
      <w:pPr>
        <w:spacing w:line="140" w:lineRule="exact" w:before="0"/>
        <w:ind w:left="1266" w:right="113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w:t>
      </w:r>
      <w:r>
        <w:rPr>
          <w:rFonts w:ascii="宋体" w:hAnsi="宋体" w:cs="宋体" w:eastAsia="宋体" w:hint="default"/>
          <w:sz w:val="18"/>
          <w:szCs w:val="18"/>
        </w:rPr>
        <w:t>）财务报告内控缺陷整改情况不理想；</w:t>
      </w:r>
    </w:p>
    <w:p>
      <w:pPr>
        <w:spacing w:line="172" w:lineRule="exact" w:before="0"/>
        <w:ind w:left="7679" w:right="0" w:firstLine="0"/>
        <w:jc w:val="left"/>
        <w:rPr>
          <w:rFonts w:ascii="宋体" w:hAnsi="宋体" w:cs="宋体" w:eastAsia="宋体" w:hint="default"/>
          <w:sz w:val="18"/>
          <w:szCs w:val="18"/>
        </w:rPr>
      </w:pPr>
      <w:r>
        <w:rPr>
          <w:rFonts w:ascii="宋体" w:hAnsi="宋体" w:cs="宋体" w:eastAsia="宋体" w:hint="default"/>
          <w:sz w:val="18"/>
          <w:szCs w:val="18"/>
        </w:rPr>
        <w:t>重大事故，导致严重后果；</w:t>
      </w:r>
      <w:r>
        <w:rPr>
          <w:rFonts w:ascii="宋体" w:hAnsi="宋体" w:cs="宋体" w:eastAsia="宋体" w:hint="default"/>
          <w:spacing w:val="-48"/>
          <w:sz w:val="18"/>
          <w:szCs w:val="18"/>
        </w:rPr>
        <w:t> </w:t>
      </w:r>
      <w:r>
        <w:rPr>
          <w:rFonts w:ascii="宋体" w:hAnsi="宋体" w:cs="宋体" w:eastAsia="宋体" w:hint="default"/>
          <w:spacing w:val="-4"/>
          <w:sz w:val="18"/>
          <w:szCs w:val="18"/>
        </w:rPr>
        <w:t>（</w:t>
      </w:r>
      <w:r>
        <w:rPr>
          <w:rFonts w:ascii="宋体" w:hAnsi="宋体" w:cs="宋体" w:eastAsia="宋体" w:hint="default"/>
          <w:spacing w:val="-4"/>
          <w:sz w:val="18"/>
          <w:szCs w:val="18"/>
        </w:rPr>
        <w:t>d</w:t>
      </w:r>
      <w:r>
        <w:rPr>
          <w:rFonts w:ascii="宋体" w:hAnsi="宋体" w:cs="宋体" w:eastAsia="宋体" w:hint="default"/>
          <w:spacing w:val="-4"/>
          <w:sz w:val="18"/>
          <w:szCs w:val="18"/>
        </w:rPr>
        <w:t>）高风</w:t>
      </w:r>
    </w:p>
    <w:p>
      <w:pPr>
        <w:spacing w:after="0" w:line="172" w:lineRule="exact"/>
        <w:jc w:val="left"/>
        <w:rPr>
          <w:rFonts w:ascii="宋体" w:hAnsi="宋体" w:cs="宋体" w:eastAsia="宋体" w:hint="default"/>
          <w:sz w:val="18"/>
          <w:szCs w:val="18"/>
        </w:rPr>
        <w:sectPr>
          <w:type w:val="continuous"/>
          <w:pgSz w:w="11910" w:h="16840"/>
          <w:pgMar w:top="1040" w:bottom="1180" w:left="0" w:right="0"/>
        </w:sectPr>
      </w:pPr>
    </w:p>
    <w:p>
      <w:pPr>
        <w:spacing w:line="180" w:lineRule="exact" w:before="0"/>
        <w:ind w:left="4356" w:right="-6" w:firstLine="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b</w:t>
      </w:r>
      <w:r>
        <w:rPr>
          <w:rFonts w:ascii="宋体" w:hAnsi="宋体" w:cs="宋体" w:eastAsia="宋体" w:hint="default"/>
          <w:spacing w:val="-4"/>
          <w:sz w:val="18"/>
          <w:szCs w:val="18"/>
        </w:rPr>
        <w:t>）集团内就同一交易、事项的会计政策</w:t>
      </w:r>
    </w:p>
    <w:p>
      <w:pPr>
        <w:spacing w:before="76"/>
        <w:ind w:left="4356" w:right="-6" w:firstLine="0"/>
        <w:jc w:val="left"/>
        <w:rPr>
          <w:rFonts w:ascii="宋体" w:hAnsi="宋体" w:cs="宋体" w:eastAsia="宋体" w:hint="default"/>
          <w:sz w:val="18"/>
          <w:szCs w:val="18"/>
        </w:rPr>
      </w:pPr>
      <w:r>
        <w:rPr>
          <w:rFonts w:ascii="宋体" w:hAnsi="宋体" w:cs="宋体" w:eastAsia="宋体" w:hint="default"/>
          <w:sz w:val="18"/>
          <w:szCs w:val="18"/>
        </w:rPr>
        <w:t>不统一； （</w:t>
      </w:r>
      <w:r>
        <w:rPr>
          <w:rFonts w:ascii="宋体" w:hAnsi="宋体" w:cs="宋体" w:eastAsia="宋体" w:hint="default"/>
          <w:sz w:val="18"/>
          <w:szCs w:val="18"/>
        </w:rPr>
        <w:t>c</w:t>
      </w:r>
      <w:r>
        <w:rPr>
          <w:rFonts w:ascii="宋体" w:hAnsi="宋体" w:cs="宋体" w:eastAsia="宋体" w:hint="default"/>
          <w:sz w:val="18"/>
          <w:szCs w:val="18"/>
        </w:rPr>
        <w:t>）会计政策的制定未结合公</w:t>
      </w:r>
    </w:p>
    <w:p>
      <w:pPr>
        <w:spacing w:line="310" w:lineRule="atLeast" w:before="26"/>
        <w:ind w:left="15" w:right="1212"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险业务未有相关制度规范，重要业务缺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乏制度控制；</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z w:val="18"/>
          <w:szCs w:val="18"/>
        </w:rPr>
        <w:t>e</w:t>
      </w:r>
      <w:r>
        <w:rPr>
          <w:rFonts w:ascii="宋体" w:hAnsi="宋体" w:cs="宋体" w:eastAsia="宋体" w:hint="default"/>
          <w:sz w:val="18"/>
          <w:szCs w:val="18"/>
        </w:rPr>
        <w:t>）对已经发现并报告</w:t>
      </w:r>
    </w:p>
    <w:p>
      <w:pPr>
        <w:spacing w:after="0" w:line="310" w:lineRule="atLeast"/>
        <w:jc w:val="left"/>
        <w:rPr>
          <w:rFonts w:ascii="宋体" w:hAnsi="宋体" w:cs="宋体" w:eastAsia="宋体" w:hint="default"/>
          <w:sz w:val="18"/>
          <w:szCs w:val="18"/>
        </w:rPr>
        <w:sectPr>
          <w:type w:val="continuous"/>
          <w:pgSz w:w="11910" w:h="16840"/>
          <w:pgMar w:top="1040" w:bottom="1180" w:left="0" w:right="0"/>
          <w:cols w:num="2" w:equalWidth="0">
            <w:col w:w="7625" w:space="40"/>
            <w:col w:w="4245"/>
          </w:cols>
        </w:sectPr>
      </w:pPr>
    </w:p>
    <w:p>
      <w:pPr>
        <w:spacing w:line="116" w:lineRule="exact" w:before="0"/>
        <w:ind w:left="1292" w:right="1130" w:firstLine="0"/>
        <w:jc w:val="center"/>
        <w:rPr>
          <w:rFonts w:ascii="宋体" w:hAnsi="宋体" w:cs="宋体" w:eastAsia="宋体" w:hint="default"/>
          <w:sz w:val="18"/>
          <w:szCs w:val="18"/>
        </w:rPr>
      </w:pPr>
      <w:r>
        <w:rPr>
          <w:rFonts w:ascii="宋体" w:hAnsi="宋体" w:cs="宋体" w:eastAsia="宋体" w:hint="default"/>
          <w:spacing w:val="-4"/>
          <w:sz w:val="18"/>
          <w:szCs w:val="18"/>
        </w:rPr>
        <w:t>司实际情况，直接照搬准则（上市公司），</w:t>
      </w:r>
    </w:p>
    <w:p>
      <w:pPr>
        <w:spacing w:line="172" w:lineRule="exact" w:before="0"/>
        <w:ind w:left="7679" w:right="0" w:firstLine="0"/>
        <w:jc w:val="left"/>
        <w:rPr>
          <w:rFonts w:ascii="宋体" w:hAnsi="宋体" w:cs="宋体" w:eastAsia="宋体" w:hint="default"/>
          <w:sz w:val="18"/>
          <w:szCs w:val="18"/>
        </w:rPr>
      </w:pPr>
      <w:r>
        <w:rPr>
          <w:rFonts w:ascii="宋体" w:hAnsi="宋体" w:cs="宋体" w:eastAsia="宋体" w:hint="default"/>
          <w:sz w:val="18"/>
          <w:szCs w:val="18"/>
        </w:rPr>
        <w:t>给管理层的重大或重要内部控制缺陷</w:t>
      </w:r>
    </w:p>
    <w:p>
      <w:pPr>
        <w:spacing w:after="0" w:line="172" w:lineRule="exact"/>
        <w:jc w:val="left"/>
        <w:rPr>
          <w:rFonts w:ascii="宋体" w:hAnsi="宋体" w:cs="宋体" w:eastAsia="宋体" w:hint="default"/>
          <w:sz w:val="18"/>
          <w:szCs w:val="18"/>
        </w:rPr>
        <w:sectPr>
          <w:type w:val="continuous"/>
          <w:pgSz w:w="11910" w:h="16840"/>
          <w:pgMar w:top="1040" w:bottom="1180" w:left="0" w:right="0"/>
        </w:sectPr>
      </w:pPr>
    </w:p>
    <w:p>
      <w:pPr>
        <w:spacing w:line="180" w:lineRule="exact" w:before="0"/>
        <w:ind w:left="4356" w:right="-20" w:firstLine="0"/>
        <w:jc w:val="left"/>
        <w:rPr>
          <w:rFonts w:ascii="宋体" w:hAnsi="宋体" w:cs="宋体" w:eastAsia="宋体" w:hint="default"/>
          <w:sz w:val="18"/>
          <w:szCs w:val="18"/>
        </w:rPr>
      </w:pPr>
      <w:r>
        <w:rPr>
          <w:rFonts w:ascii="宋体" w:hAnsi="宋体" w:cs="宋体" w:eastAsia="宋体" w:hint="default"/>
          <w:sz w:val="18"/>
          <w:szCs w:val="18"/>
        </w:rPr>
        <w:t>实际操作存在较大的人为因素； （</w:t>
      </w:r>
      <w:r>
        <w:rPr>
          <w:rFonts w:ascii="宋体" w:hAnsi="宋体" w:cs="宋体" w:eastAsia="宋体" w:hint="default"/>
          <w:sz w:val="18"/>
          <w:szCs w:val="18"/>
        </w:rPr>
        <w:t>d</w:t>
      </w:r>
      <w:r>
        <w:rPr>
          <w:rFonts w:ascii="宋体" w:hAnsi="宋体" w:cs="宋体" w:eastAsia="宋体" w:hint="default"/>
          <w:sz w:val="18"/>
          <w:szCs w:val="18"/>
        </w:rPr>
        <w:t>）对</w:t>
      </w:r>
    </w:p>
    <w:p>
      <w:pPr>
        <w:spacing w:line="210" w:lineRule="exact" w:before="101"/>
        <w:ind w:left="4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在经过合理的时间后，并未加以改正。</w:t>
      </w:r>
    </w:p>
    <w:p>
      <w:pPr>
        <w:spacing w:after="0" w:line="210" w:lineRule="exact"/>
        <w:jc w:val="left"/>
        <w:rPr>
          <w:rFonts w:ascii="宋体" w:hAnsi="宋体" w:cs="宋体" w:eastAsia="宋体" w:hint="default"/>
          <w:sz w:val="18"/>
          <w:szCs w:val="18"/>
        </w:rPr>
        <w:sectPr>
          <w:type w:val="continuous"/>
          <w:pgSz w:w="11910" w:h="16840"/>
          <w:pgMar w:top="1040" w:bottom="1180" w:left="0" w:right="0"/>
          <w:cols w:num="2" w:equalWidth="0">
            <w:col w:w="7597" w:space="40"/>
            <w:col w:w="4273"/>
          </w:cols>
        </w:sectPr>
      </w:pPr>
    </w:p>
    <w:p>
      <w:pPr>
        <w:spacing w:line="180" w:lineRule="exact" w:before="0"/>
        <w:ind w:left="1292" w:right="1130" w:firstLine="0"/>
        <w:jc w:val="center"/>
        <w:rPr>
          <w:rFonts w:ascii="宋体" w:hAnsi="宋体" w:cs="宋体" w:eastAsia="宋体" w:hint="default"/>
          <w:sz w:val="18"/>
          <w:szCs w:val="18"/>
        </w:rPr>
      </w:pPr>
      <w:r>
        <w:rPr>
          <w:rFonts w:ascii="宋体" w:hAnsi="宋体" w:cs="宋体" w:eastAsia="宋体" w:hint="default"/>
          <w:spacing w:val="-4"/>
          <w:sz w:val="18"/>
          <w:szCs w:val="18"/>
        </w:rPr>
        <w:t>非常规、特殊和复杂交易未给予足够重视，</w:t>
      </w:r>
    </w:p>
    <w:p>
      <w:pPr>
        <w:spacing w:line="319" w:lineRule="auto" w:before="76"/>
        <w:ind w:left="4356" w:right="4279" w:firstLine="0"/>
        <w:jc w:val="both"/>
        <w:rPr>
          <w:rFonts w:ascii="宋体" w:hAnsi="宋体" w:cs="宋体" w:eastAsia="宋体" w:hint="default"/>
          <w:sz w:val="18"/>
          <w:szCs w:val="18"/>
        </w:rPr>
      </w:pPr>
      <w:r>
        <w:rPr>
          <w:rFonts w:ascii="宋体" w:hAnsi="宋体" w:cs="宋体" w:eastAsia="宋体" w:hint="default"/>
          <w:sz w:val="18"/>
          <w:szCs w:val="18"/>
        </w:rPr>
        <w:t>影响实际的会计处理工作； （</w:t>
      </w:r>
      <w:r>
        <w:rPr>
          <w:rFonts w:ascii="宋体" w:hAnsi="宋体" w:cs="宋体" w:eastAsia="宋体" w:hint="default"/>
          <w:sz w:val="18"/>
          <w:szCs w:val="18"/>
        </w:rPr>
        <w:t>e</w:t>
      </w:r>
      <w:r>
        <w:rPr>
          <w:rFonts w:ascii="宋体" w:hAnsi="宋体" w:cs="宋体" w:eastAsia="宋体" w:hint="default"/>
          <w:sz w:val="18"/>
          <w:szCs w:val="18"/>
        </w:rPr>
        <w:t>）期末财 务报告的编制不规范。</w:t>
      </w:r>
      <w:r>
        <w:rPr>
          <w:rFonts w:ascii="宋体" w:hAnsi="宋体" w:cs="宋体" w:eastAsia="宋体" w:hint="default"/>
          <w:spacing w:val="-31"/>
          <w:sz w:val="18"/>
          <w:szCs w:val="18"/>
        </w:rPr>
        <w:t> </w:t>
      </w:r>
      <w:r>
        <w:rPr>
          <w:rFonts w:ascii="宋体" w:hAnsi="宋体" w:cs="宋体" w:eastAsia="宋体" w:hint="default"/>
          <w:spacing w:val="-4"/>
          <w:sz w:val="18"/>
          <w:szCs w:val="18"/>
        </w:rPr>
        <w:t>③一般缺陷：不构</w:t>
      </w:r>
      <w:r>
        <w:rPr>
          <w:rFonts w:ascii="宋体" w:hAnsi="宋体" w:cs="宋体" w:eastAsia="宋体" w:hint="default"/>
          <w:sz w:val="18"/>
          <w:szCs w:val="18"/>
        </w:rPr>
        <w:t> 成重大缺陷或重要缺陷的其他内部控制缺 陷。</w:t>
      </w:r>
    </w:p>
    <w:p>
      <w:pPr>
        <w:spacing w:after="0" w:line="319" w:lineRule="auto"/>
        <w:jc w:val="both"/>
        <w:rPr>
          <w:rFonts w:ascii="宋体" w:hAnsi="宋体" w:cs="宋体" w:eastAsia="宋体" w:hint="default"/>
          <w:sz w:val="18"/>
          <w:szCs w:val="18"/>
        </w:rPr>
        <w:sectPr>
          <w:type w:val="continuous"/>
          <w:pgSz w:w="11910" w:h="16840"/>
          <w:pgMar w:top="1040" w:bottom="1180" w:left="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spacing w:before="0"/>
        <w:ind w:left="1161" w:right="-20" w:firstLine="0"/>
        <w:jc w:val="left"/>
        <w:rPr>
          <w:rFonts w:ascii="宋体" w:hAnsi="宋体" w:cs="宋体" w:eastAsia="宋体" w:hint="default"/>
          <w:sz w:val="18"/>
          <w:szCs w:val="18"/>
        </w:rPr>
      </w:pPr>
      <w:r>
        <w:rPr>
          <w:rFonts w:ascii="宋体" w:hAnsi="宋体" w:cs="宋体" w:eastAsia="宋体" w:hint="default"/>
          <w:sz w:val="18"/>
          <w:szCs w:val="18"/>
        </w:rPr>
        <w:t>定量标准</w:t>
      </w:r>
    </w:p>
    <w:p>
      <w:pPr>
        <w:spacing w:line="316" w:lineRule="auto" w:before="112"/>
        <w:ind w:left="116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以利润总额和总资产孰低的原则确定重要 性水平。①内部控制缺陷可能导致或导致 的损失与利润表相关的，以利润总额作为 指标衡量。如果该缺陷单独或连同其他缺 陷可能导致的财务报告错报金额小于利润 总额的</w:t>
      </w:r>
      <w:r>
        <w:rPr>
          <w:rFonts w:ascii="宋体" w:hAnsi="宋体" w:cs="宋体" w:eastAsia="宋体" w:hint="default"/>
          <w:spacing w:val="-64"/>
          <w:sz w:val="18"/>
          <w:szCs w:val="18"/>
        </w:rPr>
        <w:t> </w:t>
      </w:r>
      <w:r>
        <w:rPr>
          <w:rFonts w:ascii="宋体" w:hAnsi="宋体" w:cs="宋体" w:eastAsia="宋体" w:hint="default"/>
          <w:sz w:val="18"/>
          <w:szCs w:val="18"/>
        </w:rPr>
        <w:t>1%</w:t>
      </w:r>
      <w:r>
        <w:rPr>
          <w:rFonts w:ascii="宋体" w:hAnsi="宋体" w:cs="宋体" w:eastAsia="宋体" w:hint="default"/>
          <w:sz w:val="18"/>
          <w:szCs w:val="18"/>
        </w:rPr>
        <w:t>，认定为一般缺陷；如果超过利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8"/>
          <w:szCs w:val="18"/>
        </w:rPr>
      </w:pPr>
    </w:p>
    <w:p>
      <w:pPr>
        <w:spacing w:line="310" w:lineRule="atLeast" w:before="0"/>
        <w:ind w:left="15" w:right="1327" w:firstLine="0"/>
        <w:jc w:val="left"/>
        <w:rPr>
          <w:rFonts w:ascii="宋体" w:hAnsi="宋体" w:cs="宋体" w:eastAsia="宋体" w:hint="default"/>
          <w:sz w:val="18"/>
          <w:szCs w:val="18"/>
        </w:rPr>
      </w:pPr>
      <w:r>
        <w:rPr>
          <w:rFonts w:ascii="宋体" w:hAnsi="宋体" w:cs="宋体" w:eastAsia="宋体" w:hint="default"/>
          <w:sz w:val="18"/>
          <w:szCs w:val="18"/>
        </w:rPr>
        <w:t>参照财务报告内部控制缺陷的定量评 价标准执行。</w:t>
      </w:r>
    </w:p>
    <w:p>
      <w:pPr>
        <w:spacing w:after="0" w:line="310" w:lineRule="atLeast"/>
        <w:jc w:val="left"/>
        <w:rPr>
          <w:rFonts w:ascii="宋体" w:hAnsi="宋体" w:cs="宋体" w:eastAsia="宋体" w:hint="default"/>
          <w:sz w:val="18"/>
          <w:szCs w:val="18"/>
        </w:rPr>
        <w:sectPr>
          <w:type w:val="continuous"/>
          <w:pgSz w:w="11910" w:h="16840"/>
          <w:pgMar w:top="1040" w:bottom="1180" w:left="0" w:right="0"/>
          <w:cols w:num="3" w:equalWidth="0">
            <w:col w:w="1882" w:space="1313"/>
            <w:col w:w="4430" w:space="40"/>
            <w:col w:w="4245"/>
          </w:cols>
        </w:sectPr>
      </w:pPr>
    </w:p>
    <w:p>
      <w:pPr>
        <w:spacing w:line="174" w:lineRule="exact" w:before="0"/>
        <w:ind w:left="1294" w:right="1130" w:firstLine="0"/>
        <w:jc w:val="center"/>
        <w:rPr>
          <w:rFonts w:ascii="宋体" w:hAnsi="宋体" w:cs="宋体" w:eastAsia="宋体" w:hint="default"/>
          <w:sz w:val="18"/>
          <w:szCs w:val="18"/>
        </w:rPr>
      </w:pPr>
      <w:r>
        <w:rPr/>
        <w:pict>
          <v:group style="position:absolute;margin-left:55.919998pt;margin-top:94.649986pt;width:479.95pt;height:663.8pt;mso-position-horizontal-relative:page;mso-position-vertical-relative:page;z-index:-917320" coordorigin="1118,1893" coordsize="9599,13276">
            <v:group style="position:absolute;left:1155;top:1938;width:2;height:393" coordorigin="1155,1938" coordsize="2,393">
              <v:shape style="position:absolute;left:1155;top:1938;width:2;height:393" coordorigin="1155,1938" coordsize="0,393" path="m1155,1938l1155,2330e" filled="false" stroked="true" strokeweight=".66pt" strokecolor="#d2d2d2">
                <v:path arrowok="t"/>
              </v:shape>
            </v:group>
            <v:group style="position:absolute;left:4311;top:1938;width:2;height:393" coordorigin="4311,1938" coordsize="2,393">
              <v:shape style="position:absolute;left:4311;top:1938;width:2;height:393" coordorigin="4311,1938" coordsize="0,393" path="m4311,1938l4311,2330e" filled="false" stroked="true" strokeweight="1.08pt" strokecolor="#d2d2d2">
                <v:path arrowok="t"/>
              </v:shape>
            </v:group>
            <v:group style="position:absolute;left:1162;top:1938;width:3139;height:393" coordorigin="1162,1938" coordsize="3139,393">
              <v:shape style="position:absolute;left:1162;top:1938;width:3139;height:393" coordorigin="1162,1938" coordsize="3139,393" path="m1162,2330l4300,2330,4300,1938,1162,1938,1162,2330xe" filled="true" fillcolor="#d2d2d2" stroked="false">
                <v:path arrowok="t"/>
                <v:fill type="solid"/>
              </v:shape>
            </v:group>
            <v:group style="position:absolute;left:1148;top:1923;width:3174;height:2" coordorigin="1148,1923" coordsize="3174,2">
              <v:shape style="position:absolute;left:1148;top:1923;width:3174;height:2" coordorigin="1148,1923" coordsize="3174,0" path="m1148,1923l4322,1923e" filled="false" stroked="true" strokeweight="1.5pt" strokecolor="#000000">
                <v:path arrowok="t"/>
              </v:shape>
            </v:group>
            <v:group style="position:absolute;left:4322;top:1923;width:30;height:2" coordorigin="4322,1923" coordsize="30,2">
              <v:shape style="position:absolute;left:4322;top:1923;width:30;height:2" coordorigin="4322,1923" coordsize="30,0" path="m4322,1923l4352,1923e" filled="false" stroked="true" strokeweight="1.5pt" strokecolor="#000000">
                <v:path arrowok="t"/>
              </v:shape>
            </v:group>
            <v:group style="position:absolute;left:4352;top:1923;width:6336;height:2" coordorigin="4352,1923" coordsize="6336,2">
              <v:shape style="position:absolute;left:4352;top:1923;width:6336;height:2" coordorigin="4352,1923" coordsize="6336,0" path="m4352,1923l10687,1923e" filled="false" stroked="true" strokeweight="1.5pt" strokecolor="#000000">
                <v:path arrowok="t"/>
              </v:shape>
            </v:group>
            <v:group style="position:absolute;left:1155;top:2345;width:2;height:393" coordorigin="1155,2345" coordsize="2,393">
              <v:shape style="position:absolute;left:1155;top:2345;width:2;height:393" coordorigin="1155,2345" coordsize="0,393" path="m1155,2345l1155,2737e" filled="false" stroked="true" strokeweight=".66pt" strokecolor="#d2d2d2">
                <v:path arrowok="t"/>
              </v:shape>
            </v:group>
            <v:group style="position:absolute;left:4311;top:2345;width:2;height:393" coordorigin="4311,2345" coordsize="2,393">
              <v:shape style="position:absolute;left:4311;top:2345;width:2;height:393" coordorigin="4311,2345" coordsize="0,393" path="m4311,2345l4311,2737e" filled="false" stroked="true" strokeweight="1.08pt" strokecolor="#d2d2d2">
                <v:path arrowok="t"/>
              </v:shape>
            </v:group>
            <v:group style="position:absolute;left:1162;top:2345;width:3139;height:393" coordorigin="1162,2345" coordsize="3139,393">
              <v:shape style="position:absolute;left:1162;top:2345;width:3139;height:393" coordorigin="1162,2345" coordsize="3139,393" path="m1162,2737l4300,2737,4300,2345,1162,2345,1162,2737xe" filled="true" fillcolor="#d2d2d2" stroked="false">
                <v:path arrowok="t"/>
                <v:fill type="solid"/>
              </v:shape>
            </v:group>
            <v:group style="position:absolute;left:1148;top:2338;width:3174;height:2" coordorigin="1148,2338" coordsize="3174,2">
              <v:shape style="position:absolute;left:1148;top:2338;width:3174;height:2" coordorigin="1148,2338" coordsize="3174,0" path="m1148,2338l4322,2338e" filled="false" stroked="true" strokeweight=".72pt" strokecolor="#000000">
                <v:path arrowok="t"/>
              </v:shape>
            </v:group>
            <v:group style="position:absolute;left:1148;top:2345;width:3174;height:2" coordorigin="1148,2345" coordsize="3174,2">
              <v:shape style="position:absolute;left:1148;top:2345;width:3174;height:2" coordorigin="1148,2345" coordsize="3174,0" path="m1148,2345l4322,2345e" filled="false" stroked="true" strokeweight=".06pt" strokecolor="#d2d2d2">
                <v:path arrowok="t"/>
              </v:shape>
            </v:group>
            <v:group style="position:absolute;left:4336;top:2338;width:6352;height:2" coordorigin="4336,2338" coordsize="6352,2">
              <v:shape style="position:absolute;left:4336;top:2338;width:6352;height:2" coordorigin="4336,2338" coordsize="6352,0" path="m4336,2338l10687,2338e" filled="false" stroked="true" strokeweight=".72pt" strokecolor="#000000">
                <v:path arrowok="t"/>
              </v:shape>
            </v:group>
            <v:group style="position:absolute;left:1155;top:2752;width:2;height:705" coordorigin="1155,2752" coordsize="2,705">
              <v:shape style="position:absolute;left:1155;top:2752;width:2;height:705" coordorigin="1155,2752" coordsize="0,705" path="m1155,2752l1155,3456e" filled="false" stroked="true" strokeweight=".66pt" strokecolor="#d2d2d2">
                <v:path arrowok="t"/>
              </v:shape>
            </v:group>
            <v:group style="position:absolute;left:4311;top:2752;width:2;height:705" coordorigin="4311,2752" coordsize="2,705">
              <v:shape style="position:absolute;left:4311;top:2752;width:2;height:705" coordorigin="4311,2752" coordsize="0,705" path="m4311,2752l4311,3456e" filled="false" stroked="true" strokeweight="1.08pt" strokecolor="#d2d2d2">
                <v:path arrowok="t"/>
              </v:shape>
            </v:group>
            <v:group style="position:absolute;left:1162;top:2752;width:3139;height:354" coordorigin="1162,2752" coordsize="3139,354">
              <v:shape style="position:absolute;left:1162;top:2752;width:3139;height:354" coordorigin="1162,2752" coordsize="3139,354" path="m1162,3105l4300,3105,4300,2752,1162,2752,1162,3105xe" filled="true" fillcolor="#d2d2d2" stroked="false">
                <v:path arrowok="t"/>
                <v:fill type="solid"/>
              </v:shape>
            </v:group>
            <v:group style="position:absolute;left:1162;top:3105;width:3139;height:352" coordorigin="1162,3105" coordsize="3139,352">
              <v:shape style="position:absolute;left:1162;top:3105;width:3139;height:352" coordorigin="1162,3105" coordsize="3139,352" path="m1162,3456l4300,3456,4300,3105,1162,3105,1162,3456xe" filled="true" fillcolor="#d2d2d2" stroked="false">
                <v:path arrowok="t"/>
                <v:fill type="solid"/>
              </v:shape>
            </v:group>
            <v:group style="position:absolute;left:1148;top:2744;width:3174;height:2" coordorigin="1148,2744" coordsize="3174,2">
              <v:shape style="position:absolute;left:1148;top:2744;width:3174;height:2" coordorigin="1148,2744" coordsize="3174,0" path="m1148,2744l4322,2744e" filled="false" stroked="true" strokeweight=".72pt" strokecolor="#000000">
                <v:path arrowok="t"/>
              </v:shape>
            </v:group>
            <v:group style="position:absolute;left:1148;top:2752;width:3174;height:2" coordorigin="1148,2752" coordsize="3174,2">
              <v:shape style="position:absolute;left:1148;top:2752;width:3174;height:2" coordorigin="1148,2752" coordsize="3174,0" path="m1148,2752l4322,2752e" filled="false" stroked="true" strokeweight=".06pt" strokecolor="#d2d2d2">
                <v:path arrowok="t"/>
              </v:shape>
            </v:group>
            <v:group style="position:absolute;left:4336;top:2744;width:6352;height:2" coordorigin="4336,2744" coordsize="6352,2">
              <v:shape style="position:absolute;left:4336;top:2744;width:6352;height:2" coordorigin="4336,2744" coordsize="6352,0" path="m4336,2744l10687,2744e" filled="false" stroked="true" strokeweight=".72pt" strokecolor="#000000">
                <v:path arrowok="t"/>
              </v:shape>
            </v:group>
            <v:group style="position:absolute;left:1155;top:3471;width:2;height:705" coordorigin="1155,3471" coordsize="2,705">
              <v:shape style="position:absolute;left:1155;top:3471;width:2;height:705" coordorigin="1155,3471" coordsize="0,705" path="m1155,3471l1155,4175e" filled="false" stroked="true" strokeweight=".66pt" strokecolor="#d2d2d2">
                <v:path arrowok="t"/>
              </v:shape>
            </v:group>
            <v:group style="position:absolute;left:4311;top:3471;width:2;height:705" coordorigin="4311,3471" coordsize="2,705">
              <v:shape style="position:absolute;left:4311;top:3471;width:2;height:705" coordorigin="4311,3471" coordsize="0,705" path="m4311,3471l4311,4175e" filled="false" stroked="true" strokeweight="1.08pt" strokecolor="#d2d2d2">
                <v:path arrowok="t"/>
              </v:shape>
            </v:group>
            <v:group style="position:absolute;left:1162;top:3471;width:3139;height:353" coordorigin="1162,3471" coordsize="3139,353">
              <v:shape style="position:absolute;left:1162;top:3471;width:3139;height:353" coordorigin="1162,3471" coordsize="3139,353" path="m1162,3824l4300,3824,4300,3471,1162,3471,1162,3824xe" filled="true" fillcolor="#d2d2d2" stroked="false">
                <v:path arrowok="t"/>
                <v:fill type="solid"/>
              </v:shape>
            </v:group>
            <v:group style="position:absolute;left:1162;top:3824;width:3139;height:352" coordorigin="1162,3824" coordsize="3139,352">
              <v:shape style="position:absolute;left:1162;top:3824;width:3139;height:352" coordorigin="1162,3824" coordsize="3139,352" path="m1162,4175l4300,4175,4300,3824,1162,3824,1162,4175xe" filled="true" fillcolor="#d2d2d2" stroked="false">
                <v:path arrowok="t"/>
                <v:fill type="solid"/>
              </v:shape>
            </v:group>
            <v:group style="position:absolute;left:1148;top:3464;width:3174;height:2" coordorigin="1148,3464" coordsize="3174,2">
              <v:shape style="position:absolute;left:1148;top:3464;width:3174;height:2" coordorigin="1148,3464" coordsize="3174,0" path="m1148,3464l4322,3464e" filled="false" stroked="true" strokeweight=".72pt" strokecolor="#000000">
                <v:path arrowok="t"/>
              </v:shape>
            </v:group>
            <v:group style="position:absolute;left:1148;top:3471;width:3174;height:2" coordorigin="1148,3471" coordsize="3174,2">
              <v:shape style="position:absolute;left:1148;top:3471;width:3174;height:2" coordorigin="1148,3471" coordsize="3174,0" path="m1148,3471l4322,3471e" filled="false" stroked="true" strokeweight=".06pt" strokecolor="#d2d2d2">
                <v:path arrowok="t"/>
              </v:shape>
            </v:group>
            <v:group style="position:absolute;left:4336;top:3464;width:6352;height:2" coordorigin="4336,3464" coordsize="6352,2">
              <v:shape style="position:absolute;left:4336;top:3464;width:6352;height:2" coordorigin="4336,3464" coordsize="6352,0" path="m4336,3464l10687,3464e" filled="false" stroked="true" strokeweight=".72pt" strokecolor="#000000">
                <v:path arrowok="t"/>
              </v:shape>
            </v:group>
            <v:group style="position:absolute;left:4329;top:1938;width:2;height:2252" coordorigin="4329,1938" coordsize="2,2252">
              <v:shape style="position:absolute;left:4329;top:1938;width:2;height:2252" coordorigin="4329,1938" coordsize="0,2252" path="m4329,1938l4329,4190e" filled="false" stroked="true" strokeweight=".72pt" strokecolor="#000000">
                <v:path arrowok="t"/>
              </v:shape>
            </v:group>
            <v:group style="position:absolute;left:1155;top:4191;width:2;height:392" coordorigin="1155,4191" coordsize="2,392">
              <v:shape style="position:absolute;left:1155;top:4191;width:2;height:392" coordorigin="1155,4191" coordsize="0,392" path="m1155,4191l1155,4582e" filled="false" stroked="true" strokeweight=".66pt" strokecolor="#d2d2d2">
                <v:path arrowok="t"/>
              </v:shape>
            </v:group>
            <v:group style="position:absolute;left:10682;top:4191;width:2;height:392" coordorigin="10682,4191" coordsize="2,392">
              <v:shape style="position:absolute;left:10682;top:4191;width:2;height:392" coordorigin="10682,4191" coordsize="0,392" path="m10682,4191l10682,4582e" filled="false" stroked="true" strokeweight=".66pt" strokecolor="#d2d2d2">
                <v:path arrowok="t"/>
              </v:shape>
            </v:group>
            <v:group style="position:absolute;left:1162;top:4191;width:9514;height:392" coordorigin="1162,4191" coordsize="9514,392">
              <v:shape style="position:absolute;left:1162;top:4191;width:9514;height:392" coordorigin="1162,4191" coordsize="9514,392" path="m1162,4582l10675,4582,10675,4191,1162,4191,1162,4582xe" filled="true" fillcolor="#d2d2d2" stroked="false">
                <v:path arrowok="t"/>
                <v:fill type="solid"/>
              </v:shape>
            </v:group>
            <v:group style="position:absolute;left:1148;top:4182;width:3174;height:2" coordorigin="1148,4182" coordsize="3174,2">
              <v:shape style="position:absolute;left:1148;top:4182;width:3174;height:2" coordorigin="1148,4182" coordsize="3174,0" path="m1148,4182l4322,4182e" filled="false" stroked="true" strokeweight=".72pt" strokecolor="#000000">
                <v:path arrowok="t"/>
              </v:shape>
            </v:group>
            <v:group style="position:absolute;left:1148;top:4190;width:3174;height:2" coordorigin="1148,4190" coordsize="3174,2">
              <v:shape style="position:absolute;left:1148;top:4190;width:3174;height:2" coordorigin="1148,4190" coordsize="3174,0" path="m1148,4190l4322,4190e" filled="false" stroked="true" strokeweight=".06pt" strokecolor="#d2d2d2">
                <v:path arrowok="t"/>
              </v:shape>
            </v:group>
            <v:group style="position:absolute;left:4322;top:4190;width:15;height:2" coordorigin="4322,4190" coordsize="15,2">
              <v:shape style="position:absolute;left:4322;top:4190;width:15;height:2" coordorigin="4322,4190" coordsize="15,0" path="m4322,4190l4336,4190e" filled="false" stroked="true" strokeweight=".06pt" strokecolor="#d2d2d2">
                <v:path arrowok="t"/>
              </v:shape>
            </v:group>
            <v:group style="position:absolute;left:4336;top:4182;width:6352;height:2" coordorigin="4336,4182" coordsize="6352,2">
              <v:shape style="position:absolute;left:4336;top:4182;width:6352;height:2" coordorigin="4336,4182" coordsize="6352,0" path="m4336,4182l10687,4182e" filled="false" stroked="true" strokeweight=".72pt" strokecolor="#000000">
                <v:path arrowok="t"/>
              </v:shape>
            </v:group>
            <v:group style="position:absolute;left:4336;top:4190;width:6352;height:2" coordorigin="4336,4190" coordsize="6352,2">
              <v:shape style="position:absolute;left:4336;top:4190;width:6352;height:2" coordorigin="4336,4190" coordsize="6352,0" path="m4336,4190l10687,4190e" filled="false" stroked="true" strokeweight=".06pt" strokecolor="#d2d2d2">
                <v:path arrowok="t"/>
              </v:shape>
            </v:group>
            <v:group style="position:absolute;left:1155;top:4598;width:2;height:392" coordorigin="1155,4598" coordsize="2,392">
              <v:shape style="position:absolute;left:1155;top:4598;width:2;height:392" coordorigin="1155,4598" coordsize="0,392" path="m1155,4598l1155,4989e" filled="false" stroked="true" strokeweight=".66pt" strokecolor="#d2d2d2">
                <v:path arrowok="t"/>
              </v:shape>
            </v:group>
            <v:group style="position:absolute;left:4311;top:4598;width:2;height:392" coordorigin="4311,4598" coordsize="2,392">
              <v:shape style="position:absolute;left:4311;top:4598;width:2;height:392" coordorigin="4311,4598" coordsize="0,392" path="m4311,4598l4311,4989e" filled="false" stroked="true" strokeweight="1.08pt" strokecolor="#d2d2d2">
                <v:path arrowok="t"/>
              </v:shape>
            </v:group>
            <v:group style="position:absolute;left:1162;top:4598;width:3139;height:392" coordorigin="1162,4598" coordsize="3139,392">
              <v:shape style="position:absolute;left:1162;top:4598;width:3139;height:392" coordorigin="1162,4598" coordsize="3139,392" path="m1162,4989l4300,4989,4300,4598,1162,4598,1162,4989xe" filled="true" fillcolor="#d2d2d2" stroked="false">
                <v:path arrowok="t"/>
                <v:fill type="solid"/>
              </v:shape>
            </v:group>
            <v:group style="position:absolute;left:4346;top:4598;width:2;height:392" coordorigin="4346,4598" coordsize="2,392">
              <v:shape style="position:absolute;left:4346;top:4598;width:2;height:392" coordorigin="4346,4598" coordsize="0,392" path="m4346,4598l4346,4989e" filled="false" stroked="true" strokeweight="1.02pt" strokecolor="#d2d2d2">
                <v:path arrowok="t"/>
              </v:shape>
            </v:group>
            <v:group style="position:absolute;left:7635;top:4598;width:2;height:392" coordorigin="7635,4598" coordsize="2,392">
              <v:shape style="position:absolute;left:7635;top:4598;width:2;height:392" coordorigin="7635,4598" coordsize="0,392" path="m7635,4598l7635,4989e" filled="false" stroked="true" strokeweight="1.02pt" strokecolor="#d2d2d2">
                <v:path arrowok="t"/>
              </v:shape>
            </v:group>
            <v:group style="position:absolute;left:4356;top:4598;width:3268;height:392" coordorigin="4356,4598" coordsize="3268,392">
              <v:shape style="position:absolute;left:4356;top:4598;width:3268;height:392" coordorigin="4356,4598" coordsize="3268,392" path="m4356,4989l7624,4989,7624,4598,4356,4598,4356,4989xe" filled="true" fillcolor="#d2d2d2" stroked="false">
                <v:path arrowok="t"/>
                <v:fill type="solid"/>
              </v:shape>
            </v:group>
            <v:group style="position:absolute;left:7669;top:4598;width:2;height:392" coordorigin="7669,4598" coordsize="2,392">
              <v:shape style="position:absolute;left:7669;top:4598;width:2;height:392" coordorigin="7669,4598" coordsize="0,392" path="m7669,4598l7669,4989e" filled="false" stroked="true" strokeweight="1.02pt" strokecolor="#d2d2d2">
                <v:path arrowok="t"/>
              </v:shape>
            </v:group>
            <v:group style="position:absolute;left:10682;top:4598;width:2;height:392" coordorigin="10682,4598" coordsize="2,392">
              <v:shape style="position:absolute;left:10682;top:4598;width:2;height:392" coordorigin="10682,4598" coordsize="0,392" path="m10682,4598l10682,4989e" filled="false" stroked="true" strokeweight=".66pt" strokecolor="#d2d2d2">
                <v:path arrowok="t"/>
              </v:shape>
            </v:group>
            <v:group style="position:absolute;left:7680;top:4598;width:2996;height:392" coordorigin="7680,4598" coordsize="2996,392">
              <v:shape style="position:absolute;left:7680;top:4598;width:2996;height:392" coordorigin="7680,4598" coordsize="2996,392" path="m7680,4989l10675,4989,10675,4598,7680,4598,7680,4989xe" filled="true" fillcolor="#d2d2d2" stroked="false">
                <v:path arrowok="t"/>
                <v:fill type="solid"/>
              </v:shape>
            </v:group>
            <v:group style="position:absolute;left:1148;top:4589;width:3174;height:2" coordorigin="1148,4589" coordsize="3174,2">
              <v:shape style="position:absolute;left:1148;top:4589;width:3174;height:2" coordorigin="1148,4589" coordsize="3174,0" path="m1148,4589l4322,4589e" filled="false" stroked="true" strokeweight=".72pt" strokecolor="#000000">
                <v:path arrowok="t"/>
              </v:shape>
            </v:group>
            <v:group style="position:absolute;left:1148;top:4597;width:3174;height:2" coordorigin="1148,4597" coordsize="3174,2">
              <v:shape style="position:absolute;left:1148;top:4597;width:3174;height:2" coordorigin="1148,4597" coordsize="3174,0" path="m1148,4597l4322,4597e" filled="false" stroked="true" strokeweight=".06pt" strokecolor="#d2d2d2">
                <v:path arrowok="t"/>
              </v:shape>
            </v:group>
            <v:group style="position:absolute;left:4336;top:4589;width:3309;height:2" coordorigin="4336,4589" coordsize="3309,2">
              <v:shape style="position:absolute;left:4336;top:4589;width:3309;height:2" coordorigin="4336,4589" coordsize="3309,0" path="m4336,4589l7645,4589e" filled="false" stroked="true" strokeweight=".72pt" strokecolor="#000000">
                <v:path arrowok="t"/>
              </v:shape>
            </v:group>
            <v:group style="position:absolute;left:4336;top:4597;width:3309;height:2" coordorigin="4336,4597" coordsize="3309,2">
              <v:shape style="position:absolute;left:4336;top:4597;width:3309;height:2" coordorigin="4336,4597" coordsize="3309,0" path="m4336,4597l7645,4597e" filled="false" stroked="true" strokeweight=".06pt" strokecolor="#d2d2d2">
                <v:path arrowok="t"/>
              </v:shape>
            </v:group>
            <v:group style="position:absolute;left:7659;top:4589;width:3028;height:2" coordorigin="7659,4589" coordsize="3028,2">
              <v:shape style="position:absolute;left:7659;top:4589;width:3028;height:2" coordorigin="7659,4589" coordsize="3028,0" path="m7659,4589l10687,4589e" filled="false" stroked="true" strokeweight=".72pt" strokecolor="#000000">
                <v:path arrowok="t"/>
              </v:shape>
            </v:group>
            <v:group style="position:absolute;left:7659;top:4597;width:3028;height:2" coordorigin="7659,4597" coordsize="3028,2">
              <v:shape style="position:absolute;left:7659;top:4597;width:3028;height:2" coordorigin="7659,4597" coordsize="3028,0" path="m7659,4597l10687,4597e" filled="false" stroked="true" strokeweight=".06pt" strokecolor="#d2d2d2">
                <v:path arrowok="t"/>
              </v:shape>
            </v:group>
            <v:group style="position:absolute;left:1148;top:5004;width:3174;height:3120" coordorigin="1148,5004" coordsize="3174,3120">
              <v:shape style="position:absolute;left:1148;top:5004;width:3174;height:3120" coordorigin="1148,5004" coordsize="3174,3120" path="m1148,8124l4322,8124,4322,5004,1148,5004,1148,8124xe" filled="true" fillcolor="#d2d2d2" stroked="false">
                <v:path arrowok="t"/>
                <v:fill type="solid"/>
              </v:shape>
            </v:group>
            <v:group style="position:absolute;left:1155;top:8124;width:2;height:393" coordorigin="1155,8124" coordsize="2,393">
              <v:shape style="position:absolute;left:1155;top:8124;width:2;height:393" coordorigin="1155,8124" coordsize="0,393" path="m1155,8124l1155,8517e" filled="false" stroked="true" strokeweight=".66pt" strokecolor="#d2d2d2">
                <v:path arrowok="t"/>
              </v:shape>
            </v:group>
            <v:group style="position:absolute;left:4311;top:8124;width:2;height:393" coordorigin="4311,8124" coordsize="2,393">
              <v:shape style="position:absolute;left:4311;top:8124;width:2;height:393" coordorigin="4311,8124" coordsize="0,393" path="m4311,8124l4311,8517e" filled="false" stroked="true" strokeweight="1.08pt" strokecolor="#d2d2d2">
                <v:path arrowok="t"/>
              </v:shape>
            </v:group>
            <v:group style="position:absolute;left:1148;top:8517;width:3174;height:3120" coordorigin="1148,8517" coordsize="3174,3120">
              <v:shape style="position:absolute;left:1148;top:8517;width:3174;height:3120" coordorigin="1148,8517" coordsize="3174,3120" path="m1148,11637l4322,11637,4322,8517,1148,8517,1148,11637xe" filled="true" fillcolor="#d2d2d2" stroked="false">
                <v:path arrowok="t"/>
                <v:fill type="solid"/>
              </v:shape>
            </v:group>
            <v:group style="position:absolute;left:1162;top:8124;width:3139;height:393" coordorigin="1162,8124" coordsize="3139,393">
              <v:shape style="position:absolute;left:1162;top:8124;width:3139;height:393" coordorigin="1162,8124" coordsize="3139,393" path="m1162,8517l4300,8517,4300,8124,1162,8124,1162,8517xe" filled="true" fillcolor="#d2d2d2" stroked="false">
                <v:path arrowok="t"/>
                <v:fill type="solid"/>
              </v:shape>
            </v:group>
            <v:group style="position:absolute;left:7659;top:5004;width:3030;height:1404" coordorigin="7659,5004" coordsize="3030,1404">
              <v:shape style="position:absolute;left:7659;top:5004;width:3030;height:1404" coordorigin="7659,5004" coordsize="3030,1404" path="m7659,6408l10688,6408,10688,5004,7659,5004,7659,6408xe" filled="true" fillcolor="#ffffff" stroked="false">
                <v:path arrowok="t"/>
                <v:fill type="solid"/>
              </v:shape>
            </v:group>
            <v:group style="position:absolute;left:7669;top:6408;width:2;height:3825" coordorigin="7669,6408" coordsize="2,3825">
              <v:shape style="position:absolute;left:7669;top:6408;width:2;height:3825" coordorigin="7669,6408" coordsize="0,3825" path="m7669,6408l7669,10233e" filled="false" stroked="true" strokeweight="1.02pt" strokecolor="#ffffff">
                <v:path arrowok="t"/>
              </v:shape>
            </v:group>
            <v:group style="position:absolute;left:7659;top:10233;width:3030;height:1404" coordorigin="7659,10233" coordsize="3030,1404">
              <v:shape style="position:absolute;left:7659;top:10233;width:3030;height:1404" coordorigin="7659,10233" coordsize="3030,1404" path="m7659,11637l10688,11637,10688,10233,7659,10233,7659,11637xe" filled="true" fillcolor="#ffffff" stroked="false">
                <v:path arrowok="t"/>
                <v:fill type="solid"/>
              </v:shape>
            </v:group>
            <v:group style="position:absolute;left:7680;top:7072;width:2996;height:312" coordorigin="7680,7072" coordsize="2996,312">
              <v:shape style="position:absolute;left:7680;top:7072;width:2996;height:312" coordorigin="7680,7072" coordsize="2996,312" path="m7680,7384l10675,7384,10675,7072,7680,7072,7680,7384xe" filled="true" fillcolor="#ffffff" stroked="false">
                <v:path arrowok="t"/>
                <v:fill type="solid"/>
              </v:shape>
            </v:group>
            <v:group style="position:absolute;left:7680;top:7384;width:2996;height:312" coordorigin="7680,7384" coordsize="2996,312">
              <v:shape style="position:absolute;left:7680;top:7384;width:2996;height:312" coordorigin="7680,7384" coordsize="2996,312" path="m7680,7696l10675,7696,10675,7384,7680,7384,7680,7696xe" filled="true" fillcolor="#ffffff" stroked="false">
                <v:path arrowok="t"/>
                <v:fill type="solid"/>
              </v:shape>
            </v:group>
            <v:group style="position:absolute;left:7680;top:9256;width:2996;height:312" coordorigin="7680,9256" coordsize="2996,312">
              <v:shape style="position:absolute;left:7680;top:9256;width:2996;height:312" coordorigin="7680,9256" coordsize="2996,312" path="m7680,9568l10675,9568,10675,9256,7680,9256,7680,9568xe" filled="true" fillcolor="#ffffff" stroked="false">
                <v:path arrowok="t"/>
                <v:fill type="solid"/>
              </v:shape>
            </v:group>
            <v:group style="position:absolute;left:7680;top:9568;width:2996;height:312" coordorigin="7680,9568" coordsize="2996,312">
              <v:shape style="position:absolute;left:7680;top:9568;width:2996;height:312" coordorigin="7680,9568" coordsize="2996,312" path="m7680,9880l10675,9880,10675,9568,7680,9568,7680,9880xe" filled="true" fillcolor="#ffffff" stroked="false">
                <v:path arrowok="t"/>
                <v:fill type="solid"/>
              </v:shape>
            </v:group>
            <v:group style="position:absolute;left:7680;top:9880;width:2996;height:353" coordorigin="7680,9880" coordsize="2996,353">
              <v:shape style="position:absolute;left:7680;top:9880;width:2996;height:353" coordorigin="7680,9880" coordsize="2996,353" path="m7680,10233l10675,10233,10675,9880,7680,9880,7680,10233xe" filled="true" fillcolor="#ffffff" stroked="false">
                <v:path arrowok="t"/>
                <v:fill type="solid"/>
              </v:shape>
            </v:group>
            <v:group style="position:absolute;left:1148;top:4996;width:3174;height:2" coordorigin="1148,4996" coordsize="3174,2">
              <v:shape style="position:absolute;left:1148;top:4996;width:3174;height:2" coordorigin="1148,4996" coordsize="3174,0" path="m1148,4996l4322,4996e" filled="false" stroked="true" strokeweight=".72pt" strokecolor="#000000">
                <v:path arrowok="t"/>
              </v:shape>
            </v:group>
            <v:group style="position:absolute;left:1148;top:5004;width:3174;height:2" coordorigin="1148,5004" coordsize="3174,2">
              <v:shape style="position:absolute;left:1148;top:5004;width:3174;height:2" coordorigin="1148,5004" coordsize="3174,0" path="m1148,5004l4322,5004e" filled="false" stroked="true" strokeweight=".06pt" strokecolor="#d2d2d2">
                <v:path arrowok="t"/>
              </v:shape>
            </v:group>
            <v:group style="position:absolute;left:4336;top:4996;width:3309;height:2" coordorigin="4336,4996" coordsize="3309,2">
              <v:shape style="position:absolute;left:4336;top:4996;width:3309;height:2" coordorigin="4336,4996" coordsize="3309,0" path="m4336,4996l7645,4996e" filled="false" stroked="true" strokeweight=".72pt" strokecolor="#000000">
                <v:path arrowok="t"/>
              </v:shape>
            </v:group>
            <v:group style="position:absolute;left:7659;top:4996;width:3028;height:2" coordorigin="7659,4996" coordsize="3028,2">
              <v:shape style="position:absolute;left:7659;top:4996;width:3028;height:2" coordorigin="7659,4996" coordsize="3028,0" path="m7659,4996l10687,4996e" filled="false" stroked="true" strokeweight=".72pt" strokecolor="#000000">
                <v:path arrowok="t"/>
              </v:shape>
            </v:group>
            <v:group style="position:absolute;left:1148;top:11652;width:3174;height:1540" coordorigin="1148,11652" coordsize="3174,1540">
              <v:shape style="position:absolute;left:1148;top:11652;width:3174;height:1540" coordorigin="1148,11652" coordsize="3174,1540" path="m1148,13191l4322,13191,4322,11652,1148,11652,1148,13191xe" filled="true" fillcolor="#d2d2d2" stroked="false">
                <v:path arrowok="t"/>
                <v:fill type="solid"/>
              </v:shape>
            </v:group>
            <v:group style="position:absolute;left:1155;top:13191;width:2;height:393" coordorigin="1155,13191" coordsize="2,393">
              <v:shape style="position:absolute;left:1155;top:13191;width:2;height:393" coordorigin="1155,13191" coordsize="0,393" path="m1155,13191l1155,13584e" filled="false" stroked="true" strokeweight=".66pt" strokecolor="#d2d2d2">
                <v:path arrowok="t"/>
              </v:shape>
            </v:group>
            <v:group style="position:absolute;left:4311;top:13191;width:2;height:393" coordorigin="4311,13191" coordsize="2,393">
              <v:shape style="position:absolute;left:4311;top:13191;width:2;height:393" coordorigin="4311,13191" coordsize="0,393" path="m4311,13191l4311,13584e" filled="false" stroked="true" strokeweight="1.08pt" strokecolor="#d2d2d2">
                <v:path arrowok="t"/>
              </v:shape>
            </v:group>
            <v:group style="position:absolute;left:1148;top:13584;width:3174;height:1540" coordorigin="1148,13584" coordsize="3174,1540">
              <v:shape style="position:absolute;left:1148;top:13584;width:3174;height:1540" coordorigin="1148,13584" coordsize="3174,1540" path="m1148,15124l4322,15124,4322,13584,1148,13584,1148,15124xe" filled="true" fillcolor="#d2d2d2" stroked="false">
                <v:path arrowok="t"/>
                <v:fill type="solid"/>
              </v:shape>
            </v:group>
            <v:group style="position:absolute;left:1162;top:13191;width:3139;height:393" coordorigin="1162,13191" coordsize="3139,393">
              <v:shape style="position:absolute;left:1162;top:13191;width:3139;height:393" coordorigin="1162,13191" coordsize="3139,393" path="m1162,13584l4300,13584,4300,13191,1162,13191,1162,13584xe" filled="true" fillcolor="#d2d2d2" stroked="false">
                <v:path arrowok="t"/>
                <v:fill type="solid"/>
              </v:shape>
            </v:group>
            <v:group style="position:absolute;left:7669;top:13035;width:2;height:705" coordorigin="7669,13035" coordsize="2,705">
              <v:shape style="position:absolute;left:7669;top:13035;width:2;height:705" coordorigin="7669,13035" coordsize="0,705" path="m7669,13035l7669,13740e" filled="false" stroked="true" strokeweight="1.02pt" strokecolor="#ffffff">
                <v:path arrowok="t"/>
              </v:shape>
            </v:group>
            <v:group style="position:absolute;left:7659;top:13740;width:3030;height:1384" coordorigin="7659,13740" coordsize="3030,1384">
              <v:shape style="position:absolute;left:7659;top:13740;width:3030;height:1384" coordorigin="7659,13740" coordsize="3030,1384" path="m7659,15124l10688,15124,10688,13740,7659,13740,7659,15124xe" filled="true" fillcolor="#ffffff" stroked="false">
                <v:path arrowok="t"/>
                <v:fill type="solid"/>
              </v:shape>
            </v:group>
            <v:group style="position:absolute;left:7680;top:13388;width:2996;height:352" coordorigin="7680,13388" coordsize="2996,352">
              <v:shape style="position:absolute;left:7680;top:13388;width:2996;height:352" coordorigin="7680,13388" coordsize="2996,352" path="m7680,13740l10675,13740,10675,13388,7680,13388,7680,13740xe" filled="true" fillcolor="#ffffff" stroked="false">
                <v:path arrowok="t"/>
                <v:fill type="solid"/>
              </v:shape>
            </v:group>
            <v:group style="position:absolute;left:1148;top:11644;width:3174;height:2" coordorigin="1148,11644" coordsize="3174,2">
              <v:shape style="position:absolute;left:1148;top:11644;width:3174;height:2" coordorigin="1148,11644" coordsize="3174,0" path="m1148,11644l4322,11644e" filled="false" stroked="true" strokeweight=".72pt" strokecolor="#000000">
                <v:path arrowok="t"/>
              </v:shape>
            </v:group>
            <v:group style="position:absolute;left:1148;top:11652;width:3174;height:2" coordorigin="1148,11652" coordsize="3174,2">
              <v:shape style="position:absolute;left:1148;top:11652;width:3174;height:2" coordorigin="1148,11652" coordsize="3174,0" path="m1148,11652l4322,11652e" filled="false" stroked="true" strokeweight=".06pt" strokecolor="#d2d2d2">
                <v:path arrowok="t"/>
              </v:shape>
            </v:group>
            <v:group style="position:absolute;left:4336;top:11644;width:3309;height:2" coordorigin="4336,11644" coordsize="3309,2">
              <v:shape style="position:absolute;left:4336;top:11644;width:3309;height:2" coordorigin="4336,11644" coordsize="3309,0" path="m4336,11644l7645,11644e" filled="false" stroked="true" strokeweight=".72pt" strokecolor="#000000">
                <v:path arrowok="t"/>
              </v:shape>
            </v:group>
            <v:group style="position:absolute;left:7659;top:11644;width:3028;height:2" coordorigin="7659,11644" coordsize="3028,2">
              <v:shape style="position:absolute;left:7659;top:11644;width:3028;height:2" coordorigin="7659,11644" coordsize="3028,0" path="m7659,11644l10687,11644e" filled="false" stroked="true" strokeweight=".72pt" strokecolor="#000000">
                <v:path arrowok="t"/>
              </v:shape>
            </v:group>
            <v:group style="position:absolute;left:1133;top:1908;width:2;height:13246" coordorigin="1133,1908" coordsize="2,13246">
              <v:shape style="position:absolute;left:1133;top:1908;width:2;height:13246" coordorigin="1133,1908" coordsize="0,13246" path="m1133,1908l1133,15154e" filled="false" stroked="true" strokeweight="1.5pt" strokecolor="#000000">
                <v:path arrowok="t"/>
              </v:shape>
            </v:group>
            <v:group style="position:absolute;left:1148;top:15139;width:3174;height:2" coordorigin="1148,15139" coordsize="3174,2">
              <v:shape style="position:absolute;left:1148;top:15139;width:3174;height:2" coordorigin="1148,15139" coordsize="3174,0" path="m1148,15139l4322,15139e" filled="false" stroked="true" strokeweight="1.5pt" strokecolor="#000000">
                <v:path arrowok="t"/>
              </v:shape>
            </v:group>
            <v:group style="position:absolute;left:4329;top:4582;width:2;height:10542" coordorigin="4329,4582" coordsize="2,10542">
              <v:shape style="position:absolute;left:4329;top:4582;width:2;height:10542" coordorigin="4329,4582" coordsize="0,10542" path="m4329,4582l4329,15124e" filled="false" stroked="true" strokeweight=".72pt" strokecolor="#000000">
                <v:path arrowok="t"/>
              </v:shape>
            </v:group>
            <v:group style="position:absolute;left:4322;top:15139;width:30;height:2" coordorigin="4322,15139" coordsize="30,2">
              <v:shape style="position:absolute;left:4322;top:15139;width:30;height:2" coordorigin="4322,15139" coordsize="30,0" path="m4322,15139l4352,15139e" filled="false" stroked="true" strokeweight="1.5pt" strokecolor="#000000">
                <v:path arrowok="t"/>
              </v:shape>
            </v:group>
            <v:group style="position:absolute;left:4352;top:15139;width:3294;height:2" coordorigin="4352,15139" coordsize="3294,2">
              <v:shape style="position:absolute;left:4352;top:15139;width:3294;height:2" coordorigin="4352,15139" coordsize="3294,0" path="m4352,15139l7645,15139e" filled="false" stroked="true" strokeweight="1.5pt" strokecolor="#000000">
                <v:path arrowok="t"/>
              </v:shape>
            </v:group>
            <v:group style="position:absolute;left:7652;top:4582;width:2;height:10542" coordorigin="7652,4582" coordsize="2,10542">
              <v:shape style="position:absolute;left:7652;top:4582;width:2;height:10542" coordorigin="7652,4582" coordsize="0,10542" path="m7652,4582l7652,15124e" filled="false" stroked="true" strokeweight=".72pt" strokecolor="#000000">
                <v:path arrowok="t"/>
              </v:shape>
            </v:group>
            <v:group style="position:absolute;left:7645;top:15139;width:30;height:2" coordorigin="7645,15139" coordsize="30,2">
              <v:shape style="position:absolute;left:7645;top:15139;width:30;height:2" coordorigin="7645,15139" coordsize="30,0" path="m7645,15139l7675,15139e" filled="false" stroked="true" strokeweight="1.5pt" strokecolor="#000000">
                <v:path arrowok="t"/>
              </v:shape>
            </v:group>
            <v:group style="position:absolute;left:7675;top:15139;width:3013;height:2" coordorigin="7675,15139" coordsize="3013,2">
              <v:shape style="position:absolute;left:7675;top:15139;width:3013;height:2" coordorigin="7675,15139" coordsize="3013,0" path="m7675,15139l10687,15139e" filled="false" stroked="true" strokeweight="1.5pt" strokecolor="#000000">
                <v:path arrowok="t"/>
              </v:shape>
            </v:group>
            <v:group style="position:absolute;left:10702;top:1908;width:2;height:13246" coordorigin="10702,1908" coordsize="2,13246">
              <v:shape style="position:absolute;left:10702;top:1908;width:2;height:13246" coordorigin="10702,1908" coordsize="0,13246" path="m10702,1908l10702,15154e" filled="false" stroked="true" strokeweight="1.5pt" strokecolor="#000000">
                <v:path arrowok="t"/>
              </v:shape>
            </v:group>
            <w10:wrap type="none"/>
          </v:group>
        </w:pict>
      </w:r>
      <w:r>
        <w:rPr>
          <w:rFonts w:ascii="宋体" w:hAnsi="宋体" w:cs="宋体" w:eastAsia="宋体" w:hint="default"/>
          <w:sz w:val="18"/>
          <w:szCs w:val="18"/>
        </w:rPr>
        <w:t>润总额</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83"/>
          <w:sz w:val="18"/>
          <w:szCs w:val="18"/>
        </w:rPr>
        <w:t>、</w:t>
      </w:r>
      <w:r>
        <w:rPr>
          <w:rFonts w:ascii="宋体" w:hAnsi="宋体" w:cs="宋体" w:eastAsia="宋体" w:hint="default"/>
          <w:sz w:val="18"/>
          <w:szCs w:val="18"/>
        </w:rPr>
        <w:t>不足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83"/>
          <w:sz w:val="18"/>
          <w:szCs w:val="18"/>
        </w:rPr>
        <w:t>%</w:t>
      </w:r>
      <w:r>
        <w:rPr>
          <w:rFonts w:ascii="宋体" w:hAnsi="宋体" w:cs="宋体" w:eastAsia="宋体" w:hint="default"/>
          <w:sz w:val="18"/>
          <w:szCs w:val="18"/>
        </w:rPr>
        <w:t>（超过</w:t>
      </w:r>
      <w:r>
        <w:rPr>
          <w:rFonts w:ascii="宋体" w:hAnsi="宋体" w:cs="宋体" w:eastAsia="宋体" w:hint="default"/>
          <w:spacing w:val="-83"/>
          <w:sz w:val="18"/>
          <w:szCs w:val="18"/>
        </w:rPr>
        <w:t>、</w:t>
      </w:r>
      <w:r>
        <w:rPr>
          <w:rFonts w:ascii="宋体" w:hAnsi="宋体" w:cs="宋体" w:eastAsia="宋体" w:hint="default"/>
          <w:sz w:val="18"/>
          <w:szCs w:val="18"/>
        </w:rPr>
        <w:t>不足均含本数</w:t>
      </w:r>
      <w:r>
        <w:rPr>
          <w:rFonts w:ascii="宋体" w:hAnsi="宋体" w:cs="宋体" w:eastAsia="宋体" w:hint="default"/>
          <w:spacing w:val="-83"/>
          <w:sz w:val="18"/>
          <w:szCs w:val="18"/>
        </w:rPr>
        <w:t>）</w:t>
      </w:r>
      <w:r>
        <w:rPr>
          <w:rFonts w:ascii="宋体" w:hAnsi="宋体" w:cs="宋体" w:eastAsia="宋体" w:hint="default"/>
          <w:sz w:val="18"/>
          <w:szCs w:val="18"/>
        </w:rPr>
        <w:t>，</w:t>
      </w:r>
    </w:p>
    <w:p>
      <w:pPr>
        <w:spacing w:line="316" w:lineRule="auto" w:before="77"/>
        <w:ind w:left="4356" w:right="4263" w:firstLine="0"/>
        <w:jc w:val="both"/>
        <w:rPr>
          <w:rFonts w:ascii="宋体" w:hAnsi="宋体" w:cs="宋体" w:eastAsia="宋体" w:hint="default"/>
          <w:sz w:val="18"/>
          <w:szCs w:val="18"/>
        </w:rPr>
      </w:pPr>
      <w:r>
        <w:rPr>
          <w:rFonts w:ascii="宋体" w:hAnsi="宋体" w:cs="宋体" w:eastAsia="宋体" w:hint="default"/>
          <w:sz w:val="18"/>
          <w:szCs w:val="18"/>
        </w:rPr>
        <w:t>认定为重要缺陷；如果大于利润总额</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 认定为重大缺陷。②内部控制缺陷可能导 致或导致的损失与资产管理相关的，以总 资产作为指标衡量。如果该缺陷单独或连</w:t>
      </w:r>
    </w:p>
    <w:p>
      <w:pPr>
        <w:spacing w:after="0" w:line="316" w:lineRule="auto"/>
        <w:jc w:val="both"/>
        <w:rPr>
          <w:rFonts w:ascii="宋体" w:hAnsi="宋体" w:cs="宋体" w:eastAsia="宋体" w:hint="default"/>
          <w:sz w:val="18"/>
          <w:szCs w:val="18"/>
        </w:rPr>
        <w:sectPr>
          <w:type w:val="continuous"/>
          <w:pgSz w:w="11910" w:h="16840"/>
          <w:pgMar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3195"/>
        <w:gridCol w:w="3323"/>
        <w:gridCol w:w="3050"/>
      </w:tblGrid>
      <w:tr>
        <w:trPr>
          <w:trHeight w:val="1622" w:hRule="exact"/>
        </w:trPr>
        <w:tc>
          <w:tcPr>
            <w:tcW w:w="3195"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3323" w:type="dxa"/>
            <w:tcBorders>
              <w:top w:val="single" w:sz="12" w:space="0" w:color="000000"/>
              <w:left w:val="single" w:sz="6" w:space="0" w:color="000000"/>
              <w:bottom w:val="single" w:sz="6" w:space="0" w:color="000000"/>
              <w:right w:val="single" w:sz="6" w:space="0" w:color="000000"/>
            </w:tcBorders>
          </w:tcPr>
          <w:p>
            <w:pPr>
              <w:pStyle w:val="TableParagraph"/>
              <w:spacing w:line="319" w:lineRule="auto" w:before="10"/>
              <w:ind w:left="20" w:right="19"/>
              <w:jc w:val="both"/>
              <w:rPr>
                <w:rFonts w:ascii="宋体" w:hAnsi="宋体" w:cs="宋体" w:eastAsia="宋体" w:hint="default"/>
                <w:sz w:val="18"/>
                <w:szCs w:val="18"/>
              </w:rPr>
            </w:pPr>
            <w:r>
              <w:rPr>
                <w:rFonts w:ascii="宋体" w:hAnsi="宋体" w:cs="宋体" w:eastAsia="宋体" w:hint="default"/>
                <w:sz w:val="18"/>
                <w:szCs w:val="18"/>
              </w:rPr>
              <w:t>同其他缺陷可能导致的财务报告错报金额 小于总资产的</w:t>
            </w:r>
            <w:r>
              <w:rPr>
                <w:rFonts w:ascii="宋体" w:hAnsi="宋体" w:cs="宋体" w:eastAsia="宋体" w:hint="default"/>
                <w:spacing w:val="-63"/>
                <w:sz w:val="18"/>
                <w:szCs w:val="18"/>
              </w:rPr>
              <w:t> </w:t>
            </w:r>
            <w:r>
              <w:rPr>
                <w:rFonts w:ascii="宋体" w:hAnsi="宋体" w:cs="宋体" w:eastAsia="宋体" w:hint="default"/>
                <w:sz w:val="18"/>
                <w:szCs w:val="18"/>
              </w:rPr>
              <w:t>0.5%</w:t>
            </w:r>
            <w:r>
              <w:rPr>
                <w:rFonts w:ascii="宋体" w:hAnsi="宋体" w:cs="宋体" w:eastAsia="宋体" w:hint="default"/>
                <w:sz w:val="18"/>
                <w:szCs w:val="18"/>
              </w:rPr>
              <w:t>，认定为一般缺陷；如</w:t>
            </w:r>
            <w:r>
              <w:rPr>
                <w:rFonts w:ascii="宋体" w:hAnsi="宋体" w:cs="宋体" w:eastAsia="宋体" w:hint="default"/>
                <w:spacing w:val="-8"/>
                <w:sz w:val="18"/>
                <w:szCs w:val="18"/>
              </w:rPr>
              <w:t> </w:t>
            </w:r>
            <w:r>
              <w:rPr>
                <w:rFonts w:ascii="宋体" w:hAnsi="宋体" w:cs="宋体" w:eastAsia="宋体" w:hint="default"/>
                <w:sz w:val="18"/>
                <w:szCs w:val="18"/>
              </w:rPr>
              <w:t>果超过资产总额</w:t>
            </w:r>
            <w:r>
              <w:rPr>
                <w:rFonts w:ascii="宋体" w:hAnsi="宋体" w:cs="宋体" w:eastAsia="宋体" w:hint="default"/>
                <w:spacing w:val="-42"/>
                <w:sz w:val="18"/>
                <w:szCs w:val="18"/>
              </w:rPr>
              <w:t> </w:t>
            </w:r>
            <w:r>
              <w:rPr>
                <w:rFonts w:ascii="宋体" w:hAnsi="宋体" w:cs="宋体" w:eastAsia="宋体" w:hint="default"/>
                <w:spacing w:val="-4"/>
                <w:sz w:val="18"/>
                <w:szCs w:val="18"/>
              </w:rPr>
              <w:t>0.5%</w:t>
            </w:r>
            <w:r>
              <w:rPr>
                <w:rFonts w:ascii="宋体" w:hAnsi="宋体" w:cs="宋体" w:eastAsia="宋体" w:hint="default"/>
                <w:spacing w:val="-4"/>
                <w:sz w:val="18"/>
                <w:szCs w:val="18"/>
              </w:rPr>
              <w:t>、不足</w:t>
            </w:r>
            <w:r>
              <w:rPr>
                <w:rFonts w:ascii="宋体" w:hAnsi="宋体" w:cs="宋体" w:eastAsia="宋体" w:hint="default"/>
                <w:spacing w:val="-41"/>
                <w:sz w:val="18"/>
                <w:szCs w:val="18"/>
              </w:rPr>
              <w:t> </w:t>
            </w:r>
            <w:r>
              <w:rPr>
                <w:rFonts w:ascii="宋体" w:hAnsi="宋体" w:cs="宋体" w:eastAsia="宋体" w:hint="default"/>
                <w:spacing w:val="-7"/>
                <w:sz w:val="18"/>
                <w:szCs w:val="18"/>
              </w:rPr>
              <w:t>1%</w:t>
            </w:r>
            <w:r>
              <w:rPr>
                <w:rFonts w:ascii="宋体" w:hAnsi="宋体" w:cs="宋体" w:eastAsia="宋体" w:hint="default"/>
                <w:spacing w:val="-7"/>
                <w:sz w:val="18"/>
                <w:szCs w:val="18"/>
              </w:rPr>
              <w:t>（超过、不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足均含本数），认定为重要缺陷；如果大 于总资产</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，认定为重大缺陷。</w:t>
            </w:r>
          </w:p>
        </w:tc>
        <w:tc>
          <w:tcPr>
            <w:tcW w:w="3050" w:type="dxa"/>
            <w:tcBorders>
              <w:top w:val="single" w:sz="12" w:space="0" w:color="000000"/>
              <w:left w:val="single" w:sz="6" w:space="0" w:color="000000"/>
              <w:bottom w:val="single" w:sz="6" w:space="0" w:color="000000"/>
              <w:right w:val="single" w:sz="12" w:space="0" w:color="000000"/>
            </w:tcBorders>
          </w:tcPr>
          <w:p>
            <w:pPr/>
          </w:p>
        </w:tc>
      </w:tr>
      <w:tr>
        <w:trPr>
          <w:trHeight w:val="407" w:hRule="exact"/>
        </w:trPr>
        <w:tc>
          <w:tcPr>
            <w:tcW w:w="31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3"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w:t>
            </w:r>
          </w:p>
        </w:tc>
      </w:tr>
      <w:tr>
        <w:trPr>
          <w:trHeight w:val="408" w:hRule="exact"/>
        </w:trPr>
        <w:tc>
          <w:tcPr>
            <w:tcW w:w="31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3"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w:t>
            </w:r>
          </w:p>
        </w:tc>
      </w:tr>
      <w:tr>
        <w:trPr>
          <w:trHeight w:val="407" w:hRule="exact"/>
        </w:trPr>
        <w:tc>
          <w:tcPr>
            <w:tcW w:w="31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3"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w:t>
            </w:r>
          </w:p>
        </w:tc>
      </w:tr>
      <w:tr>
        <w:trPr>
          <w:trHeight w:val="415" w:hRule="exact"/>
        </w:trPr>
        <w:tc>
          <w:tcPr>
            <w:tcW w:w="31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3" w:type="dxa"/>
            <w:gridSpan w:val="2"/>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w:t>
            </w:r>
          </w:p>
        </w:tc>
      </w:tr>
    </w:tbl>
    <w:p>
      <w:pPr>
        <w:pStyle w:val="Heading2"/>
        <w:spacing w:line="240" w:lineRule="auto" w:before="40"/>
        <w:ind w:left="1134" w:right="0"/>
        <w:jc w:val="left"/>
        <w:rPr>
          <w:b w:val="0"/>
          <w:bCs w:val="0"/>
        </w:rPr>
      </w:pPr>
      <w:bookmarkStart w:name="十、内部控制审计报告或鉴证报告" w:id="144"/>
      <w:bookmarkEnd w:id="144"/>
      <w:r>
        <w:rPr>
          <w:b w:val="0"/>
          <w:bCs w:val="0"/>
        </w:rPr>
      </w:r>
      <w:r>
        <w:rPr/>
        <w:t>十、内部控制审计报告或鉴证报告</w:t>
      </w:r>
      <w:r>
        <w:rPr>
          <w:b w:val="0"/>
          <w:bCs w:val="0"/>
        </w:rPr>
      </w:r>
    </w:p>
    <w:p>
      <w:pPr>
        <w:pStyle w:val="BodyText"/>
        <w:spacing w:line="240" w:lineRule="auto" w:before="177"/>
        <w:ind w:right="0"/>
        <w:jc w:val="left"/>
      </w:pPr>
      <w:r>
        <w:rPr/>
        <w:t>内部控制鉴证报告</w:t>
      </w:r>
    </w:p>
    <w:p>
      <w:pPr>
        <w:spacing w:line="240" w:lineRule="auto" w:before="12"/>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2663"/>
        <w:gridCol w:w="6906"/>
      </w:tblGrid>
      <w:tr>
        <w:trPr>
          <w:trHeight w:val="415" w:hRule="exact"/>
        </w:trPr>
        <w:tc>
          <w:tcPr>
            <w:tcW w:w="9569" w:type="dxa"/>
            <w:gridSpan w:val="2"/>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9" w:hRule="exact"/>
        </w:trPr>
        <w:tc>
          <w:tcPr>
            <w:tcW w:w="9569" w:type="dxa"/>
            <w:gridSpan w:val="2"/>
            <w:tcBorders>
              <w:top w:val="single" w:sz="6" w:space="0" w:color="000000"/>
              <w:left w:val="single" w:sz="12" w:space="0" w:color="000000"/>
              <w:bottom w:val="single" w:sz="6" w:space="0" w:color="000000"/>
              <w:right w:val="single" w:sz="12" w:space="0" w:color="000000"/>
            </w:tcBorders>
          </w:tcPr>
          <w:p>
            <w:pPr>
              <w:pStyle w:val="TableParagraph"/>
              <w:spacing w:line="316" w:lineRule="auto" w:before="51"/>
              <w:ind w:left="13" w:right="74" w:firstLine="360"/>
              <w:jc w:val="left"/>
              <w:rPr>
                <w:rFonts w:ascii="宋体" w:hAnsi="宋体" w:cs="宋体" w:eastAsia="宋体" w:hint="default"/>
                <w:sz w:val="18"/>
                <w:szCs w:val="18"/>
              </w:rPr>
            </w:pPr>
            <w:r>
              <w:rPr>
                <w:rFonts w:ascii="宋体" w:hAnsi="宋体" w:cs="宋体" w:eastAsia="宋体" w:hint="default"/>
                <w:sz w:val="18"/>
                <w:szCs w:val="18"/>
              </w:rPr>
              <w:t>我们认为，光一科技按照《企业内部控制基本规范》及相关规定于</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日在所有重大方面保持了有效的 财务报告内部控制。</w:t>
            </w:r>
          </w:p>
        </w:tc>
      </w:tr>
      <w:tr>
        <w:trPr>
          <w:trHeight w:val="407" w:hRule="exact"/>
        </w:trPr>
        <w:tc>
          <w:tcPr>
            <w:tcW w:w="26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7" w:hRule="exact"/>
        </w:trPr>
        <w:tc>
          <w:tcPr>
            <w:tcW w:w="26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7" w:hRule="exact"/>
        </w:trPr>
        <w:tc>
          <w:tcPr>
            <w:tcW w:w="26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《光一科技：</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年度内部控制鉴证报告》</w:t>
            </w:r>
          </w:p>
        </w:tc>
      </w:tr>
      <w:tr>
        <w:trPr>
          <w:trHeight w:val="407" w:hRule="exact"/>
        </w:trPr>
        <w:tc>
          <w:tcPr>
            <w:tcW w:w="26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16" w:hRule="exact"/>
        </w:trPr>
        <w:tc>
          <w:tcPr>
            <w:tcW w:w="266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63"/>
        <w:ind w:left="1134" w:right="0"/>
        <w:jc w:val="left"/>
      </w:pPr>
      <w:r>
        <w:rPr/>
        <w:t>会计师事务所是否出具非标准意见的内部控制鉴证报告</w:t>
      </w:r>
    </w:p>
    <w:p>
      <w:pPr>
        <w:spacing w:line="240" w:lineRule="auto" w:before="10"/>
        <w:rPr>
          <w:rFonts w:ascii="宋体" w:hAnsi="宋体" w:cs="宋体" w:eastAsia="宋体" w:hint="default"/>
          <w:sz w:val="14"/>
          <w:szCs w:val="14"/>
        </w:rPr>
      </w:pPr>
    </w:p>
    <w:p>
      <w:pPr>
        <w:pStyle w:val="BodyText"/>
        <w:spacing w:line="408" w:lineRule="auto"/>
        <w:ind w:left="1134" w:right="3612"/>
        <w:jc w:val="left"/>
      </w:pPr>
      <w:r>
        <w:rPr/>
        <w:t>□ 是 √ 否 会计师事务所出具的内部控制鉴证报告与董事会的自我评价报告意见是否一致</w:t>
      </w:r>
    </w:p>
    <w:p>
      <w:pPr>
        <w:pStyle w:val="BodyText"/>
        <w:spacing w:line="240" w:lineRule="auto" w:before="46"/>
        <w:ind w:right="0"/>
        <w:jc w:val="left"/>
      </w:pPr>
      <w:r>
        <w:rPr/>
        <w:t>√ 是 □ 否</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right="1130"/>
        <w:jc w:val="center"/>
        <w:rPr>
          <w:b w:val="0"/>
          <w:bCs w:val="0"/>
        </w:rPr>
      </w:pPr>
      <w:bookmarkStart w:name="第十节 财务报告" w:id="145"/>
      <w:bookmarkEnd w:id="145"/>
      <w:r>
        <w:rPr>
          <w:b w:val="0"/>
          <w:bCs w:val="0"/>
        </w:rPr>
      </w:r>
      <w:bookmarkStart w:name="_bookmark9" w:id="146"/>
      <w:bookmarkEnd w:id="146"/>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审计报告" w:id="147"/>
      <w:bookmarkEnd w:id="147"/>
      <w:r>
        <w:rPr>
          <w:b w:val="0"/>
          <w:bCs w:val="0"/>
        </w:rPr>
      </w:r>
      <w:r>
        <w:rPr/>
        <w:t>一、审计报告</w:t>
      </w:r>
      <w:r>
        <w:rPr>
          <w:b w:val="0"/>
          <w:bCs w:val="0"/>
        </w:rPr>
      </w:r>
    </w:p>
    <w:p>
      <w:pPr>
        <w:spacing w:line="240" w:lineRule="auto" w:before="9"/>
        <w:rPr>
          <w:rFonts w:ascii="宋体" w:hAnsi="宋体" w:cs="宋体" w:eastAsia="宋体" w:hint="default"/>
          <w:b/>
          <w:bCs/>
          <w:sz w:val="8"/>
          <w:szCs w:val="8"/>
        </w:rPr>
      </w:pPr>
    </w:p>
    <w:tbl>
      <w:tblPr>
        <w:tblW w:w="0" w:type="auto"/>
        <w:jc w:val="left"/>
        <w:tblInd w:w="1118" w:type="dxa"/>
        <w:tblLayout w:type="fixed"/>
        <w:tblCellMar>
          <w:top w:w="0" w:type="dxa"/>
          <w:left w:w="0" w:type="dxa"/>
          <w:bottom w:w="0" w:type="dxa"/>
          <w:right w:w="0" w:type="dxa"/>
        </w:tblCellMar>
        <w:tblLook w:val="01E0"/>
      </w:tblPr>
      <w:tblGrid>
        <w:gridCol w:w="4774"/>
        <w:gridCol w:w="4795"/>
      </w:tblGrid>
      <w:tr>
        <w:trPr>
          <w:trHeight w:val="415" w:hRule="exact"/>
        </w:trPr>
        <w:tc>
          <w:tcPr>
            <w:tcW w:w="477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95"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7" w:hRule="exact"/>
        </w:trPr>
        <w:tc>
          <w:tcPr>
            <w:tcW w:w="477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95"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left="2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7" w:hRule="exact"/>
        </w:trPr>
        <w:tc>
          <w:tcPr>
            <w:tcW w:w="477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95"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left="20"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7" w:hRule="exact"/>
        </w:trPr>
        <w:tc>
          <w:tcPr>
            <w:tcW w:w="477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95"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众会字</w:t>
            </w:r>
            <w:r>
              <w:rPr>
                <w:rFonts w:ascii="宋体" w:hAnsi="宋体" w:cs="宋体" w:eastAsia="宋体" w:hint="default"/>
                <w:sz w:val="18"/>
                <w:szCs w:val="18"/>
              </w:rPr>
              <w:t>(2016)</w:t>
            </w:r>
            <w:r>
              <w:rPr>
                <w:rFonts w:ascii="宋体" w:hAnsi="宋体" w:cs="宋体" w:eastAsia="宋体" w:hint="default"/>
                <w:sz w:val="18"/>
                <w:szCs w:val="18"/>
              </w:rPr>
              <w:t>第 </w:t>
            </w:r>
            <w:r>
              <w:rPr>
                <w:rFonts w:ascii="宋体" w:hAnsi="宋体" w:cs="宋体" w:eastAsia="宋体" w:hint="default"/>
                <w:sz w:val="18"/>
                <w:szCs w:val="18"/>
              </w:rPr>
              <w:t>2318</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14" w:hRule="exact"/>
        </w:trPr>
        <w:tc>
          <w:tcPr>
            <w:tcW w:w="477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95"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文爱凤、陈芝莲</w:t>
            </w:r>
          </w:p>
        </w:tc>
      </w:tr>
    </w:tbl>
    <w:p>
      <w:pPr>
        <w:pStyle w:val="BodyText"/>
        <w:spacing w:line="240" w:lineRule="auto" w:before="63"/>
        <w:ind w:left="1131" w:right="1130"/>
        <w:jc w:val="center"/>
      </w:pPr>
      <w:r>
        <w:rPr/>
        <w:t>审计报告正文</w:t>
      </w:r>
    </w:p>
    <w:p>
      <w:pPr>
        <w:spacing w:line="240" w:lineRule="auto" w:before="1"/>
        <w:rPr>
          <w:rFonts w:ascii="宋体" w:hAnsi="宋体" w:cs="宋体" w:eastAsia="宋体" w:hint="default"/>
          <w:sz w:val="12"/>
          <w:szCs w:val="12"/>
        </w:rPr>
      </w:pPr>
    </w:p>
    <w:p>
      <w:pPr>
        <w:spacing w:line="408" w:lineRule="auto" w:before="35"/>
        <w:ind w:left="1553" w:right="0" w:hanging="420"/>
        <w:jc w:val="left"/>
        <w:rPr>
          <w:rFonts w:ascii="宋体" w:hAnsi="宋体" w:cs="宋体" w:eastAsia="宋体" w:hint="default"/>
          <w:sz w:val="21"/>
          <w:szCs w:val="21"/>
        </w:rPr>
      </w:pPr>
      <w:r>
        <w:rPr>
          <w:rFonts w:ascii="宋体" w:hAnsi="宋体" w:cs="宋体" w:eastAsia="宋体" w:hint="default"/>
          <w:b/>
          <w:bCs/>
          <w:sz w:val="21"/>
          <w:szCs w:val="21"/>
        </w:rPr>
        <w:t>光一科技股份有限公司全体股东：</w:t>
      </w:r>
      <w:r>
        <w:rPr>
          <w:rFonts w:ascii="宋体" w:hAnsi="宋体" w:cs="宋体" w:eastAsia="宋体" w:hint="default"/>
          <w:b/>
          <w:bCs/>
          <w:w w:val="99"/>
          <w:sz w:val="21"/>
          <w:szCs w:val="21"/>
        </w:rPr>
        <w:t> </w:t>
      </w:r>
      <w:r>
        <w:rPr>
          <w:rFonts w:ascii="宋体" w:hAnsi="宋体" w:cs="宋体" w:eastAsia="宋体" w:hint="default"/>
          <w:spacing w:val="-1"/>
          <w:sz w:val="21"/>
          <w:szCs w:val="21"/>
        </w:rPr>
        <w:t>我们审计了后附的光一科技股份有限公司</w:t>
      </w:r>
      <w:r>
        <w:rPr>
          <w:rFonts w:ascii="宋体" w:hAnsi="宋体" w:cs="宋体" w:eastAsia="宋体" w:hint="default"/>
          <w:spacing w:val="-1"/>
          <w:sz w:val="21"/>
          <w:szCs w:val="21"/>
        </w:rPr>
        <w:t>(</w:t>
      </w:r>
      <w:r>
        <w:rPr>
          <w:rFonts w:ascii="宋体" w:hAnsi="宋体" w:cs="宋体" w:eastAsia="宋体" w:hint="default"/>
          <w:spacing w:val="-1"/>
          <w:sz w:val="21"/>
          <w:szCs w:val="21"/>
        </w:rPr>
        <w:t>以下简称光一公司</w:t>
      </w:r>
      <w:r>
        <w:rPr>
          <w:rFonts w:ascii="宋体" w:hAnsi="宋体" w:cs="宋体" w:eastAsia="宋体" w:hint="default"/>
          <w:spacing w:val="-1"/>
          <w:sz w:val="21"/>
          <w:szCs w:val="21"/>
        </w:rPr>
        <w:t>)</w:t>
      </w:r>
      <w:r>
        <w:rPr>
          <w:rFonts w:ascii="宋体" w:hAnsi="宋体" w:cs="宋体" w:eastAsia="宋体" w:hint="default"/>
          <w:spacing w:val="-1"/>
          <w:sz w:val="21"/>
          <w:szCs w:val="21"/>
        </w:rPr>
        <w:t>财务报表，包括</w:t>
      </w:r>
      <w:r>
        <w:rPr>
          <w:rFonts w:ascii="宋体" w:hAnsi="宋体" w:cs="宋体" w:eastAsia="宋体" w:hint="default"/>
          <w:spacing w:val="-1"/>
          <w:sz w:val="21"/>
          <w:szCs w:val="21"/>
        </w:rPr>
        <w:t>2015</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日的合并</w:t>
      </w:r>
    </w:p>
    <w:p>
      <w:pPr>
        <w:pStyle w:val="BodyText"/>
        <w:spacing w:line="408" w:lineRule="auto" w:before="46"/>
        <w:ind w:left="1134" w:right="0"/>
        <w:jc w:val="left"/>
      </w:pPr>
      <w:r>
        <w:rPr>
          <w:spacing w:val="-1"/>
        </w:rPr>
        <w:t>及公司资产负债表，</w:t>
      </w:r>
      <w:r>
        <w:rPr>
          <w:rFonts w:ascii="宋体" w:hAnsi="宋体" w:cs="宋体" w:eastAsia="宋体" w:hint="default"/>
          <w:spacing w:val="-1"/>
        </w:rPr>
        <w:t>2015</w:t>
      </w:r>
      <w:r>
        <w:rPr>
          <w:spacing w:val="-1"/>
        </w:rPr>
        <w:t>年度的合并及公司利润表、合并及公司现金流量表、合并所有者权益变动表及公</w:t>
      </w:r>
      <w:r>
        <w:rPr>
          <w:spacing w:val="-82"/>
        </w:rPr>
        <w:t> </w:t>
      </w:r>
      <w:r>
        <w:rPr>
          <w:spacing w:val="-82"/>
        </w:rPr>
      </w:r>
      <w:r>
        <w:rPr/>
        <w:t>司所有者权益变动表以及财务报表附注。</w:t>
      </w:r>
    </w:p>
    <w:p>
      <w:pPr>
        <w:spacing w:line="408" w:lineRule="auto" w:before="46"/>
        <w:ind w:left="1553" w:right="0" w:hanging="8"/>
        <w:jc w:val="left"/>
        <w:rPr>
          <w:rFonts w:ascii="宋体" w:hAnsi="宋体" w:cs="宋体" w:eastAsia="宋体" w:hint="default"/>
          <w:sz w:val="21"/>
          <w:szCs w:val="21"/>
        </w:rPr>
      </w:pPr>
      <w:r>
        <w:rPr>
          <w:rFonts w:ascii="宋体" w:hAnsi="宋体" w:cs="宋体" w:eastAsia="宋体" w:hint="default"/>
          <w:b/>
          <w:bCs/>
          <w:sz w:val="21"/>
          <w:szCs w:val="21"/>
        </w:rPr>
        <w:t>一、管理层对合并及公司财务报表的责任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编制和公允列报财务报表是光一公司管理层的责任，这种责任包括：</w:t>
      </w:r>
      <w:r>
        <w:rPr>
          <w:rFonts w:ascii="宋体" w:hAnsi="宋体" w:cs="宋体" w:eastAsia="宋体" w:hint="default"/>
          <w:sz w:val="21"/>
          <w:szCs w:val="21"/>
        </w:rPr>
        <w:t>(1)</w:t>
      </w:r>
      <w:r>
        <w:rPr>
          <w:rFonts w:ascii="宋体" w:hAnsi="宋体" w:cs="宋体" w:eastAsia="宋体" w:hint="default"/>
          <w:sz w:val="21"/>
          <w:szCs w:val="21"/>
        </w:rPr>
        <w:t>按照企业会计准则的规定编</w:t>
      </w:r>
    </w:p>
    <w:p>
      <w:pPr>
        <w:pStyle w:val="BodyText"/>
        <w:spacing w:line="408" w:lineRule="auto" w:before="46"/>
        <w:ind w:left="1134" w:right="0"/>
        <w:jc w:val="left"/>
      </w:pPr>
      <w:r>
        <w:rPr/>
        <w:t>制财务报表，并使其实现公允反映；</w:t>
      </w:r>
      <w:r>
        <w:rPr>
          <w:rFonts w:ascii="宋体" w:hAnsi="宋体" w:cs="宋体" w:eastAsia="宋体" w:hint="default"/>
        </w:rPr>
        <w:t>(2)</w:t>
      </w:r>
      <w:r>
        <w:rPr/>
        <w:t>设计、执行和维护必要的内部控制，以使财务报表不存在由于舞</w:t>
      </w:r>
      <w:r>
        <w:rPr>
          <w:spacing w:val="-32"/>
        </w:rPr>
        <w:t> </w:t>
      </w:r>
      <w:r>
        <w:rPr>
          <w:spacing w:val="-32"/>
        </w:rPr>
      </w:r>
      <w:r>
        <w:rPr/>
        <w:t>弊或错误导致的重大错报。</w:t>
      </w:r>
    </w:p>
    <w:p>
      <w:pPr>
        <w:pStyle w:val="BodyText"/>
        <w:spacing w:line="408" w:lineRule="auto" w:before="46"/>
        <w:ind w:left="1554" w:right="0" w:hanging="9"/>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w:t>
      </w:r>
    </w:p>
    <w:p>
      <w:pPr>
        <w:pStyle w:val="BodyText"/>
        <w:spacing w:line="408" w:lineRule="auto" w:before="46"/>
        <w:ind w:left="1134" w:right="0"/>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408" w:lineRule="auto" w:before="46"/>
        <w:ind w:left="1134" w:right="1130"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408" w:lineRule="auto" w:before="46"/>
        <w:ind w:left="1546" w:right="2983" w:firstLine="7"/>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40" w:lineRule="auto" w:before="46"/>
        <w:ind w:left="1554" w:right="0"/>
        <w:jc w:val="left"/>
      </w:pPr>
      <w:r>
        <w:rPr>
          <w:spacing w:val="3"/>
        </w:rPr>
        <w:t>我们认为，光一公司财务报表在所有重大方面按照企业会计准则的规定编制，公允反映了光一公司</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日的合并及公司财务状况以及</w:t>
      </w:r>
      <w:r>
        <w:rPr>
          <w:rFonts w:ascii="宋体" w:hAnsi="宋体" w:cs="宋体" w:eastAsia="宋体" w:hint="default"/>
        </w:rPr>
        <w:t>2015</w:t>
      </w:r>
      <w:r>
        <w:rPr/>
        <w:t>年度的合并及公司经营成果和合并及公司现金流量。</w:t>
      </w:r>
    </w:p>
    <w:p>
      <w:pPr>
        <w:spacing w:line="396" w:lineRule="auto" w:before="170"/>
        <w:ind w:left="1134" w:right="7392" w:firstLine="0"/>
        <w:jc w:val="left"/>
        <w:rPr>
          <w:rFonts w:ascii="宋体" w:hAnsi="宋体" w:cs="宋体" w:eastAsia="宋体" w:hint="default"/>
          <w:sz w:val="20"/>
          <w:szCs w:val="20"/>
        </w:rPr>
      </w:pPr>
      <w:bookmarkStart w:name="二、财务报表" w:id="148"/>
      <w:bookmarkEnd w:id="148"/>
      <w:r>
        <w:rPr/>
      </w: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z w:val="21"/>
          <w:szCs w:val="21"/>
        </w:rPr>
        <w:t>财务附注中报表的单位为：人民币元 </w:t>
      </w:r>
      <w:bookmarkStart w:name="1、合并资产负债表" w:id="149"/>
      <w:bookmarkEnd w:id="149"/>
      <w:r>
        <w:rPr>
          <w:rFonts w:ascii="宋体" w:hAnsi="宋体" w:cs="宋体" w:eastAsia="宋体" w:hint="default"/>
          <w:sz w:val="21"/>
          <w:szCs w:val="21"/>
        </w:rPr>
      </w:r>
      <w:r>
        <w:rPr>
          <w:rFonts w:ascii="宋体" w:hAnsi="宋体" w:cs="宋体" w:eastAsia="宋体" w:hint="default"/>
          <w:b/>
          <w:bCs/>
          <w:sz w:val="20"/>
          <w:szCs w:val="20"/>
        </w:rPr>
        <w:t>1</w:t>
      </w:r>
      <w:r>
        <w:rPr>
          <w:rFonts w:ascii="宋体" w:hAnsi="宋体" w:cs="宋体" w:eastAsia="宋体" w:hint="default"/>
          <w:b/>
          <w:bCs/>
          <w:sz w:val="20"/>
          <w:szCs w:val="20"/>
        </w:rPr>
        <w:t>、合并资产负债表</w:t>
      </w:r>
      <w:r>
        <w:rPr>
          <w:rFonts w:ascii="宋体" w:hAnsi="宋体" w:cs="宋体" w:eastAsia="宋体" w:hint="default"/>
          <w:sz w:val="20"/>
          <w:szCs w:val="20"/>
        </w:rPr>
      </w:r>
    </w:p>
    <w:p>
      <w:pPr>
        <w:spacing w:before="92"/>
        <w:ind w:left="1134" w:right="0" w:firstLine="0"/>
        <w:jc w:val="left"/>
        <w:rPr>
          <w:rFonts w:ascii="宋体" w:hAnsi="宋体" w:cs="宋体" w:eastAsia="宋体" w:hint="default"/>
          <w:sz w:val="18"/>
          <w:szCs w:val="18"/>
        </w:rPr>
      </w:pPr>
      <w:r>
        <w:rPr>
          <w:rFonts w:ascii="宋体" w:hAnsi="宋体" w:cs="宋体" w:eastAsia="宋体" w:hint="default"/>
          <w:sz w:val="18"/>
          <w:szCs w:val="18"/>
        </w:rPr>
        <w:t>编制单位：光一科技股份有限公司</w:t>
      </w:r>
    </w:p>
    <w:p>
      <w:pPr>
        <w:spacing w:line="240" w:lineRule="auto" w:before="10"/>
        <w:rPr>
          <w:rFonts w:ascii="宋体" w:hAnsi="宋体" w:cs="宋体" w:eastAsia="宋体" w:hint="default"/>
          <w:sz w:val="17"/>
          <w:szCs w:val="17"/>
        </w:rPr>
      </w:pPr>
    </w:p>
    <w:p>
      <w:pPr>
        <w:spacing w:before="0"/>
        <w:ind w:left="1130" w:right="1130" w:firstLine="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12"/>
        <w:rPr>
          <w:rFonts w:ascii="宋体" w:hAnsi="宋体" w:cs="宋体" w:eastAsia="宋体" w:hint="default"/>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9"/>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2969"/>
        <w:gridCol w:w="3300"/>
        <w:gridCol w:w="3300"/>
      </w:tblGrid>
      <w:tr>
        <w:trPr>
          <w:trHeight w:val="398" w:hRule="exact"/>
        </w:trPr>
        <w:tc>
          <w:tcPr>
            <w:tcW w:w="29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211,665,903.76</w:t>
            </w:r>
          </w:p>
        </w:tc>
        <w:tc>
          <w:tcPr>
            <w:tcW w:w="3300"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376,665,386.10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27,558,737.36</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8,450,720.00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left="3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4"/>
              <w:ind w:right="19"/>
              <w:jc w:val="right"/>
              <w:rPr>
                <w:rFonts w:ascii="宋体" w:hAnsi="宋体" w:cs="宋体" w:eastAsia="宋体" w:hint="default"/>
                <w:sz w:val="18"/>
                <w:szCs w:val="18"/>
              </w:rPr>
            </w:pPr>
            <w:r>
              <w:rPr>
                <w:rFonts w:ascii="宋体"/>
                <w:sz w:val="18"/>
              </w:rPr>
              <w:t>767,991,492.02</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11"/>
              <w:jc w:val="right"/>
              <w:rPr>
                <w:rFonts w:ascii="宋体" w:hAnsi="宋体" w:cs="宋体" w:eastAsia="宋体" w:hint="default"/>
                <w:sz w:val="18"/>
                <w:szCs w:val="18"/>
              </w:rPr>
            </w:pPr>
            <w:r>
              <w:rPr>
                <w:rFonts w:ascii="宋体"/>
                <w:sz w:val="18"/>
              </w:rPr>
              <w:t>603,335,604.49</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3,249,654.96</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4,715,210.33</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629,896.43</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579,682.22</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90,429,646.57</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100,657,233.68</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116,667,777.60</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84,813,968.80</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4,283,757.67</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21,865,619.26</w:t>
            </w:r>
          </w:p>
        </w:tc>
      </w:tr>
      <w:tr>
        <w:trPr>
          <w:trHeight w:val="434"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6" w:space="0" w:color="000000"/>
              <w:left w:val="single" w:sz="14" w:space="0" w:color="D2D2D2"/>
              <w:bottom w:val="single" w:sz="17" w:space="0" w:color="D2D2D2"/>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1,222,476,866.37</w:t>
            </w:r>
          </w:p>
        </w:tc>
        <w:tc>
          <w:tcPr>
            <w:tcW w:w="3300" w:type="dxa"/>
            <w:tcBorders>
              <w:top w:val="single" w:sz="6" w:space="0" w:color="000000"/>
              <w:left w:val="single" w:sz="6" w:space="0" w:color="000000"/>
              <w:bottom w:val="single" w:sz="17"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1,201,083,424.88</w:t>
            </w:r>
          </w:p>
        </w:tc>
      </w:tr>
      <w:tr>
        <w:trPr>
          <w:trHeight w:val="36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23" w:space="0" w:color="D2D2D2"/>
              <w:left w:val="single" w:sz="14" w:space="0" w:color="D2D2D2"/>
              <w:bottom w:val="single" w:sz="6" w:space="0" w:color="000000"/>
              <w:right w:val="single" w:sz="6" w:space="0" w:color="000000"/>
            </w:tcBorders>
          </w:tcPr>
          <w:p>
            <w:pPr/>
          </w:p>
        </w:tc>
        <w:tc>
          <w:tcPr>
            <w:tcW w:w="3300" w:type="dxa"/>
            <w:tcBorders>
              <w:top w:val="single" w:sz="23" w:space="0" w:color="D2D2D2"/>
              <w:left w:val="single" w:sz="6" w:space="0" w:color="000000"/>
              <w:bottom w:val="single" w:sz="6" w:space="0" w:color="000000"/>
              <w:right w:val="single" w:sz="12" w:space="0" w:color="000000"/>
            </w:tcBorders>
          </w:tcPr>
          <w:p>
            <w:pPr/>
          </w:p>
        </w:tc>
      </w:tr>
      <w:tr>
        <w:trPr>
          <w:trHeight w:val="421" w:hRule="exact"/>
        </w:trPr>
        <w:tc>
          <w:tcPr>
            <w:tcW w:w="29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22,300,000.00</w:t>
            </w:r>
          </w:p>
        </w:tc>
        <w:tc>
          <w:tcPr>
            <w:tcW w:w="33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700,000.00</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118" w:type="dxa"/>
        <w:tblLayout w:type="fixed"/>
        <w:tblCellMar>
          <w:top w:w="0" w:type="dxa"/>
          <w:left w:w="0" w:type="dxa"/>
          <w:bottom w:w="0" w:type="dxa"/>
          <w:right w:w="0" w:type="dxa"/>
        </w:tblCellMar>
        <w:tblLook w:val="01E0"/>
      </w:tblPr>
      <w:tblGrid>
        <w:gridCol w:w="2969"/>
        <w:gridCol w:w="3300"/>
        <w:gridCol w:w="3300"/>
      </w:tblGrid>
      <w:tr>
        <w:trPr>
          <w:trHeight w:val="370" w:hRule="exact"/>
        </w:trPr>
        <w:tc>
          <w:tcPr>
            <w:tcW w:w="29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17" w:space="0" w:color="D2D2D2"/>
              <w:left w:val="single" w:sz="14" w:space="0" w:color="D2D2D2"/>
              <w:bottom w:val="single" w:sz="6" w:space="0" w:color="000000"/>
              <w:right w:val="single" w:sz="6" w:space="0" w:color="000000"/>
            </w:tcBorders>
          </w:tcPr>
          <w:p>
            <w:pPr/>
          </w:p>
        </w:tc>
        <w:tc>
          <w:tcPr>
            <w:tcW w:w="3300" w:type="dxa"/>
            <w:tcBorders>
              <w:top w:val="single" w:sz="17" w:space="0" w:color="D2D2D2"/>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21,953,574.83</w:t>
            </w: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10,291,118.19</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11,069,385.27</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148,454,025.47</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138,314,060.18</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235,170,941.86</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160,258,437.13</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131,356,346.05</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136,774,938.04</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356,348,622.69</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323,305,967.10</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513,541.67</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7,963,416.44</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5,579,880.84</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21,658,744.90</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10,123,503.45</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955,496,790.43</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786,639,713.68</w:t>
            </w:r>
          </w:p>
        </w:tc>
      </w:tr>
      <w:tr>
        <w:trPr>
          <w:trHeight w:val="43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2,177,973,656.80</w:t>
            </w:r>
          </w:p>
        </w:tc>
        <w:tc>
          <w:tcPr>
            <w:tcW w:w="3300"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1,987,723,138.56</w:t>
            </w:r>
          </w:p>
        </w:tc>
      </w:tr>
      <w:tr>
        <w:trPr>
          <w:trHeight w:val="36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1"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9"/>
              <w:jc w:val="right"/>
              <w:rPr>
                <w:rFonts w:ascii="宋体" w:hAnsi="宋体" w:cs="宋体" w:eastAsia="宋体" w:hint="default"/>
                <w:sz w:val="18"/>
                <w:szCs w:val="18"/>
              </w:rPr>
            </w:pPr>
            <w:r>
              <w:rPr>
                <w:rFonts w:ascii="宋体"/>
                <w:sz w:val="18"/>
              </w:rPr>
              <w:t>119,500,000.00</w:t>
            </w:r>
          </w:p>
        </w:tc>
        <w:tc>
          <w:tcPr>
            <w:tcW w:w="3300"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108,000,000.00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95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55,035,172.13</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34,749,821.02</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357,210,581.38</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224,596,179.23</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6,378,732.77</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5,761,844.69</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95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11,192,956.95</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10,264,707.18</w:t>
            </w:r>
          </w:p>
        </w:tc>
      </w:tr>
      <w:tr>
        <w:trPr>
          <w:trHeight w:val="421" w:hRule="exact"/>
        </w:trPr>
        <w:tc>
          <w:tcPr>
            <w:tcW w:w="29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11,619,161.73</w:t>
            </w:r>
          </w:p>
        </w:tc>
        <w:tc>
          <w:tcPr>
            <w:tcW w:w="33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17,410,458.78</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118" w:type="dxa"/>
        <w:tblLayout w:type="fixed"/>
        <w:tblCellMar>
          <w:top w:w="0" w:type="dxa"/>
          <w:left w:w="0" w:type="dxa"/>
          <w:bottom w:w="0" w:type="dxa"/>
          <w:right w:w="0" w:type="dxa"/>
        </w:tblCellMar>
        <w:tblLook w:val="01E0"/>
      </w:tblPr>
      <w:tblGrid>
        <w:gridCol w:w="2969"/>
        <w:gridCol w:w="3300"/>
        <w:gridCol w:w="3300"/>
      </w:tblGrid>
      <w:tr>
        <w:trPr>
          <w:trHeight w:val="370" w:hRule="exact"/>
        </w:trPr>
        <w:tc>
          <w:tcPr>
            <w:tcW w:w="29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17" w:space="0" w:color="D2D2D2"/>
              <w:left w:val="single" w:sz="14" w:space="0" w:color="D2D2D2"/>
              <w:bottom w:val="single" w:sz="6" w:space="0" w:color="000000"/>
              <w:right w:val="single" w:sz="6" w:space="0" w:color="000000"/>
            </w:tcBorders>
          </w:tcPr>
          <w:p>
            <w:pPr/>
          </w:p>
        </w:tc>
        <w:tc>
          <w:tcPr>
            <w:tcW w:w="3300" w:type="dxa"/>
            <w:tcBorders>
              <w:top w:val="single" w:sz="17" w:space="0" w:color="D2D2D2"/>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5,277,031.00</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15,525,288.00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23,426,803.55</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113,082,287.59</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21,185,624.07</w:t>
            </w: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34"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610,826,063.58</w:t>
            </w:r>
          </w:p>
        </w:tc>
        <w:tc>
          <w:tcPr>
            <w:tcW w:w="3300"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529,390,586.49</w:t>
            </w:r>
          </w:p>
        </w:tc>
      </w:tr>
      <w:tr>
        <w:trPr>
          <w:trHeight w:val="36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left="1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9"/>
              <w:jc w:val="right"/>
              <w:rPr>
                <w:rFonts w:ascii="宋体" w:hAnsi="宋体" w:cs="宋体" w:eastAsia="宋体" w:hint="default"/>
                <w:sz w:val="18"/>
                <w:szCs w:val="18"/>
              </w:rPr>
            </w:pPr>
            <w:r>
              <w:rPr>
                <w:rFonts w:ascii="宋体"/>
                <w:sz w:val="18"/>
              </w:rPr>
              <w:t>104,892,062.40</w:t>
            </w:r>
          </w:p>
        </w:tc>
        <w:tc>
          <w:tcPr>
            <w:tcW w:w="3300"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30,515,796.00</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21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20,000,000.00</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20,000,000.00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17,563,000.00</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20,675,000.00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6,530,938.69</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7,451,945.14</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4,450,000.00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148,986,001.09</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83,092,741.14</w:t>
            </w:r>
          </w:p>
        </w:tc>
      </w:tr>
      <w:tr>
        <w:trPr>
          <w:trHeight w:val="43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6" w:space="0" w:color="000000"/>
              <w:left w:val="single" w:sz="14" w:space="0" w:color="D2D2D2"/>
              <w:bottom w:val="single" w:sz="17" w:space="0" w:color="D2D2D2"/>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759,812,064.67</w:t>
            </w:r>
          </w:p>
        </w:tc>
        <w:tc>
          <w:tcPr>
            <w:tcW w:w="3300" w:type="dxa"/>
            <w:tcBorders>
              <w:top w:val="single" w:sz="6" w:space="0" w:color="000000"/>
              <w:left w:val="single" w:sz="6" w:space="0" w:color="000000"/>
              <w:bottom w:val="single" w:sz="17"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612,483,327.63</w:t>
            </w:r>
          </w:p>
        </w:tc>
      </w:tr>
      <w:tr>
        <w:trPr>
          <w:trHeight w:val="36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1"/>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z w:val="18"/>
              </w:rPr>
              <w:t>161,221,848.00</w:t>
            </w:r>
          </w:p>
        </w:tc>
        <w:tc>
          <w:tcPr>
            <w:tcW w:w="3300"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161,221,848.00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5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21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926,851,785.61</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926,883,002.46</w:t>
            </w:r>
          </w:p>
        </w:tc>
      </w:tr>
      <w:tr>
        <w:trPr>
          <w:trHeight w:val="421" w:hRule="exact"/>
        </w:trPr>
        <w:tc>
          <w:tcPr>
            <w:tcW w:w="29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6" w:space="0" w:color="000000"/>
              <w:left w:val="single" w:sz="14" w:space="0" w:color="D2D2D2"/>
              <w:bottom w:val="single" w:sz="12" w:space="0" w:color="000000"/>
              <w:right w:val="single" w:sz="6" w:space="0" w:color="000000"/>
            </w:tcBorders>
          </w:tcPr>
          <w:p>
            <w:pPr/>
          </w:p>
        </w:tc>
        <w:tc>
          <w:tcPr>
            <w:tcW w:w="3300"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04.199997pt;margin-top:533.320007pt;width:.1pt;height:15.6pt;mso-position-horizontal-relative:page;mso-position-vertical-relative:page;z-index:-917296" coordorigin="4084,10666" coordsize="2,312">
            <v:shape style="position:absolute;left:4084;top:10666;width:2;height:312" coordorigin="4084,10666" coordsize="0,312" path="m4084,10666l4084,10978e" filled="false" stroked="true" strokeweight="1.08pt" strokecolor="#d2d2d2">
              <v:path arrowok="t"/>
            </v:shape>
            <w10:wrap type="none"/>
          </v:group>
        </w:pict>
      </w:r>
      <w:r>
        <w:rPr/>
        <w:pict>
          <v:group style="position:absolute;margin-left:204.199997pt;margin-top:595.119995pt;width:.1pt;height:15.6pt;mso-position-horizontal-relative:page;mso-position-vertical-relative:page;z-index:-917272" coordorigin="4084,11902" coordsize="2,312">
            <v:shape style="position:absolute;left:4084;top:11902;width:2;height:312" coordorigin="4084,11902" coordsize="0,312" path="m4084,11902l4084,12214e" filled="false" stroked="true" strokeweight="1.08pt" strokecolor="#d2d2d2">
              <v:path arrowok="t"/>
            </v:shape>
            <w10:wrap type="none"/>
          </v:group>
        </w:pict>
      </w:r>
      <w:r>
        <w:rPr/>
        <w:pict>
          <v:group style="position:absolute;margin-left:204.199997pt;margin-top:656.919983pt;width:.1pt;height:15.6pt;mso-position-horizontal-relative:page;mso-position-vertical-relative:page;z-index:-917248" coordorigin="4084,13138" coordsize="2,312">
            <v:shape style="position:absolute;left:4084;top:13138;width:2;height:312" coordorigin="4084,13138" coordsize="0,312" path="m4084,13138l4084,13450e" filled="false" stroked="true" strokeweight="1.08pt" strokecolor="#d2d2d2">
              <v:path arrowok="t"/>
            </v:shape>
            <w10:wrap type="none"/>
          </v:group>
        </w:pict>
      </w:r>
      <w:r>
        <w:rPr/>
        <w:pict>
          <v:group style="position:absolute;margin-left:204.199997pt;margin-top:698.139954pt;width:.1pt;height:15.65pt;mso-position-horizontal-relative:page;mso-position-vertical-relative:page;z-index:-917224" coordorigin="4084,13963" coordsize="2,313">
            <v:shape style="position:absolute;left:4084;top:13963;width:2;height:313" coordorigin="4084,13963" coordsize="0,313" path="m4084,13963l4084,14275e" filled="false" stroked="true" strokeweight="1.08pt" strokecolor="#d2d2d2">
              <v:path arrowok="t"/>
            </v:shape>
            <w10:wrap type="none"/>
          </v:group>
        </w:pict>
      </w:r>
    </w:p>
    <w:p>
      <w:pPr>
        <w:spacing w:line="240" w:lineRule="auto" w:before="1"/>
        <w:rPr>
          <w:rFonts w:ascii="Times New Roman" w:hAnsi="Times New Roman" w:cs="Times New Roman" w:eastAsia="Times New Roman" w:hint="default"/>
          <w:sz w:val="15"/>
          <w:szCs w:val="15"/>
        </w:rPr>
      </w:pPr>
    </w:p>
    <w:tbl>
      <w:tblPr>
        <w:tblW w:w="0" w:type="auto"/>
        <w:jc w:val="left"/>
        <w:tblInd w:w="1118" w:type="dxa"/>
        <w:tblLayout w:type="fixed"/>
        <w:tblCellMar>
          <w:top w:w="0" w:type="dxa"/>
          <w:left w:w="0" w:type="dxa"/>
          <w:bottom w:w="0" w:type="dxa"/>
          <w:right w:w="0" w:type="dxa"/>
        </w:tblCellMar>
        <w:tblLook w:val="01E0"/>
      </w:tblPr>
      <w:tblGrid>
        <w:gridCol w:w="2969"/>
        <w:gridCol w:w="3300"/>
        <w:gridCol w:w="3300"/>
      </w:tblGrid>
      <w:tr>
        <w:trPr>
          <w:trHeight w:val="370" w:hRule="exact"/>
        </w:trPr>
        <w:tc>
          <w:tcPr>
            <w:tcW w:w="29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17" w:space="0" w:color="D2D2D2"/>
              <w:left w:val="single" w:sz="14" w:space="0" w:color="D2D2D2"/>
              <w:bottom w:val="single" w:sz="6" w:space="0" w:color="000000"/>
              <w:right w:val="single" w:sz="6" w:space="0" w:color="000000"/>
            </w:tcBorders>
          </w:tcPr>
          <w:p>
            <w:pPr/>
          </w:p>
        </w:tc>
        <w:tc>
          <w:tcPr>
            <w:tcW w:w="3300" w:type="dxa"/>
            <w:tcBorders>
              <w:top w:val="single" w:sz="17" w:space="0" w:color="D2D2D2"/>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20,423,426.70</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20,423,426.70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220,734,558.59</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187,625,505.35</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1,329,231,618.90</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1,296,153,782.51</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88,929,973.23</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79,086,028.42</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1,418,161,592.13</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1,375,239,810.93</w:t>
            </w:r>
          </w:p>
        </w:tc>
      </w:tr>
      <w:tr>
        <w:trPr>
          <w:trHeight w:val="419" w:hRule="exact"/>
        </w:trPr>
        <w:tc>
          <w:tcPr>
            <w:tcW w:w="29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2,177,973,656.80</w:t>
            </w:r>
          </w:p>
        </w:tc>
        <w:tc>
          <w:tcPr>
            <w:tcW w:w="33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1,987,723,138.56</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法定代表人：龙昌明</w:t>
        <w:tab/>
        <w:t>主管会计工作负责人：周振娟</w:t>
        <w:tab/>
        <w:t>会计机构负责人：周振娟</w:t>
      </w:r>
    </w:p>
    <w:p>
      <w:pPr>
        <w:spacing w:line="240" w:lineRule="auto" w:before="0"/>
        <w:rPr>
          <w:rFonts w:ascii="宋体" w:hAnsi="宋体" w:cs="宋体" w:eastAsia="宋体" w:hint="default"/>
          <w:sz w:val="18"/>
          <w:szCs w:val="18"/>
        </w:rPr>
      </w:pPr>
    </w:p>
    <w:p>
      <w:pPr>
        <w:spacing w:before="123"/>
        <w:ind w:left="1133" w:right="0" w:firstLine="0"/>
        <w:jc w:val="left"/>
        <w:rPr>
          <w:rFonts w:ascii="宋体" w:hAnsi="宋体" w:cs="宋体" w:eastAsia="宋体" w:hint="default"/>
          <w:sz w:val="20"/>
          <w:szCs w:val="20"/>
        </w:rPr>
      </w:pPr>
      <w:bookmarkStart w:name="2、母公司资产负债表" w:id="150"/>
      <w:bookmarkEnd w:id="150"/>
      <w:r>
        <w:rPr/>
      </w:r>
      <w:r>
        <w:rPr>
          <w:rFonts w:ascii="宋体" w:hAnsi="宋体" w:cs="宋体" w:eastAsia="宋体" w:hint="default"/>
          <w:b/>
          <w:bCs/>
          <w:sz w:val="20"/>
          <w:szCs w:val="20"/>
        </w:rPr>
        <w:t>2</w:t>
      </w:r>
      <w:r>
        <w:rPr>
          <w:rFonts w:ascii="宋体" w:hAnsi="宋体" w:cs="宋体" w:eastAsia="宋体" w:hint="default"/>
          <w:b/>
          <w:bCs/>
          <w:sz w:val="20"/>
          <w:szCs w:val="20"/>
        </w:rPr>
        <w:t>、母公司资产负债表</w:t>
      </w:r>
      <w:r>
        <w:rPr>
          <w:rFonts w:ascii="宋体" w:hAnsi="宋体" w:cs="宋体" w:eastAsia="宋体" w:hint="default"/>
          <w:sz w:val="20"/>
          <w:szCs w:val="20"/>
        </w:rPr>
      </w:r>
    </w:p>
    <w:p>
      <w:pPr>
        <w:spacing w:line="240" w:lineRule="auto" w:before="2"/>
        <w:rPr>
          <w:rFonts w:ascii="宋体" w:hAnsi="宋体" w:cs="宋体" w:eastAsia="宋体" w:hint="default"/>
          <w:b/>
          <w:bCs/>
          <w:sz w:val="28"/>
          <w:szCs w:val="28"/>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2969"/>
        <w:gridCol w:w="3300"/>
        <w:gridCol w:w="3300"/>
      </w:tblGrid>
      <w:tr>
        <w:trPr>
          <w:trHeight w:val="398" w:hRule="exact"/>
        </w:trPr>
        <w:tc>
          <w:tcPr>
            <w:tcW w:w="29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2"/>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1"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111,999,233.16</w:t>
            </w:r>
          </w:p>
        </w:tc>
        <w:tc>
          <w:tcPr>
            <w:tcW w:w="3300"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243,660,196.99</w:t>
            </w:r>
          </w:p>
        </w:tc>
      </w:tr>
      <w:tr>
        <w:trPr>
          <w:trHeight w:val="638"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15,822,356.12</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500,000.00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196,593,017.03</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274,362,572.87</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2,190,460.97</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4,291,636.13</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629,896.43</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579,682.22</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80,604,936.12</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91,077,681.58</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46,962,869.21</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34,022,075.98</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34"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6" w:space="0" w:color="000000"/>
              <w:left w:val="single" w:sz="6" w:space="0" w:color="000000"/>
              <w:bottom w:val="single" w:sz="17" w:space="0" w:color="D2D2D2"/>
              <w:right w:val="single" w:sz="6" w:space="0" w:color="000000"/>
            </w:tcBorders>
          </w:tcPr>
          <w:p>
            <w:pPr>
              <w:pStyle w:val="TableParagraph"/>
              <w:spacing w:line="240" w:lineRule="auto" w:before="54"/>
              <w:ind w:right="19"/>
              <w:jc w:val="right"/>
              <w:rPr>
                <w:rFonts w:ascii="宋体" w:hAnsi="宋体" w:cs="宋体" w:eastAsia="宋体" w:hint="default"/>
                <w:sz w:val="18"/>
                <w:szCs w:val="18"/>
              </w:rPr>
            </w:pPr>
            <w:r>
              <w:rPr>
                <w:rFonts w:ascii="宋体"/>
                <w:sz w:val="18"/>
              </w:rPr>
              <w:t>454,802,769.04</w:t>
            </w:r>
          </w:p>
        </w:tc>
        <w:tc>
          <w:tcPr>
            <w:tcW w:w="3300" w:type="dxa"/>
            <w:tcBorders>
              <w:top w:val="single" w:sz="6" w:space="0" w:color="000000"/>
              <w:left w:val="single" w:sz="6" w:space="0" w:color="000000"/>
              <w:bottom w:val="single" w:sz="17" w:space="0" w:color="D2D2D2"/>
              <w:right w:val="single" w:sz="12" w:space="0" w:color="000000"/>
            </w:tcBorders>
          </w:tcPr>
          <w:p>
            <w:pPr>
              <w:pStyle w:val="TableParagraph"/>
              <w:spacing w:line="240" w:lineRule="auto" w:before="54"/>
              <w:ind w:right="11"/>
              <w:jc w:val="right"/>
              <w:rPr>
                <w:rFonts w:ascii="宋体" w:hAnsi="宋体" w:cs="宋体" w:eastAsia="宋体" w:hint="default"/>
                <w:sz w:val="18"/>
                <w:szCs w:val="18"/>
              </w:rPr>
            </w:pPr>
            <w:r>
              <w:rPr>
                <w:rFonts w:ascii="宋体"/>
                <w:sz w:val="18"/>
              </w:rPr>
              <w:t>648,493,845.77</w:t>
            </w:r>
          </w:p>
        </w:tc>
      </w:tr>
      <w:tr>
        <w:trPr>
          <w:trHeight w:val="36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8" w:hRule="exact"/>
        </w:trPr>
        <w:tc>
          <w:tcPr>
            <w:tcW w:w="29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23" w:space="0" w:color="D2D2D2"/>
              <w:left w:val="single" w:sz="14" w:space="0" w:color="D2D2D2"/>
              <w:bottom w:val="single" w:sz="12"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22,300,000.00</w:t>
            </w:r>
          </w:p>
        </w:tc>
        <w:tc>
          <w:tcPr>
            <w:tcW w:w="3300" w:type="dxa"/>
            <w:tcBorders>
              <w:top w:val="single" w:sz="23" w:space="0" w:color="D2D2D2"/>
              <w:left w:val="single" w:sz="6" w:space="0" w:color="000000"/>
              <w:bottom w:val="single" w:sz="12"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700,000.00</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118" w:type="dxa"/>
        <w:tblLayout w:type="fixed"/>
        <w:tblCellMar>
          <w:top w:w="0" w:type="dxa"/>
          <w:left w:w="0" w:type="dxa"/>
          <w:bottom w:w="0" w:type="dxa"/>
          <w:right w:w="0" w:type="dxa"/>
        </w:tblCellMar>
        <w:tblLook w:val="01E0"/>
      </w:tblPr>
      <w:tblGrid>
        <w:gridCol w:w="2969"/>
        <w:gridCol w:w="3300"/>
        <w:gridCol w:w="3300"/>
      </w:tblGrid>
      <w:tr>
        <w:trPr>
          <w:trHeight w:val="370" w:hRule="exact"/>
        </w:trPr>
        <w:tc>
          <w:tcPr>
            <w:tcW w:w="29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17" w:space="0" w:color="D2D2D2"/>
              <w:left w:val="single" w:sz="14" w:space="0" w:color="D2D2D2"/>
              <w:bottom w:val="single" w:sz="6" w:space="0" w:color="000000"/>
              <w:right w:val="single" w:sz="6" w:space="0" w:color="000000"/>
            </w:tcBorders>
          </w:tcPr>
          <w:p>
            <w:pPr/>
          </w:p>
        </w:tc>
        <w:tc>
          <w:tcPr>
            <w:tcW w:w="3300" w:type="dxa"/>
            <w:tcBorders>
              <w:top w:val="single" w:sz="17" w:space="0" w:color="D2D2D2"/>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831,163,550.99</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768,109,976.16</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6,423,465.64</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6,923,995.36</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13,197,413.29</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13,440,896.94</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186,563,880.53</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142,794,313.08</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25,320,818.32</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25,942,489.57</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513,541.67</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2,784,844.55</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2,559,058.63</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6,975,268.00</w:t>
            </w: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1,094,729,241.32</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960,984,271.41</w:t>
            </w:r>
          </w:p>
        </w:tc>
      </w:tr>
      <w:tr>
        <w:trPr>
          <w:trHeight w:val="43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1,549,532,010.36</w:t>
            </w:r>
          </w:p>
        </w:tc>
        <w:tc>
          <w:tcPr>
            <w:tcW w:w="3300"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1,609,478,117.18</w:t>
            </w:r>
          </w:p>
        </w:tc>
      </w:tr>
      <w:tr>
        <w:trPr>
          <w:trHeight w:val="36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1"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9"/>
              <w:jc w:val="right"/>
              <w:rPr>
                <w:rFonts w:ascii="宋体" w:hAnsi="宋体" w:cs="宋体" w:eastAsia="宋体" w:hint="default"/>
                <w:sz w:val="18"/>
                <w:szCs w:val="18"/>
              </w:rPr>
            </w:pPr>
            <w:r>
              <w:rPr>
                <w:rFonts w:ascii="宋体"/>
                <w:sz w:val="18"/>
              </w:rPr>
              <w:t>101,500,000.00</w:t>
            </w:r>
          </w:p>
        </w:tc>
        <w:tc>
          <w:tcPr>
            <w:tcW w:w="3300"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63,000,000.00</w:t>
            </w:r>
          </w:p>
        </w:tc>
      </w:tr>
      <w:tr>
        <w:trPr>
          <w:trHeight w:val="638"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15,035,172.13</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34,749,821.02</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50,142,066.35</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52,561,375.21</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1,970,857.34</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2,604,098.54</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5,080,237.42</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5,736,426.38</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2,867,448.57</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10,612,112.54</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38,638,831.55</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136,329,841.84</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21" w:hRule="exact"/>
        </w:trPr>
        <w:tc>
          <w:tcPr>
            <w:tcW w:w="29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15,185,624.07</w:t>
            </w:r>
          </w:p>
        </w:tc>
        <w:tc>
          <w:tcPr>
            <w:tcW w:w="3300"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118" w:type="dxa"/>
        <w:tblLayout w:type="fixed"/>
        <w:tblCellMar>
          <w:top w:w="0" w:type="dxa"/>
          <w:left w:w="0" w:type="dxa"/>
          <w:bottom w:w="0" w:type="dxa"/>
          <w:right w:w="0" w:type="dxa"/>
        </w:tblCellMar>
        <w:tblLook w:val="01E0"/>
      </w:tblPr>
      <w:tblGrid>
        <w:gridCol w:w="2969"/>
        <w:gridCol w:w="3300"/>
        <w:gridCol w:w="3300"/>
      </w:tblGrid>
      <w:tr>
        <w:trPr>
          <w:trHeight w:val="370" w:hRule="exact"/>
        </w:trPr>
        <w:tc>
          <w:tcPr>
            <w:tcW w:w="29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17" w:space="0" w:color="D2D2D2"/>
              <w:left w:val="single" w:sz="14" w:space="0" w:color="D2D2D2"/>
              <w:bottom w:val="single" w:sz="6" w:space="0" w:color="000000"/>
              <w:right w:val="single" w:sz="6" w:space="0" w:color="000000"/>
            </w:tcBorders>
          </w:tcPr>
          <w:p>
            <w:pPr/>
          </w:p>
        </w:tc>
        <w:tc>
          <w:tcPr>
            <w:tcW w:w="3300" w:type="dxa"/>
            <w:tcBorders>
              <w:top w:val="single" w:sz="17" w:space="0" w:color="D2D2D2"/>
              <w:left w:val="single" w:sz="6" w:space="0" w:color="000000"/>
              <w:bottom w:val="single" w:sz="6" w:space="0" w:color="000000"/>
              <w:right w:val="single" w:sz="12" w:space="0" w:color="000000"/>
            </w:tcBorders>
          </w:tcPr>
          <w:p>
            <w:pPr/>
          </w:p>
        </w:tc>
      </w:tr>
      <w:tr>
        <w:trPr>
          <w:trHeight w:val="434"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230,420,237.43</w:t>
            </w:r>
          </w:p>
        </w:tc>
        <w:tc>
          <w:tcPr>
            <w:tcW w:w="3300"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305,593,675.53</w:t>
            </w:r>
          </w:p>
        </w:tc>
      </w:tr>
      <w:tr>
        <w:trPr>
          <w:trHeight w:val="36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80,892,062.40</w:t>
            </w:r>
          </w:p>
        </w:tc>
        <w:tc>
          <w:tcPr>
            <w:tcW w:w="3300"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30,515,796.00</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21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20,000,000.00</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20,000,000.00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17,563,000.00</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20,675,000.00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118,455,062.40</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71,190,796.00</w:t>
            </w:r>
          </w:p>
        </w:tc>
      </w:tr>
      <w:tr>
        <w:trPr>
          <w:trHeight w:val="434"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6" w:space="0" w:color="000000"/>
              <w:left w:val="single" w:sz="14" w:space="0" w:color="D2D2D2"/>
              <w:bottom w:val="single" w:sz="17" w:space="0" w:color="D2D2D2"/>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348,875,299.83</w:t>
            </w:r>
          </w:p>
        </w:tc>
        <w:tc>
          <w:tcPr>
            <w:tcW w:w="3300" w:type="dxa"/>
            <w:tcBorders>
              <w:top w:val="single" w:sz="6" w:space="0" w:color="000000"/>
              <w:left w:val="single" w:sz="6" w:space="0" w:color="000000"/>
              <w:bottom w:val="single" w:sz="17"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376,784,471.53</w:t>
            </w:r>
          </w:p>
        </w:tc>
      </w:tr>
      <w:tr>
        <w:trPr>
          <w:trHeight w:val="36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1"/>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7"/>
              <w:ind w:right="19"/>
              <w:jc w:val="right"/>
              <w:rPr>
                <w:rFonts w:ascii="宋体" w:hAnsi="宋体" w:cs="宋体" w:eastAsia="宋体" w:hint="default"/>
                <w:sz w:val="18"/>
                <w:szCs w:val="18"/>
              </w:rPr>
            </w:pPr>
            <w:r>
              <w:rPr>
                <w:rFonts w:ascii="宋体"/>
                <w:sz w:val="18"/>
              </w:rPr>
              <w:t>161,221,848.00</w:t>
            </w:r>
          </w:p>
        </w:tc>
        <w:tc>
          <w:tcPr>
            <w:tcW w:w="3300"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7"/>
              <w:ind w:right="11"/>
              <w:jc w:val="right"/>
              <w:rPr>
                <w:rFonts w:ascii="宋体" w:hAnsi="宋体" w:cs="宋体" w:eastAsia="宋体" w:hint="default"/>
                <w:sz w:val="18"/>
                <w:szCs w:val="18"/>
              </w:rPr>
            </w:pPr>
            <w:r>
              <w:rPr>
                <w:rFonts w:ascii="宋体"/>
                <w:sz w:val="18"/>
              </w:rPr>
              <w:t>161,221,848.00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5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21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919,207,813.92</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919,239,030.77</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20,423,426.70</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20,423,426.70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99,803,621.91</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131,809,340.18</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1,200,656,710.53</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1,232,693,645.65</w:t>
            </w:r>
          </w:p>
        </w:tc>
      </w:tr>
      <w:tr>
        <w:trPr>
          <w:trHeight w:val="421" w:hRule="exact"/>
        </w:trPr>
        <w:tc>
          <w:tcPr>
            <w:tcW w:w="29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1,549,532,010.36</w:t>
            </w:r>
          </w:p>
        </w:tc>
        <w:tc>
          <w:tcPr>
            <w:tcW w:w="33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1,609,478,117.18</w:t>
            </w:r>
          </w:p>
        </w:tc>
      </w:tr>
    </w:tbl>
    <w:p>
      <w:pPr>
        <w:spacing w:line="240" w:lineRule="auto" w:before="4"/>
        <w:rPr>
          <w:rFonts w:ascii="Times New Roman" w:hAnsi="Times New Roman" w:cs="Times New Roman" w:eastAsia="Times New Roman" w:hint="default"/>
          <w:sz w:val="22"/>
          <w:szCs w:val="22"/>
        </w:rPr>
      </w:pPr>
    </w:p>
    <w:p>
      <w:pPr>
        <w:spacing w:before="38"/>
        <w:ind w:left="1134" w:right="0" w:firstLine="0"/>
        <w:jc w:val="left"/>
        <w:rPr>
          <w:rFonts w:ascii="宋体" w:hAnsi="宋体" w:cs="宋体" w:eastAsia="宋体" w:hint="default"/>
          <w:sz w:val="20"/>
          <w:szCs w:val="20"/>
        </w:rPr>
      </w:pPr>
      <w:bookmarkStart w:name="3、合并利润表" w:id="151"/>
      <w:bookmarkEnd w:id="151"/>
      <w:r>
        <w:rPr/>
      </w:r>
      <w:r>
        <w:rPr>
          <w:rFonts w:ascii="宋体" w:hAnsi="宋体" w:cs="宋体" w:eastAsia="宋体" w:hint="default"/>
          <w:b/>
          <w:bCs/>
          <w:sz w:val="20"/>
          <w:szCs w:val="20"/>
        </w:rPr>
        <w:t>3</w:t>
      </w:r>
      <w:r>
        <w:rPr>
          <w:rFonts w:ascii="宋体" w:hAnsi="宋体" w:cs="宋体" w:eastAsia="宋体" w:hint="default"/>
          <w:b/>
          <w:bCs/>
          <w:sz w:val="20"/>
          <w:szCs w:val="20"/>
        </w:rPr>
        <w:t>、合并利润表</w:t>
      </w:r>
      <w:r>
        <w:rPr>
          <w:rFonts w:ascii="宋体" w:hAnsi="宋体" w:cs="宋体" w:eastAsia="宋体" w:hint="default"/>
          <w:sz w:val="20"/>
          <w:szCs w:val="20"/>
        </w:rPr>
      </w:r>
    </w:p>
    <w:p>
      <w:pPr>
        <w:spacing w:line="240" w:lineRule="auto" w:before="9"/>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62.660004pt;margin-top:487.149994pt;width:134.65pt;height:16.650pt;mso-position-horizontal-relative:page;mso-position-vertical-relative:page;z-index:-917200" coordorigin="5253,9743" coordsize="2693,333">
            <v:group style="position:absolute;left:5263;top:9753;width:2;height:312" coordorigin="5263,9753" coordsize="2,312">
              <v:shape style="position:absolute;left:5263;top:9753;width:2;height:312" coordorigin="5263,9753" coordsize="0,312" path="m5263,9753l5263,10065e" filled="false" stroked="true" strokeweight="1.02pt" strokecolor="#ffffff">
                <v:path arrowok="t"/>
              </v:shape>
            </v:group>
            <v:group style="position:absolute;left:5274;top:9753;width:2673;height:312" coordorigin="5274,9753" coordsize="2673,312">
              <v:shape style="position:absolute;left:5274;top:9753;width:2673;height:312" coordorigin="5274,9753" coordsize="2673,312" path="m5274,10065l7946,10065,7946,9753,5274,9753,5274,10065xe" filled="true" fillcolor="#ffffff" stroked="false">
                <v:path arrowok="t"/>
                <v:fill type="solid"/>
              </v:shape>
            </v:group>
            <w10:wrap type="none"/>
          </v:group>
        </w:pict>
      </w:r>
    </w:p>
    <w:p>
      <w:pPr>
        <w:spacing w:line="240" w:lineRule="auto" w:before="1"/>
        <w:rPr>
          <w:rFonts w:ascii="Times New Roman" w:hAnsi="Times New Roman" w:cs="Times New Roman" w:eastAsia="Times New Roman" w:hint="default"/>
          <w:sz w:val="15"/>
          <w:szCs w:val="15"/>
        </w:rPr>
      </w:pPr>
    </w:p>
    <w:tbl>
      <w:tblPr>
        <w:tblW w:w="0" w:type="auto"/>
        <w:jc w:val="left"/>
        <w:tblInd w:w="1118" w:type="dxa"/>
        <w:tblLayout w:type="fixed"/>
        <w:tblCellMar>
          <w:top w:w="0" w:type="dxa"/>
          <w:left w:w="0" w:type="dxa"/>
          <w:bottom w:w="0" w:type="dxa"/>
          <w:right w:w="0" w:type="dxa"/>
        </w:tblCellMar>
        <w:tblLook w:val="01E0"/>
      </w:tblPr>
      <w:tblGrid>
        <w:gridCol w:w="4113"/>
        <w:gridCol w:w="2728"/>
        <w:gridCol w:w="2729"/>
      </w:tblGrid>
      <w:tr>
        <w:trPr>
          <w:trHeight w:val="370" w:hRule="exact"/>
        </w:trPr>
        <w:tc>
          <w:tcPr>
            <w:tcW w:w="41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72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2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90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728"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8"/>
              <w:jc w:val="right"/>
              <w:rPr>
                <w:rFonts w:ascii="宋体" w:hAnsi="宋体" w:cs="宋体" w:eastAsia="宋体" w:hint="default"/>
                <w:sz w:val="18"/>
                <w:szCs w:val="18"/>
              </w:rPr>
            </w:pPr>
            <w:r>
              <w:rPr>
                <w:rFonts w:ascii="宋体"/>
                <w:sz w:val="18"/>
              </w:rPr>
              <w:t>707,673,703.50</w:t>
            </w:r>
          </w:p>
        </w:tc>
        <w:tc>
          <w:tcPr>
            <w:tcW w:w="2729"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343,346,895.97</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707,673,703.50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343,346,895.97</w:t>
            </w:r>
          </w:p>
        </w:tc>
      </w:tr>
      <w:tr>
        <w:trPr>
          <w:trHeight w:val="413"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654,180,167.55</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319,764,661.03</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501,430,736.35</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231,842,067.72</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3,845,865.10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3,135,618.45</w:t>
            </w:r>
          </w:p>
        </w:tc>
      </w:tr>
      <w:tr>
        <w:trPr>
          <w:trHeight w:val="413"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31,685,563.03</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17,065,773.48</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93,800,764.70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62,180,881.17</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7,015,636.56</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124,485.63</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16,401,601.81</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5,415,834.58</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14"/>
              <w:jc w:val="righ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596.58</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-760,715.17</w:t>
            </w: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14"/>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52,732,820.78</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23,582,831.52</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11,280,858.19</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14,815,503.72</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15,000.00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3,080.34</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1,000,783.83</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70,065.94</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433,571.25</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19,550.12</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63,012,895.14</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38,328,269.30</w:t>
            </w:r>
          </w:p>
        </w:tc>
      </w:tr>
      <w:tr>
        <w:trPr>
          <w:trHeight w:val="413"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13,611,023.17</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8,984,733.80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49,401,871.97</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29,343,535.50</w:t>
            </w:r>
          </w:p>
        </w:tc>
      </w:tr>
      <w:tr>
        <w:trPr>
          <w:trHeight w:val="420" w:hRule="exact"/>
        </w:trPr>
        <w:tc>
          <w:tcPr>
            <w:tcW w:w="41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72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39,557,927.16</w:t>
            </w:r>
          </w:p>
        </w:tc>
        <w:tc>
          <w:tcPr>
            <w:tcW w:w="27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35,930,952.54</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118" w:type="dxa"/>
        <w:tblLayout w:type="fixed"/>
        <w:tblCellMar>
          <w:top w:w="0" w:type="dxa"/>
          <w:left w:w="0" w:type="dxa"/>
          <w:bottom w:w="0" w:type="dxa"/>
          <w:right w:w="0" w:type="dxa"/>
        </w:tblCellMar>
        <w:tblLook w:val="01E0"/>
      </w:tblPr>
      <w:tblGrid>
        <w:gridCol w:w="4113"/>
        <w:gridCol w:w="2728"/>
        <w:gridCol w:w="2729"/>
      </w:tblGrid>
      <w:tr>
        <w:trPr>
          <w:trHeight w:val="370" w:hRule="exact"/>
        </w:trPr>
        <w:tc>
          <w:tcPr>
            <w:tcW w:w="41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72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2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90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728"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8"/>
              <w:jc w:val="right"/>
              <w:rPr>
                <w:rFonts w:ascii="宋体" w:hAnsi="宋体" w:cs="宋体" w:eastAsia="宋体" w:hint="default"/>
                <w:sz w:val="18"/>
                <w:szCs w:val="18"/>
              </w:rPr>
            </w:pPr>
            <w:r>
              <w:rPr>
                <w:rFonts w:ascii="宋体"/>
                <w:sz w:val="18"/>
              </w:rPr>
              <w:t>9,843,944.81</w:t>
            </w:r>
          </w:p>
        </w:tc>
        <w:tc>
          <w:tcPr>
            <w:tcW w:w="2729"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-6,587,417.04</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9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15"/>
              <w:jc w:val="righ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66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9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重新计量设定受益计划净负债或净资</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产的变动</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659"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14"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权益法下在被投资单位不能重分类进 损益的其他综合收益中享有的份额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37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68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31"/>
              <w:ind w:left="13" w:right="114"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权益法下在被投资单位以后将重分类 进损益的其他综合收益中享有的份额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right="114"/>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68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9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持有至到期投资重分类为可供出售金</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融资产损益</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9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9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49,401,871.97</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29,343,535.50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39,557,927.16</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35,930,952.54</w:t>
            </w: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728" w:type="dxa"/>
            <w:tcBorders>
              <w:top w:val="single" w:sz="6" w:space="0" w:color="000000"/>
              <w:left w:val="single" w:sz="14" w:space="0" w:color="D2D2D2"/>
              <w:bottom w:val="single" w:sz="17" w:space="0" w:color="D2D2D2"/>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9,843,944.81</w:t>
            </w:r>
          </w:p>
        </w:tc>
        <w:tc>
          <w:tcPr>
            <w:tcW w:w="2729" w:type="dxa"/>
            <w:tcBorders>
              <w:top w:val="single" w:sz="6" w:space="0" w:color="000000"/>
              <w:left w:val="single" w:sz="6" w:space="0" w:color="000000"/>
              <w:bottom w:val="single" w:sz="17"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-6,587,417.04</w:t>
            </w:r>
          </w:p>
        </w:tc>
      </w:tr>
      <w:tr>
        <w:trPr>
          <w:trHeight w:val="355"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4"/>
              <w:ind w:left="1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72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2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1"/>
              <w:ind w:left="37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728"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7"/>
              <w:ind w:right="18"/>
              <w:jc w:val="right"/>
              <w:rPr>
                <w:rFonts w:ascii="宋体" w:hAnsi="宋体" w:cs="宋体" w:eastAsia="宋体" w:hint="default"/>
                <w:sz w:val="18"/>
                <w:szCs w:val="18"/>
              </w:rPr>
            </w:pPr>
            <w:r>
              <w:rPr>
                <w:rFonts w:ascii="宋体"/>
                <w:sz w:val="18"/>
              </w:rPr>
              <w:t>0.2454</w:t>
            </w:r>
          </w:p>
        </w:tc>
        <w:tc>
          <w:tcPr>
            <w:tcW w:w="2729"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7"/>
              <w:ind w:right="11"/>
              <w:jc w:val="right"/>
              <w:rPr>
                <w:rFonts w:ascii="宋体" w:hAnsi="宋体" w:cs="宋体" w:eastAsia="宋体" w:hint="default"/>
                <w:sz w:val="18"/>
                <w:szCs w:val="18"/>
              </w:rPr>
            </w:pPr>
            <w:r>
              <w:rPr>
                <w:rFonts w:ascii="宋体"/>
                <w:sz w:val="18"/>
              </w:rPr>
              <w:t>0.2764</w:t>
            </w:r>
          </w:p>
        </w:tc>
      </w:tr>
      <w:tr>
        <w:trPr>
          <w:trHeight w:val="419" w:hRule="exact"/>
        </w:trPr>
        <w:tc>
          <w:tcPr>
            <w:tcW w:w="41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72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0.2454</w:t>
            </w:r>
          </w:p>
        </w:tc>
        <w:tc>
          <w:tcPr>
            <w:tcW w:w="27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0.2764</w:t>
            </w:r>
          </w:p>
        </w:tc>
      </w:tr>
    </w:tbl>
    <w:p>
      <w:pPr>
        <w:tabs>
          <w:tab w:pos="4554" w:val="left" w:leader="none"/>
          <w:tab w:pos="8695" w:val="left" w:leader="none"/>
        </w:tabs>
        <w:spacing w:line="439" w:lineRule="auto" w:before="51"/>
        <w:ind w:left="1133" w:right="114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元，上期被合并方实现的净利润为：</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 法定代表人：龙昌明</w:t>
        <w:tab/>
        <w:t>主管会计工作负责人：周振娟</w:t>
        <w:tab/>
        <w:t>会计机构负责人：周振娟</w:t>
      </w:r>
    </w:p>
    <w:p>
      <w:pPr>
        <w:spacing w:before="151"/>
        <w:ind w:left="1133" w:right="0" w:firstLine="0"/>
        <w:jc w:val="left"/>
        <w:rPr>
          <w:rFonts w:ascii="宋体" w:hAnsi="宋体" w:cs="宋体" w:eastAsia="宋体" w:hint="default"/>
          <w:sz w:val="20"/>
          <w:szCs w:val="20"/>
        </w:rPr>
      </w:pPr>
      <w:bookmarkStart w:name="4、母公司利润表" w:id="152"/>
      <w:bookmarkEnd w:id="152"/>
      <w:r>
        <w:rPr/>
      </w:r>
      <w:r>
        <w:rPr>
          <w:rFonts w:ascii="宋体" w:hAnsi="宋体" w:cs="宋体" w:eastAsia="宋体" w:hint="default"/>
          <w:b/>
          <w:bCs/>
          <w:sz w:val="20"/>
          <w:szCs w:val="20"/>
        </w:rPr>
        <w:t>4</w:t>
      </w:r>
      <w:r>
        <w:rPr>
          <w:rFonts w:ascii="宋体" w:hAnsi="宋体" w:cs="宋体" w:eastAsia="宋体" w:hint="default"/>
          <w:b/>
          <w:bCs/>
          <w:sz w:val="20"/>
          <w:szCs w:val="20"/>
        </w:rPr>
        <w:t>、母公司利润表</w:t>
      </w:r>
      <w:r>
        <w:rPr>
          <w:rFonts w:ascii="宋体" w:hAnsi="宋体" w:cs="宋体" w:eastAsia="宋体" w:hint="default"/>
          <w:sz w:val="20"/>
          <w:szCs w:val="20"/>
        </w:rPr>
      </w:r>
    </w:p>
    <w:p>
      <w:pPr>
        <w:spacing w:line="240" w:lineRule="auto" w:before="4"/>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4113"/>
        <w:gridCol w:w="2728"/>
        <w:gridCol w:w="2729"/>
      </w:tblGrid>
      <w:tr>
        <w:trPr>
          <w:trHeight w:val="370" w:hRule="exact"/>
        </w:trPr>
        <w:tc>
          <w:tcPr>
            <w:tcW w:w="41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72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2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90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728"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154,228,909.17</w:t>
            </w:r>
          </w:p>
        </w:tc>
        <w:tc>
          <w:tcPr>
            <w:tcW w:w="2729"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337,787,299.51</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127,138,523.20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258,322,127.91</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1,171,533.57</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2,345,090.27</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11,369,882.27</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13,477,323.57</w:t>
            </w:r>
          </w:p>
        </w:tc>
      </w:tr>
      <w:tr>
        <w:trPr>
          <w:trHeight w:val="419" w:hRule="exact"/>
        </w:trPr>
        <w:tc>
          <w:tcPr>
            <w:tcW w:w="41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2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41,691,864.26</w:t>
            </w:r>
          </w:p>
        </w:tc>
        <w:tc>
          <w:tcPr>
            <w:tcW w:w="27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40,438,464.03</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62.660004pt;margin-top:136.889984pt;width:134.65pt;height:16.650pt;mso-position-horizontal-relative:page;mso-position-vertical-relative:page;z-index:-917176" coordorigin="5253,2738" coordsize="2693,333">
            <v:group style="position:absolute;left:5263;top:2748;width:2;height:313" coordorigin="5263,2748" coordsize="2,313">
              <v:shape style="position:absolute;left:5263;top:2748;width:2;height:313" coordorigin="5263,2748" coordsize="0,313" path="m5263,2748l5263,3060e" filled="false" stroked="true" strokeweight="1.02pt" strokecolor="#ffffff">
                <v:path arrowok="t"/>
              </v:shape>
            </v:group>
            <v:group style="position:absolute;left:5274;top:2748;width:2673;height:313" coordorigin="5274,2748" coordsize="2673,313">
              <v:shape style="position:absolute;left:5274;top:2748;width:2673;height:313" coordorigin="5274,2748" coordsize="2673,313" path="m5274,3060l7946,3060,7946,2748,5274,2748,5274,3060xe" filled="true" fillcolor="#ffffff" stroked="false">
                <v:path arrowok="t"/>
                <v:fill type="solid"/>
              </v:shape>
            </v:group>
            <w10:wrap type="none"/>
          </v:group>
        </w:pict>
      </w:r>
    </w:p>
    <w:p>
      <w:pPr>
        <w:spacing w:line="240" w:lineRule="auto" w:before="1"/>
        <w:rPr>
          <w:rFonts w:ascii="Times New Roman" w:hAnsi="Times New Roman" w:cs="Times New Roman" w:eastAsia="Times New Roman" w:hint="default"/>
          <w:sz w:val="15"/>
          <w:szCs w:val="15"/>
        </w:rPr>
      </w:pPr>
    </w:p>
    <w:tbl>
      <w:tblPr>
        <w:tblW w:w="0" w:type="auto"/>
        <w:jc w:val="left"/>
        <w:tblInd w:w="1118" w:type="dxa"/>
        <w:tblLayout w:type="fixed"/>
        <w:tblCellMar>
          <w:top w:w="0" w:type="dxa"/>
          <w:left w:w="0" w:type="dxa"/>
          <w:bottom w:w="0" w:type="dxa"/>
          <w:right w:w="0" w:type="dxa"/>
        </w:tblCellMar>
        <w:tblLook w:val="01E0"/>
      </w:tblPr>
      <w:tblGrid>
        <w:gridCol w:w="4113"/>
        <w:gridCol w:w="2728"/>
        <w:gridCol w:w="2729"/>
      </w:tblGrid>
      <w:tr>
        <w:trPr>
          <w:trHeight w:val="370" w:hRule="exact"/>
        </w:trPr>
        <w:tc>
          <w:tcPr>
            <w:tcW w:w="41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72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2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90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73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28"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8"/>
              <w:jc w:val="right"/>
              <w:rPr>
                <w:rFonts w:ascii="宋体" w:hAnsi="宋体" w:cs="宋体" w:eastAsia="宋体" w:hint="default"/>
                <w:sz w:val="18"/>
                <w:szCs w:val="18"/>
              </w:rPr>
            </w:pPr>
            <w:r>
              <w:rPr>
                <w:rFonts w:ascii="宋体"/>
                <w:sz w:val="18"/>
              </w:rPr>
              <w:t>4,658,815.25</w:t>
            </w:r>
          </w:p>
        </w:tc>
        <w:tc>
          <w:tcPr>
            <w:tcW w:w="2729"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-2,863,147.70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1,505,239.53</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5,183,689.81</w:t>
            </w:r>
          </w:p>
        </w:tc>
      </w:tr>
      <w:tr>
        <w:trPr>
          <w:trHeight w:val="413"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14"/>
              <w:jc w:val="righ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-760,715.17</w:t>
            </w: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14"/>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-34,067,664.08</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20,883,751.62</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8,877,994.10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10,016,560.37</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3,080.34</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579,790.42</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69,550.12</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12,577.84</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19,550.12</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-25,769,460.40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30,830,761.87</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-212,616.05</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3,884,671.46</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-25,556,844.35</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26,946,090.41</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15"/>
              <w:jc w:val="righ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66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重新计量设定受益计划净负债或净资</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产的变动</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66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14"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权益法下在被投资单位不能重分类进 损益的其他综合收益中享有的份额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37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68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32"/>
              <w:ind w:left="13" w:right="114"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权益法下在被投资单位以后将重分类 进损益的其他综合收益中享有的份额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right="114"/>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68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9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持有至到期投资重分类为可供出售金</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融资产损益</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728" w:type="dxa"/>
            <w:tcBorders>
              <w:top w:val="single" w:sz="6" w:space="0" w:color="000000"/>
              <w:left w:val="single" w:sz="14" w:space="0" w:color="D2D2D2"/>
              <w:bottom w:val="single" w:sz="17" w:space="0" w:color="D2D2D2"/>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-25,556,844.35</w:t>
            </w:r>
          </w:p>
        </w:tc>
        <w:tc>
          <w:tcPr>
            <w:tcW w:w="2729" w:type="dxa"/>
            <w:tcBorders>
              <w:top w:val="single" w:sz="6" w:space="0" w:color="000000"/>
              <w:left w:val="single" w:sz="6" w:space="0" w:color="000000"/>
              <w:bottom w:val="single" w:sz="17"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26,946,090.41</w:t>
            </w:r>
          </w:p>
        </w:tc>
      </w:tr>
      <w:tr>
        <w:trPr>
          <w:trHeight w:val="355"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72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2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728" w:type="dxa"/>
            <w:tcBorders>
              <w:top w:val="single" w:sz="17" w:space="0" w:color="D2D2D2"/>
              <w:left w:val="single" w:sz="14" w:space="0" w:color="D2D2D2"/>
              <w:bottom w:val="single" w:sz="6" w:space="0" w:color="000000"/>
              <w:right w:val="single" w:sz="6" w:space="0" w:color="000000"/>
            </w:tcBorders>
          </w:tcPr>
          <w:p>
            <w:pPr/>
          </w:p>
        </w:tc>
        <w:tc>
          <w:tcPr>
            <w:tcW w:w="2729" w:type="dxa"/>
            <w:tcBorders>
              <w:top w:val="single" w:sz="17" w:space="0" w:color="D2D2D2"/>
              <w:left w:val="single" w:sz="6" w:space="0" w:color="000000"/>
              <w:bottom w:val="single" w:sz="6" w:space="0" w:color="000000"/>
              <w:right w:val="single" w:sz="12" w:space="0" w:color="000000"/>
            </w:tcBorders>
          </w:tcPr>
          <w:p>
            <w:pPr/>
          </w:p>
        </w:tc>
      </w:tr>
      <w:tr>
        <w:trPr>
          <w:trHeight w:val="420" w:hRule="exact"/>
        </w:trPr>
        <w:tc>
          <w:tcPr>
            <w:tcW w:w="41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728" w:type="dxa"/>
            <w:tcBorders>
              <w:top w:val="single" w:sz="6" w:space="0" w:color="000000"/>
              <w:left w:val="single" w:sz="14" w:space="0" w:color="D2D2D2"/>
              <w:bottom w:val="single" w:sz="12" w:space="0" w:color="000000"/>
              <w:right w:val="single" w:sz="6" w:space="0" w:color="000000"/>
            </w:tcBorders>
          </w:tcPr>
          <w:p>
            <w:pPr/>
          </w:p>
        </w:tc>
        <w:tc>
          <w:tcPr>
            <w:tcW w:w="272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6"/>
        <w:rPr>
          <w:rFonts w:ascii="Times New Roman" w:hAnsi="Times New Roman" w:cs="Times New Roman" w:eastAsia="Times New Roman" w:hint="default"/>
          <w:sz w:val="29"/>
          <w:szCs w:val="29"/>
        </w:rPr>
      </w:pPr>
    </w:p>
    <w:p>
      <w:pPr>
        <w:spacing w:before="38"/>
        <w:ind w:left="1133" w:right="0" w:firstLine="0"/>
        <w:jc w:val="left"/>
        <w:rPr>
          <w:rFonts w:ascii="宋体" w:hAnsi="宋体" w:cs="宋体" w:eastAsia="宋体" w:hint="default"/>
          <w:sz w:val="20"/>
          <w:szCs w:val="20"/>
        </w:rPr>
      </w:pPr>
      <w:bookmarkStart w:name="5、合并现金流量表" w:id="153"/>
      <w:bookmarkEnd w:id="153"/>
      <w:r>
        <w:rPr/>
      </w:r>
      <w:r>
        <w:rPr>
          <w:rFonts w:ascii="宋体" w:hAnsi="宋体" w:cs="宋体" w:eastAsia="宋体" w:hint="default"/>
          <w:b/>
          <w:bCs/>
          <w:sz w:val="20"/>
          <w:szCs w:val="20"/>
        </w:rPr>
        <w:t>5</w:t>
      </w:r>
      <w:r>
        <w:rPr>
          <w:rFonts w:ascii="宋体" w:hAnsi="宋体" w:cs="宋体" w:eastAsia="宋体" w:hint="default"/>
          <w:b/>
          <w:bCs/>
          <w:sz w:val="20"/>
          <w:szCs w:val="20"/>
        </w:rPr>
        <w:t>、合并现金流量表</w:t>
      </w:r>
      <w:r>
        <w:rPr>
          <w:rFonts w:ascii="宋体" w:hAnsi="宋体" w:cs="宋体" w:eastAsia="宋体" w:hint="default"/>
          <w:sz w:val="20"/>
          <w:szCs w:val="20"/>
        </w:rPr>
      </w:r>
    </w:p>
    <w:p>
      <w:pPr>
        <w:spacing w:line="240" w:lineRule="auto" w:before="9"/>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4113"/>
        <w:gridCol w:w="2728"/>
        <w:gridCol w:w="2729"/>
      </w:tblGrid>
      <w:tr>
        <w:trPr>
          <w:trHeight w:val="399" w:hRule="exact"/>
        </w:trPr>
        <w:tc>
          <w:tcPr>
            <w:tcW w:w="41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72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2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2"/>
              <w:ind w:left="90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4"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72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2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1"/>
              <w:ind w:left="37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728"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59"/>
              <w:ind w:right="18"/>
              <w:jc w:val="right"/>
              <w:rPr>
                <w:rFonts w:ascii="宋体" w:hAnsi="宋体" w:cs="宋体" w:eastAsia="宋体" w:hint="default"/>
                <w:sz w:val="18"/>
                <w:szCs w:val="18"/>
              </w:rPr>
            </w:pPr>
            <w:r>
              <w:rPr>
                <w:rFonts w:ascii="宋体"/>
                <w:sz w:val="18"/>
              </w:rPr>
              <w:t>537,565,051.55</w:t>
            </w:r>
          </w:p>
        </w:tc>
        <w:tc>
          <w:tcPr>
            <w:tcW w:w="2729"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312,796,213.23</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015"/>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014"/>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68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31"/>
              <w:ind w:left="13" w:right="115"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 金融资产净增加额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37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2,641,676.11</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5,241,699.32</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left="37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179,224,856.40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11"/>
              <w:jc w:val="right"/>
              <w:rPr>
                <w:rFonts w:ascii="宋体" w:hAnsi="宋体" w:cs="宋体" w:eastAsia="宋体" w:hint="default"/>
                <w:sz w:val="18"/>
                <w:szCs w:val="18"/>
              </w:rPr>
            </w:pPr>
            <w:r>
              <w:rPr>
                <w:rFonts w:ascii="宋体"/>
                <w:sz w:val="18"/>
              </w:rPr>
              <w:t>117,245,935.96</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719,431,584.06</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435,283,848.51</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397,812,445.96</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265,563,541.51</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015"/>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015"/>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68,474,345.58</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48,230,045.26</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57,258,227.90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21,966,094.16</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170,498,253.17</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111,491,227.06</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694,043,272.61</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447,250,907.99</w:t>
            </w: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28" w:type="dxa"/>
            <w:tcBorders>
              <w:top w:val="single" w:sz="6" w:space="0" w:color="000000"/>
              <w:left w:val="single" w:sz="14" w:space="0" w:color="D2D2D2"/>
              <w:bottom w:val="single" w:sz="17" w:space="0" w:color="D2D2D2"/>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25,388,311.45</w:t>
            </w:r>
          </w:p>
        </w:tc>
        <w:tc>
          <w:tcPr>
            <w:tcW w:w="2729" w:type="dxa"/>
            <w:tcBorders>
              <w:top w:val="single" w:sz="6" w:space="0" w:color="000000"/>
              <w:left w:val="single" w:sz="6" w:space="0" w:color="000000"/>
              <w:bottom w:val="single" w:sz="17"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-11,967,059.48</w:t>
            </w:r>
          </w:p>
        </w:tc>
      </w:tr>
      <w:tr>
        <w:trPr>
          <w:trHeight w:val="354"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4"/>
              <w:ind w:left="1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72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2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728" w:type="dxa"/>
            <w:tcBorders>
              <w:top w:val="single" w:sz="17" w:space="0" w:color="D2D2D2"/>
              <w:left w:val="single" w:sz="14" w:space="0" w:color="D2D2D2"/>
              <w:bottom w:val="single" w:sz="6" w:space="0" w:color="000000"/>
              <w:right w:val="single" w:sz="6" w:space="0" w:color="000000"/>
            </w:tcBorders>
          </w:tcPr>
          <w:p>
            <w:pPr/>
          </w:p>
        </w:tc>
        <w:tc>
          <w:tcPr>
            <w:tcW w:w="2729"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7,052,800.00</w:t>
            </w:r>
          </w:p>
        </w:tc>
      </w:tr>
      <w:tr>
        <w:trPr>
          <w:trHeight w:val="419" w:hRule="exact"/>
        </w:trPr>
        <w:tc>
          <w:tcPr>
            <w:tcW w:w="41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728" w:type="dxa"/>
            <w:tcBorders>
              <w:top w:val="single" w:sz="6" w:space="0" w:color="000000"/>
              <w:left w:val="single" w:sz="14" w:space="0" w:color="D2D2D2"/>
              <w:bottom w:val="single" w:sz="12" w:space="0" w:color="000000"/>
              <w:right w:val="single" w:sz="6" w:space="0" w:color="000000"/>
            </w:tcBorders>
          </w:tcPr>
          <w:p>
            <w:pPr/>
          </w:p>
        </w:tc>
        <w:tc>
          <w:tcPr>
            <w:tcW w:w="272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1118" w:type="dxa"/>
        <w:tblLayout w:type="fixed"/>
        <w:tblCellMar>
          <w:top w:w="0" w:type="dxa"/>
          <w:left w:w="0" w:type="dxa"/>
          <w:bottom w:w="0" w:type="dxa"/>
          <w:right w:w="0" w:type="dxa"/>
        </w:tblCellMar>
        <w:tblLook w:val="01E0"/>
      </w:tblPr>
      <w:tblGrid>
        <w:gridCol w:w="4113"/>
        <w:gridCol w:w="2728"/>
        <w:gridCol w:w="2729"/>
      </w:tblGrid>
      <w:tr>
        <w:trPr>
          <w:trHeight w:val="370" w:hRule="exact"/>
        </w:trPr>
        <w:tc>
          <w:tcPr>
            <w:tcW w:w="41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72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2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90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89"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39"/>
              <w:ind w:left="13" w:right="20" w:firstLine="36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处置固定资产、无形资产和其他长期资产收回的</w:t>
            </w:r>
            <w:r>
              <w:rPr>
                <w:rFonts w:ascii="宋体" w:hAnsi="宋体" w:cs="宋体" w:eastAsia="宋体" w:hint="default"/>
                <w:sz w:val="18"/>
                <w:szCs w:val="18"/>
              </w:rPr>
              <w:t> 现金净额</w:t>
            </w:r>
          </w:p>
        </w:tc>
        <w:tc>
          <w:tcPr>
            <w:tcW w:w="2728"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8"/>
                <w:szCs w:val="18"/>
              </w:rPr>
            </w:pPr>
            <w:r>
              <w:rPr>
                <w:rFonts w:ascii="宋体"/>
                <w:sz w:val="18"/>
              </w:rPr>
              <w:t>20,000.00</w:t>
            </w:r>
          </w:p>
        </w:tc>
        <w:tc>
          <w:tcPr>
            <w:tcW w:w="2729"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9,614.35</w:t>
            </w:r>
          </w:p>
        </w:tc>
      </w:tr>
      <w:tr>
        <w:trPr>
          <w:trHeight w:val="39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right="295"/>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11,250,000.00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z w:val="18"/>
              </w:rPr>
              <w:t>8,190,908.75</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110,357,377.92</w:t>
            </w: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11,270,000.00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125,610,701.02</w:t>
            </w:r>
          </w:p>
        </w:tc>
      </w:tr>
      <w:tr>
        <w:trPr>
          <w:trHeight w:val="68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32"/>
              <w:ind w:left="13" w:right="20" w:firstLine="360"/>
              <w:jc w:val="left"/>
              <w:rPr>
                <w:rFonts w:ascii="宋体" w:hAnsi="宋体" w:cs="宋体" w:eastAsia="宋体" w:hint="default"/>
                <w:sz w:val="18"/>
                <w:szCs w:val="18"/>
              </w:rPr>
            </w:pPr>
            <w:r>
              <w:rPr>
                <w:rFonts w:ascii="宋体" w:hAnsi="宋体" w:cs="宋体" w:eastAsia="宋体" w:hint="default"/>
                <w:spacing w:val="-5"/>
                <w:sz w:val="18"/>
                <w:szCs w:val="18"/>
              </w:rPr>
              <w:t>购建固定资产、无形资产和其他长期资产支付的</w:t>
            </w:r>
            <w:r>
              <w:rPr>
                <w:rFonts w:ascii="宋体" w:hAnsi="宋体" w:cs="宋体" w:eastAsia="宋体" w:hint="default"/>
                <w:sz w:val="18"/>
                <w:szCs w:val="18"/>
              </w:rPr>
              <w:t> 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104,208,988.70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96,917,507.27</w:t>
            </w: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37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44,314,290.00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z w:val="18"/>
              </w:rPr>
              <w:t>700,000.00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29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126,972,224.97</w:t>
            </w: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275,495,503.67</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97,617,507.27</w:t>
            </w: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28"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-264,225,503.67</w:t>
            </w:r>
          </w:p>
        </w:tc>
        <w:tc>
          <w:tcPr>
            <w:tcW w:w="2729"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27,993,193.75</w:t>
            </w:r>
          </w:p>
        </w:tc>
      </w:tr>
      <w:tr>
        <w:trPr>
          <w:trHeight w:val="355"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72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2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728" w:type="dxa"/>
            <w:tcBorders>
              <w:top w:val="single" w:sz="23" w:space="0" w:color="D2D2D2"/>
              <w:left w:val="single" w:sz="14" w:space="0" w:color="D2D2D2"/>
              <w:bottom w:val="single" w:sz="6" w:space="0" w:color="000000"/>
              <w:right w:val="single" w:sz="6" w:space="0" w:color="000000"/>
            </w:tcBorders>
          </w:tcPr>
          <w:p>
            <w:pPr/>
          </w:p>
        </w:tc>
        <w:tc>
          <w:tcPr>
            <w:tcW w:w="2729"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2,960,000.00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295"/>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2,960,000.00</w:t>
            </w:r>
          </w:p>
        </w:tc>
      </w:tr>
      <w:tr>
        <w:trPr>
          <w:trHeight w:val="413"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263,061,890.47</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115,415,596.00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263,061,890.47</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118,375,596.00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156,000,000.00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88,500,000.00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24,968,527.98</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19,375,303.11</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295"/>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4,997,373.85</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7,786,970.86</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185,965,901.83</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115,662,273.97</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77,095,988.64</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2,713,322.03</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-161,741,203.58</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18,739,456.30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354,576,465.03</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335,837,008.73</w:t>
            </w:r>
          </w:p>
        </w:tc>
      </w:tr>
      <w:tr>
        <w:trPr>
          <w:trHeight w:val="420" w:hRule="exact"/>
        </w:trPr>
        <w:tc>
          <w:tcPr>
            <w:tcW w:w="41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72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192,835,261.45</w:t>
            </w:r>
          </w:p>
        </w:tc>
        <w:tc>
          <w:tcPr>
            <w:tcW w:w="27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354,576,465.03</w:t>
            </w:r>
          </w:p>
        </w:tc>
      </w:tr>
    </w:tbl>
    <w:p>
      <w:pPr>
        <w:spacing w:before="73"/>
        <w:ind w:left="1134" w:right="0" w:firstLine="0"/>
        <w:jc w:val="left"/>
        <w:rPr>
          <w:rFonts w:ascii="宋体" w:hAnsi="宋体" w:cs="宋体" w:eastAsia="宋体" w:hint="default"/>
          <w:sz w:val="20"/>
          <w:szCs w:val="20"/>
        </w:rPr>
      </w:pPr>
      <w:bookmarkStart w:name="6、母公司现金流量表" w:id="154"/>
      <w:bookmarkEnd w:id="154"/>
      <w:r>
        <w:rPr/>
      </w:r>
      <w:r>
        <w:rPr>
          <w:rFonts w:ascii="宋体" w:hAnsi="宋体" w:cs="宋体" w:eastAsia="宋体" w:hint="default"/>
          <w:b/>
          <w:bCs/>
          <w:sz w:val="20"/>
          <w:szCs w:val="20"/>
        </w:rPr>
        <w:t>6</w:t>
      </w:r>
      <w:r>
        <w:rPr>
          <w:rFonts w:ascii="宋体" w:hAnsi="宋体" w:cs="宋体" w:eastAsia="宋体" w:hint="default"/>
          <w:b/>
          <w:bCs/>
          <w:sz w:val="20"/>
          <w:szCs w:val="20"/>
        </w:rPr>
        <w:t>、母公司现金流量表</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747" w:footer="1000" w:top="1040" w:bottom="1180" w:left="0" w:right="0"/>
        </w:sectPr>
      </w:pPr>
    </w:p>
    <w:p>
      <w:pPr>
        <w:spacing w:line="240" w:lineRule="auto" w:before="9"/>
        <w:rPr>
          <w:rFonts w:ascii="宋体" w:hAnsi="宋体" w:cs="宋体" w:eastAsia="宋体" w:hint="default"/>
          <w:b/>
          <w:bCs/>
          <w:sz w:val="26"/>
          <w:szCs w:val="2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6"/>
          <w:szCs w:val="6"/>
        </w:rPr>
      </w:pPr>
    </w:p>
    <w:tbl>
      <w:tblPr>
        <w:tblW w:w="0" w:type="auto"/>
        <w:jc w:val="left"/>
        <w:tblInd w:w="1118" w:type="dxa"/>
        <w:tblLayout w:type="fixed"/>
        <w:tblCellMar>
          <w:top w:w="0" w:type="dxa"/>
          <w:left w:w="0" w:type="dxa"/>
          <w:bottom w:w="0" w:type="dxa"/>
          <w:right w:w="0" w:type="dxa"/>
        </w:tblCellMar>
        <w:tblLook w:val="01E0"/>
      </w:tblPr>
      <w:tblGrid>
        <w:gridCol w:w="4113"/>
        <w:gridCol w:w="2728"/>
        <w:gridCol w:w="2729"/>
      </w:tblGrid>
      <w:tr>
        <w:trPr>
          <w:trHeight w:val="398" w:hRule="exact"/>
        </w:trPr>
        <w:tc>
          <w:tcPr>
            <w:tcW w:w="41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72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2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90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3"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72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2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728"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227,041,270.58</w:t>
            </w:r>
          </w:p>
        </w:tc>
        <w:tc>
          <w:tcPr>
            <w:tcW w:w="2729"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276,782,411.01</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215,486.21</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216,110,757.24</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146,913,647.11</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443,152,027.82</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423,911,544.33</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163,947,538.21</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269,028,529.35</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29,250,667.08</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30,204,165.75</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13,554,911.34</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11,266,855.90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223,483,714.43</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136,055,904.76</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430,236,831.06</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446,555,455.76</w:t>
            </w:r>
          </w:p>
        </w:tc>
      </w:tr>
      <w:tr>
        <w:trPr>
          <w:trHeight w:val="44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28"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12,915,196.76</w:t>
            </w:r>
          </w:p>
        </w:tc>
        <w:tc>
          <w:tcPr>
            <w:tcW w:w="2729"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-22,643,911.43</w:t>
            </w:r>
          </w:p>
        </w:tc>
      </w:tr>
      <w:tr>
        <w:trPr>
          <w:trHeight w:val="355"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4"/>
              <w:ind w:left="1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72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2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728" w:type="dxa"/>
            <w:tcBorders>
              <w:top w:val="single" w:sz="23" w:space="0" w:color="D2D2D2"/>
              <w:left w:val="single" w:sz="14" w:space="0" w:color="D2D2D2"/>
              <w:bottom w:val="single" w:sz="6" w:space="0" w:color="000000"/>
              <w:right w:val="single" w:sz="6" w:space="0" w:color="000000"/>
            </w:tcBorders>
          </w:tcPr>
          <w:p>
            <w:pPr/>
          </w:p>
        </w:tc>
        <w:tc>
          <w:tcPr>
            <w:tcW w:w="2729"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7,052,800.00</w:t>
            </w: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68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31"/>
              <w:ind w:left="13" w:right="20" w:firstLine="36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处置固定资产、无形资产和其他长期资产收回的</w:t>
            </w:r>
            <w:r>
              <w:rPr>
                <w:rFonts w:ascii="宋体" w:hAnsi="宋体" w:cs="宋体" w:eastAsia="宋体" w:hint="default"/>
                <w:sz w:val="18"/>
                <w:szCs w:val="18"/>
              </w:rPr>
              <w:t> 现金净额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9,530.00</w:t>
            </w: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right="295"/>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11,250,000.00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z w:val="18"/>
              </w:rPr>
              <w:t>11,250,000.00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16,050.00</w:t>
            </w: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11,250,000.00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18,328,380.00</w:t>
            </w:r>
          </w:p>
        </w:tc>
      </w:tr>
      <w:tr>
        <w:trPr>
          <w:trHeight w:val="68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32"/>
              <w:ind w:left="13" w:right="20" w:firstLine="360"/>
              <w:jc w:val="left"/>
              <w:rPr>
                <w:rFonts w:ascii="宋体" w:hAnsi="宋体" w:cs="宋体" w:eastAsia="宋体" w:hint="default"/>
                <w:sz w:val="18"/>
                <w:szCs w:val="18"/>
              </w:rPr>
            </w:pPr>
            <w:r>
              <w:rPr>
                <w:rFonts w:ascii="宋体" w:hAnsi="宋体" w:cs="宋体" w:eastAsia="宋体" w:hint="default"/>
                <w:spacing w:val="-5"/>
                <w:sz w:val="18"/>
                <w:szCs w:val="18"/>
              </w:rPr>
              <w:t>购建固定资产、无形资产和其他长期资产支付的</w:t>
            </w:r>
            <w:r>
              <w:rPr>
                <w:rFonts w:ascii="宋体" w:hAnsi="宋体" w:cs="宋体" w:eastAsia="宋体" w:hint="default"/>
                <w:sz w:val="18"/>
                <w:szCs w:val="18"/>
              </w:rPr>
              <w:t> 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48,965,902.90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94,214,801.77</w:t>
            </w: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left="37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31"/>
              <w:ind w:right="18"/>
              <w:jc w:val="right"/>
              <w:rPr>
                <w:rFonts w:ascii="宋体" w:hAnsi="宋体" w:cs="宋体" w:eastAsia="宋体" w:hint="default"/>
                <w:sz w:val="18"/>
                <w:szCs w:val="18"/>
              </w:rPr>
            </w:pPr>
            <w:r>
              <w:rPr>
                <w:rFonts w:ascii="宋体"/>
                <w:sz w:val="18"/>
              </w:rPr>
              <w:t>44,414,290.00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1"/>
              <w:ind w:right="11"/>
              <w:jc w:val="right"/>
              <w:rPr>
                <w:rFonts w:ascii="宋体" w:hAnsi="宋体" w:cs="宋体" w:eastAsia="宋体" w:hint="default"/>
                <w:sz w:val="18"/>
                <w:szCs w:val="18"/>
              </w:rPr>
            </w:pPr>
            <w:r>
              <w:rPr>
                <w:rFonts w:ascii="宋体"/>
                <w:sz w:val="18"/>
              </w:rPr>
              <w:t>700,000.00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29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131,723,750.00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14,440,000.00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225,103,942.90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109,354,801.77</w:t>
            </w: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28" w:type="dxa"/>
            <w:tcBorders>
              <w:top w:val="single" w:sz="6" w:space="0" w:color="000000"/>
              <w:left w:val="single" w:sz="14" w:space="0" w:color="D2D2D2"/>
              <w:bottom w:val="single" w:sz="17" w:space="0" w:color="D2D2D2"/>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-213,853,942.90</w:t>
            </w:r>
          </w:p>
        </w:tc>
        <w:tc>
          <w:tcPr>
            <w:tcW w:w="2729" w:type="dxa"/>
            <w:tcBorders>
              <w:top w:val="single" w:sz="6" w:space="0" w:color="000000"/>
              <w:left w:val="single" w:sz="6" w:space="0" w:color="000000"/>
              <w:bottom w:val="single" w:sz="17"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-91,026,421.77</w:t>
            </w:r>
          </w:p>
        </w:tc>
      </w:tr>
      <w:tr>
        <w:trPr>
          <w:trHeight w:val="355"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4"/>
              <w:ind w:left="1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72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2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1"/>
              <w:ind w:left="37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728" w:type="dxa"/>
            <w:tcBorders>
              <w:top w:val="single" w:sz="23" w:space="0" w:color="D2D2D2"/>
              <w:left w:val="single" w:sz="14" w:space="0" w:color="D2D2D2"/>
              <w:bottom w:val="single" w:sz="6" w:space="0" w:color="000000"/>
              <w:right w:val="single" w:sz="6" w:space="0" w:color="000000"/>
            </w:tcBorders>
          </w:tcPr>
          <w:p>
            <w:pPr/>
          </w:p>
        </w:tc>
        <w:tc>
          <w:tcPr>
            <w:tcW w:w="2729" w:type="dxa"/>
            <w:tcBorders>
              <w:top w:val="single" w:sz="23" w:space="0" w:color="D2D2D2"/>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215,061,890.47</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81,415,596.00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9" w:hRule="exact"/>
        </w:trPr>
        <w:tc>
          <w:tcPr>
            <w:tcW w:w="41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72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215,061,890.47</w:t>
            </w:r>
          </w:p>
        </w:tc>
        <w:tc>
          <w:tcPr>
            <w:tcW w:w="27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81,415,596.00</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1118" w:type="dxa"/>
        <w:tblLayout w:type="fixed"/>
        <w:tblCellMar>
          <w:top w:w="0" w:type="dxa"/>
          <w:left w:w="0" w:type="dxa"/>
          <w:bottom w:w="0" w:type="dxa"/>
          <w:right w:w="0" w:type="dxa"/>
        </w:tblCellMar>
        <w:tblLook w:val="01E0"/>
      </w:tblPr>
      <w:tblGrid>
        <w:gridCol w:w="4113"/>
        <w:gridCol w:w="2728"/>
        <w:gridCol w:w="2729"/>
      </w:tblGrid>
      <w:tr>
        <w:trPr>
          <w:trHeight w:val="370" w:hRule="exact"/>
        </w:trPr>
        <w:tc>
          <w:tcPr>
            <w:tcW w:w="41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72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2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90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728"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8"/>
              <w:jc w:val="right"/>
              <w:rPr>
                <w:rFonts w:ascii="宋体" w:hAnsi="宋体" w:cs="宋体" w:eastAsia="宋体" w:hint="default"/>
                <w:sz w:val="18"/>
                <w:szCs w:val="18"/>
              </w:rPr>
            </w:pPr>
            <w:r>
              <w:rPr>
                <w:rFonts w:ascii="宋体"/>
                <w:sz w:val="18"/>
              </w:rPr>
              <w:t>111,000,000.00</w:t>
            </w:r>
          </w:p>
        </w:tc>
        <w:tc>
          <w:tcPr>
            <w:tcW w:w="2729"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40,000,000.00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15,639,467.98</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16,682,404.41</w:t>
            </w:r>
          </w:p>
        </w:tc>
      </w:tr>
      <w:tr>
        <w:trPr>
          <w:trHeight w:val="413"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4,997,373.85</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7,786,970.86</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131,636,841.83</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64,469,375.27</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83,425,048.64</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16,946,220.73</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-117,513,697.50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-96,724,112.47</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226,963,337.47</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323,687,449.94</w:t>
            </w:r>
          </w:p>
        </w:tc>
      </w:tr>
      <w:tr>
        <w:trPr>
          <w:trHeight w:val="420" w:hRule="exact"/>
        </w:trPr>
        <w:tc>
          <w:tcPr>
            <w:tcW w:w="41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72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109,449,639.97</w:t>
            </w:r>
          </w:p>
        </w:tc>
        <w:tc>
          <w:tcPr>
            <w:tcW w:w="27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226,963,337.47</w:t>
            </w:r>
          </w:p>
        </w:tc>
      </w:tr>
    </w:tbl>
    <w:p>
      <w:pPr>
        <w:spacing w:before="72"/>
        <w:ind w:left="1134" w:right="0" w:firstLine="0"/>
        <w:jc w:val="left"/>
        <w:rPr>
          <w:rFonts w:ascii="宋体" w:hAnsi="宋体" w:cs="宋体" w:eastAsia="宋体" w:hint="default"/>
          <w:sz w:val="20"/>
          <w:szCs w:val="20"/>
        </w:rPr>
      </w:pPr>
      <w:bookmarkStart w:name="7、合并所有者权益变动表" w:id="155"/>
      <w:bookmarkEnd w:id="155"/>
      <w:r>
        <w:rPr/>
      </w:r>
      <w:r>
        <w:rPr>
          <w:rFonts w:ascii="宋体" w:hAnsi="宋体" w:cs="宋体" w:eastAsia="宋体" w:hint="default"/>
          <w:b/>
          <w:bCs/>
          <w:sz w:val="20"/>
          <w:szCs w:val="20"/>
        </w:rPr>
        <w:t>7</w:t>
      </w:r>
      <w:r>
        <w:rPr>
          <w:rFonts w:ascii="宋体" w:hAnsi="宋体" w:cs="宋体" w:eastAsia="宋体" w:hint="default"/>
          <w:b/>
          <w:bCs/>
          <w:sz w:val="20"/>
          <w:szCs w:val="20"/>
        </w:rPr>
        <w:t>、合并所有者权益变动表</w:t>
      </w:r>
      <w:r>
        <w:rPr>
          <w:rFonts w:ascii="宋体" w:hAnsi="宋体" w:cs="宋体" w:eastAsia="宋体" w:hint="default"/>
          <w:sz w:val="20"/>
          <w:szCs w:val="20"/>
        </w:rPr>
      </w:r>
    </w:p>
    <w:p>
      <w:pPr>
        <w:spacing w:line="240" w:lineRule="auto" w:before="13"/>
        <w:rPr>
          <w:rFonts w:ascii="宋体" w:hAnsi="宋体" w:cs="宋体" w:eastAsia="宋体" w:hint="default"/>
          <w:b/>
          <w:bCs/>
          <w:sz w:val="16"/>
          <w:szCs w:val="1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line="240" w:lineRule="auto" w:before="7"/>
        <w:rPr>
          <w:rFonts w:ascii="宋体" w:hAnsi="宋体" w:cs="宋体" w:eastAsia="宋体" w:hint="default"/>
          <w:sz w:val="11"/>
          <w:szCs w:val="1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11"/>
          <w:szCs w:val="11"/>
        </w:rPr>
      </w:pPr>
    </w:p>
    <w:tbl>
      <w:tblPr>
        <w:tblW w:w="0" w:type="auto"/>
        <w:jc w:val="left"/>
        <w:tblInd w:w="187" w:type="dxa"/>
        <w:tblLayout w:type="fixed"/>
        <w:tblCellMar>
          <w:top w:w="0" w:type="dxa"/>
          <w:left w:w="0" w:type="dxa"/>
          <w:bottom w:w="0" w:type="dxa"/>
          <w:right w:w="0" w:type="dxa"/>
        </w:tblCellMar>
        <w:tblLook w:val="01E0"/>
      </w:tblPr>
      <w:tblGrid>
        <w:gridCol w:w="779"/>
        <w:gridCol w:w="1428"/>
        <w:gridCol w:w="284"/>
        <w:gridCol w:w="283"/>
        <w:gridCol w:w="266"/>
        <w:gridCol w:w="1434"/>
        <w:gridCol w:w="408"/>
        <w:gridCol w:w="426"/>
        <w:gridCol w:w="300"/>
        <w:gridCol w:w="1277"/>
        <w:gridCol w:w="425"/>
        <w:gridCol w:w="1419"/>
        <w:gridCol w:w="1274"/>
        <w:gridCol w:w="1502"/>
      </w:tblGrid>
      <w:tr>
        <w:trPr>
          <w:trHeight w:val="380" w:hRule="exact"/>
        </w:trPr>
        <w:tc>
          <w:tcPr>
            <w:tcW w:w="779" w:type="dxa"/>
            <w:vMerge w:val="restart"/>
            <w:tcBorders>
              <w:top w:val="single" w:sz="12" w:space="0" w:color="000000"/>
              <w:left w:val="single" w:sz="12" w:space="0" w:color="000000"/>
              <w:right w:val="single" w:sz="6" w:space="0" w:color="000000"/>
            </w:tcBorders>
            <w:shd w:val="clear" w:color="auto" w:fill="D2D2D2"/>
          </w:tcPr>
          <w:p>
            <w:pPr/>
          </w:p>
        </w:tc>
        <w:tc>
          <w:tcPr>
            <w:tcW w:w="10728" w:type="dxa"/>
            <w:gridSpan w:val="1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20"/>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73" w:hRule="exact"/>
        </w:trPr>
        <w:tc>
          <w:tcPr>
            <w:tcW w:w="779" w:type="dxa"/>
            <w:vMerge/>
            <w:tcBorders>
              <w:left w:val="single" w:sz="12" w:space="0" w:color="000000"/>
              <w:right w:val="single" w:sz="6" w:space="0" w:color="000000"/>
            </w:tcBorders>
            <w:shd w:val="clear" w:color="auto" w:fill="D2D2D2"/>
          </w:tcPr>
          <w:p>
            <w:pPr/>
          </w:p>
        </w:tc>
        <w:tc>
          <w:tcPr>
            <w:tcW w:w="7951"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4" w:type="dxa"/>
            <w:vMerge w:val="restart"/>
            <w:tcBorders>
              <w:top w:val="single" w:sz="6" w:space="0" w:color="000000"/>
              <w:left w:val="single" w:sz="6" w:space="0" w:color="000000"/>
              <w:right w:val="single" w:sz="6" w:space="0" w:color="000000"/>
            </w:tcBorders>
            <w:shd w:val="clear" w:color="auto" w:fill="D2D2D2"/>
          </w:tcPr>
          <w:p>
            <w:pPr/>
          </w:p>
        </w:tc>
        <w:tc>
          <w:tcPr>
            <w:tcW w:w="1502" w:type="dxa"/>
            <w:vMerge w:val="restart"/>
            <w:tcBorders>
              <w:top w:val="single" w:sz="6" w:space="0" w:color="000000"/>
              <w:left w:val="single" w:sz="6" w:space="0" w:color="000000"/>
              <w:right w:val="single" w:sz="12" w:space="0" w:color="000000"/>
            </w:tcBorders>
            <w:shd w:val="clear" w:color="auto" w:fill="D2D2D2"/>
          </w:tcPr>
          <w:p>
            <w:pPr/>
          </w:p>
        </w:tc>
      </w:tr>
      <w:tr>
        <w:trPr>
          <w:trHeight w:val="116" w:hRule="exact"/>
        </w:trPr>
        <w:tc>
          <w:tcPr>
            <w:tcW w:w="779" w:type="dxa"/>
            <w:vMerge/>
            <w:tcBorders>
              <w:left w:val="single" w:sz="12" w:space="0" w:color="000000"/>
              <w:bottom w:val="nil" w:sz="6" w:space="0" w:color="auto"/>
              <w:right w:val="single" w:sz="6" w:space="0" w:color="000000"/>
            </w:tcBorders>
            <w:shd w:val="clear" w:color="auto" w:fill="D2D2D2"/>
          </w:tcPr>
          <w:p>
            <w:pPr/>
          </w:p>
        </w:tc>
        <w:tc>
          <w:tcPr>
            <w:tcW w:w="1428" w:type="dxa"/>
            <w:vMerge w:val="restart"/>
            <w:tcBorders>
              <w:top w:val="single" w:sz="6" w:space="0" w:color="000000"/>
              <w:left w:val="single" w:sz="6" w:space="0" w:color="000000"/>
              <w:right w:val="single" w:sz="6" w:space="0" w:color="000000"/>
            </w:tcBorders>
            <w:shd w:val="clear" w:color="auto" w:fill="D2D2D2"/>
          </w:tcPr>
          <w:p>
            <w:pPr/>
          </w:p>
        </w:tc>
        <w:tc>
          <w:tcPr>
            <w:tcW w:w="834"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4" w:lineRule="auto" w:before="20"/>
              <w:ind w:left="230" w:right="47"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434" w:type="dxa"/>
            <w:vMerge w:val="restart"/>
            <w:tcBorders>
              <w:top w:val="single" w:sz="6" w:space="0" w:color="000000"/>
              <w:left w:val="single" w:sz="6" w:space="0" w:color="000000"/>
              <w:right w:val="single" w:sz="6" w:space="0" w:color="000000"/>
            </w:tcBorders>
            <w:shd w:val="clear" w:color="auto" w:fill="D2D2D2"/>
          </w:tcPr>
          <w:p>
            <w:pPr/>
          </w:p>
        </w:tc>
        <w:tc>
          <w:tcPr>
            <w:tcW w:w="408" w:type="dxa"/>
            <w:tcBorders>
              <w:top w:val="single" w:sz="6" w:space="0" w:color="000000"/>
              <w:left w:val="single" w:sz="6" w:space="0" w:color="000000"/>
              <w:bottom w:val="nil" w:sz="6" w:space="0" w:color="auto"/>
              <w:right w:val="single" w:sz="6" w:space="0" w:color="000000"/>
            </w:tcBorders>
            <w:shd w:val="clear" w:color="auto" w:fill="D2D2D2"/>
          </w:tcPr>
          <w:p>
            <w:pPr/>
          </w:p>
        </w:tc>
        <w:tc>
          <w:tcPr>
            <w:tcW w:w="426" w:type="dxa"/>
            <w:vMerge w:val="restart"/>
            <w:tcBorders>
              <w:top w:val="single" w:sz="6" w:space="0" w:color="000000"/>
              <w:left w:val="single" w:sz="6" w:space="0" w:color="000000"/>
              <w:right w:val="single" w:sz="6" w:space="0" w:color="000000"/>
            </w:tcBorders>
            <w:shd w:val="clear" w:color="auto" w:fill="D2D2D2"/>
          </w:tcPr>
          <w:p>
            <w:pPr/>
          </w:p>
        </w:tc>
        <w:tc>
          <w:tcPr>
            <w:tcW w:w="300"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7" w:type="dxa"/>
            <w:vMerge w:val="restart"/>
            <w:tcBorders>
              <w:top w:val="single" w:sz="6" w:space="0" w:color="000000"/>
              <w:left w:val="single" w:sz="6" w:space="0" w:color="000000"/>
              <w:right w:val="single" w:sz="6" w:space="0" w:color="000000"/>
            </w:tcBorders>
            <w:shd w:val="clear" w:color="auto" w:fill="D2D2D2"/>
          </w:tcPr>
          <w:p>
            <w:pPr/>
          </w:p>
        </w:tc>
        <w:tc>
          <w:tcPr>
            <w:tcW w:w="425" w:type="dxa"/>
            <w:vMerge w:val="restart"/>
            <w:tcBorders>
              <w:top w:val="single" w:sz="6" w:space="0" w:color="000000"/>
              <w:left w:val="single" w:sz="6" w:space="0" w:color="000000"/>
              <w:right w:val="single" w:sz="6" w:space="0" w:color="000000"/>
            </w:tcBorders>
            <w:shd w:val="clear" w:color="auto" w:fill="D2D2D2"/>
          </w:tcPr>
          <w:p>
            <w:pPr/>
          </w:p>
        </w:tc>
        <w:tc>
          <w:tcPr>
            <w:tcW w:w="1419" w:type="dxa"/>
            <w:vMerge w:val="restart"/>
            <w:tcBorders>
              <w:top w:val="single" w:sz="6" w:space="0" w:color="000000"/>
              <w:left w:val="single" w:sz="6" w:space="0" w:color="000000"/>
              <w:right w:val="single" w:sz="6" w:space="0" w:color="000000"/>
            </w:tcBorders>
            <w:shd w:val="clear" w:color="auto" w:fill="D2D2D2"/>
          </w:tcPr>
          <w:p>
            <w:pPr/>
          </w:p>
        </w:tc>
        <w:tc>
          <w:tcPr>
            <w:tcW w:w="1274" w:type="dxa"/>
            <w:vMerge/>
            <w:tcBorders>
              <w:left w:val="single" w:sz="6" w:space="0" w:color="000000"/>
              <w:right w:val="single" w:sz="6" w:space="0" w:color="000000"/>
            </w:tcBorders>
            <w:shd w:val="clear" w:color="auto" w:fill="D2D2D2"/>
          </w:tcPr>
          <w:p>
            <w:pPr/>
          </w:p>
        </w:tc>
        <w:tc>
          <w:tcPr>
            <w:tcW w:w="1502" w:type="dxa"/>
            <w:vMerge/>
            <w:tcBorders>
              <w:left w:val="single" w:sz="6" w:space="0" w:color="000000"/>
              <w:right w:val="single" w:sz="12" w:space="0" w:color="000000"/>
            </w:tcBorders>
            <w:shd w:val="clear" w:color="auto" w:fill="D2D2D2"/>
          </w:tcPr>
          <w:p>
            <w:pPr/>
          </w:p>
        </w:tc>
      </w:tr>
      <w:tr>
        <w:trPr>
          <w:trHeight w:val="181" w:hRule="exact"/>
        </w:trPr>
        <w:tc>
          <w:tcPr>
            <w:tcW w:w="779"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23" w:lineRule="exact"/>
              <w:ind w:left="19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28" w:type="dxa"/>
            <w:vMerge/>
            <w:tcBorders>
              <w:left w:val="single" w:sz="6" w:space="0" w:color="000000"/>
              <w:right w:val="single" w:sz="6" w:space="0" w:color="000000"/>
            </w:tcBorders>
            <w:shd w:val="clear" w:color="auto" w:fill="D2D2D2"/>
          </w:tcPr>
          <w:p>
            <w:pPr/>
          </w:p>
        </w:tc>
        <w:tc>
          <w:tcPr>
            <w:tcW w:w="834" w:type="dxa"/>
            <w:gridSpan w:val="3"/>
            <w:vMerge/>
            <w:tcBorders>
              <w:left w:val="single" w:sz="6" w:space="0" w:color="000000"/>
              <w:right w:val="single" w:sz="6" w:space="0" w:color="000000"/>
            </w:tcBorders>
            <w:shd w:val="clear" w:color="auto" w:fill="D2D2D2"/>
          </w:tcPr>
          <w:p>
            <w:pPr/>
          </w:p>
        </w:tc>
        <w:tc>
          <w:tcPr>
            <w:tcW w:w="1434" w:type="dxa"/>
            <w:vMerge/>
            <w:tcBorders>
              <w:left w:val="single" w:sz="6" w:space="0" w:color="000000"/>
              <w:right w:val="single" w:sz="6" w:space="0" w:color="000000"/>
            </w:tcBorders>
            <w:shd w:val="clear" w:color="auto" w:fill="D2D2D2"/>
          </w:tcPr>
          <w:p>
            <w:pPr/>
          </w:p>
        </w:tc>
        <w:tc>
          <w:tcPr>
            <w:tcW w:w="408" w:type="dxa"/>
            <w:vMerge w:val="restart"/>
            <w:tcBorders>
              <w:top w:val="nil" w:sz="6" w:space="0" w:color="auto"/>
              <w:left w:val="single" w:sz="6" w:space="0" w:color="000000"/>
              <w:right w:val="single" w:sz="6" w:space="0" w:color="000000"/>
            </w:tcBorders>
            <w:shd w:val="clear" w:color="auto" w:fill="D2D2D2"/>
          </w:tcPr>
          <w:p>
            <w:pPr>
              <w:pStyle w:val="TableParagraph"/>
              <w:spacing w:line="244" w:lineRule="auto" w:before="42"/>
              <w:ind w:left="106" w:right="10" w:hanging="86"/>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426" w:type="dxa"/>
            <w:vMerge/>
            <w:tcBorders>
              <w:left w:val="single" w:sz="6" w:space="0" w:color="000000"/>
              <w:bottom w:val="nil" w:sz="6" w:space="0" w:color="auto"/>
              <w:right w:val="single" w:sz="6" w:space="0" w:color="000000"/>
            </w:tcBorders>
            <w:shd w:val="clear" w:color="auto" w:fill="D2D2D2"/>
          </w:tcPr>
          <w:p>
            <w:pPr/>
          </w:p>
        </w:tc>
        <w:tc>
          <w:tcPr>
            <w:tcW w:w="300" w:type="dxa"/>
            <w:vMerge w:val="restart"/>
            <w:tcBorders>
              <w:top w:val="nil" w:sz="6" w:space="0" w:color="auto"/>
              <w:left w:val="single" w:sz="6" w:space="0" w:color="000000"/>
              <w:right w:val="single" w:sz="6" w:space="0" w:color="000000"/>
            </w:tcBorders>
            <w:shd w:val="clear" w:color="auto" w:fill="D2D2D2"/>
          </w:tcPr>
          <w:p>
            <w:pPr>
              <w:pStyle w:val="TableParagraph"/>
              <w:spacing w:line="244" w:lineRule="auto" w:before="42"/>
              <w:ind w:left="52" w:right="50"/>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7"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1419" w:type="dxa"/>
            <w:vMerge/>
            <w:tcBorders>
              <w:left w:val="single" w:sz="6" w:space="0" w:color="000000"/>
              <w:right w:val="single" w:sz="6" w:space="0" w:color="000000"/>
            </w:tcBorders>
            <w:shd w:val="clear" w:color="auto" w:fill="D2D2D2"/>
          </w:tcPr>
          <w:p>
            <w:pPr/>
          </w:p>
        </w:tc>
        <w:tc>
          <w:tcPr>
            <w:tcW w:w="1274" w:type="dxa"/>
            <w:vMerge/>
            <w:tcBorders>
              <w:left w:val="single" w:sz="6" w:space="0" w:color="000000"/>
              <w:bottom w:val="nil" w:sz="6" w:space="0" w:color="auto"/>
              <w:right w:val="single" w:sz="6" w:space="0" w:color="000000"/>
            </w:tcBorders>
            <w:shd w:val="clear" w:color="auto" w:fill="D2D2D2"/>
          </w:tcPr>
          <w:p>
            <w:pPr/>
          </w:p>
        </w:tc>
        <w:tc>
          <w:tcPr>
            <w:tcW w:w="1502" w:type="dxa"/>
            <w:vMerge/>
            <w:tcBorders>
              <w:left w:val="single" w:sz="6" w:space="0" w:color="000000"/>
              <w:bottom w:val="nil" w:sz="6" w:space="0" w:color="auto"/>
              <w:right w:val="single" w:sz="12" w:space="0" w:color="000000"/>
            </w:tcBorders>
            <w:shd w:val="clear" w:color="auto" w:fill="D2D2D2"/>
          </w:tcPr>
          <w:p>
            <w:pPr/>
          </w:p>
        </w:tc>
      </w:tr>
      <w:tr>
        <w:trPr>
          <w:trHeight w:val="197" w:hRule="exact"/>
        </w:trPr>
        <w:tc>
          <w:tcPr>
            <w:tcW w:w="779" w:type="dxa"/>
            <w:vMerge w:val="restart"/>
            <w:tcBorders>
              <w:top w:val="nil" w:sz="6" w:space="0" w:color="auto"/>
              <w:left w:val="single" w:sz="12" w:space="0" w:color="000000"/>
              <w:right w:val="single" w:sz="6" w:space="0" w:color="000000"/>
            </w:tcBorders>
            <w:shd w:val="clear" w:color="auto" w:fill="D2D2D2"/>
          </w:tcPr>
          <w:p>
            <w:pPr/>
          </w:p>
        </w:tc>
        <w:tc>
          <w:tcPr>
            <w:tcW w:w="1428" w:type="dxa"/>
            <w:vMerge/>
            <w:tcBorders>
              <w:left w:val="single" w:sz="6" w:space="0" w:color="000000"/>
              <w:bottom w:val="nil" w:sz="6" w:space="0" w:color="auto"/>
              <w:right w:val="single" w:sz="6" w:space="0" w:color="000000"/>
            </w:tcBorders>
            <w:shd w:val="clear" w:color="auto" w:fill="D2D2D2"/>
          </w:tcPr>
          <w:p>
            <w:pPr/>
          </w:p>
        </w:tc>
        <w:tc>
          <w:tcPr>
            <w:tcW w:w="834" w:type="dxa"/>
            <w:gridSpan w:val="3"/>
            <w:vMerge/>
            <w:tcBorders>
              <w:left w:val="single" w:sz="6" w:space="0" w:color="000000"/>
              <w:bottom w:val="single" w:sz="6" w:space="0" w:color="000000"/>
              <w:right w:val="single" w:sz="6" w:space="0" w:color="000000"/>
            </w:tcBorders>
            <w:shd w:val="clear" w:color="auto" w:fill="D2D2D2"/>
          </w:tcPr>
          <w:p>
            <w:pPr/>
          </w:p>
        </w:tc>
        <w:tc>
          <w:tcPr>
            <w:tcW w:w="1434" w:type="dxa"/>
            <w:vMerge/>
            <w:tcBorders>
              <w:left w:val="single" w:sz="6" w:space="0" w:color="000000"/>
              <w:bottom w:val="nil" w:sz="6" w:space="0" w:color="auto"/>
              <w:right w:val="single" w:sz="6" w:space="0" w:color="000000"/>
            </w:tcBorders>
            <w:shd w:val="clear" w:color="auto" w:fill="D2D2D2"/>
          </w:tcPr>
          <w:p>
            <w:pPr/>
          </w:p>
        </w:tc>
        <w:tc>
          <w:tcPr>
            <w:tcW w:w="408"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Style w:val="TableParagraph"/>
              <w:spacing w:line="217" w:lineRule="exact"/>
              <w:ind w:left="25"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4" w:lineRule="auto" w:before="5"/>
              <w:ind w:left="25" w:right="24"/>
              <w:jc w:val="left"/>
              <w:rPr>
                <w:rFonts w:ascii="宋体" w:hAnsi="宋体" w:cs="宋体" w:eastAsia="宋体" w:hint="default"/>
                <w:sz w:val="18"/>
                <w:szCs w:val="18"/>
              </w:rPr>
            </w:pPr>
            <w:r>
              <w:rPr>
                <w:rFonts w:ascii="宋体" w:hAnsi="宋体" w:cs="宋体" w:eastAsia="宋体" w:hint="default"/>
                <w:sz w:val="18"/>
                <w:szCs w:val="18"/>
              </w:rPr>
              <w:t>综合 收益</w:t>
            </w:r>
          </w:p>
        </w:tc>
        <w:tc>
          <w:tcPr>
            <w:tcW w:w="300"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200" w:lineRule="exact"/>
              <w:ind w:left="23" w:right="0"/>
              <w:jc w:val="left"/>
              <w:rPr>
                <w:rFonts w:ascii="宋体" w:hAnsi="宋体" w:cs="宋体" w:eastAsia="宋体" w:hint="default"/>
                <w:sz w:val="18"/>
                <w:szCs w:val="18"/>
              </w:rPr>
            </w:pPr>
            <w:r>
              <w:rPr>
                <w:rFonts w:ascii="宋体" w:hAnsi="宋体" w:cs="宋体" w:eastAsia="宋体" w:hint="default"/>
                <w:sz w:val="18"/>
                <w:szCs w:val="18"/>
              </w:rPr>
              <w:t>一般</w:t>
            </w:r>
          </w:p>
          <w:p>
            <w:pPr>
              <w:pStyle w:val="TableParagraph"/>
              <w:spacing w:line="244" w:lineRule="auto" w:before="5"/>
              <w:ind w:left="23" w:right="24"/>
              <w:jc w:val="left"/>
              <w:rPr>
                <w:rFonts w:ascii="宋体" w:hAnsi="宋体" w:cs="宋体" w:eastAsia="宋体" w:hint="default"/>
                <w:sz w:val="18"/>
                <w:szCs w:val="18"/>
              </w:rPr>
            </w:pPr>
            <w:r>
              <w:rPr>
                <w:rFonts w:ascii="宋体" w:hAnsi="宋体" w:cs="宋体" w:eastAsia="宋体" w:hint="default"/>
                <w:sz w:val="18"/>
                <w:szCs w:val="18"/>
              </w:rPr>
              <w:t>风险 准备</w:t>
            </w:r>
          </w:p>
        </w:tc>
        <w:tc>
          <w:tcPr>
            <w:tcW w:w="1419" w:type="dxa"/>
            <w:vMerge/>
            <w:tcBorders>
              <w:left w:val="single" w:sz="6" w:space="0" w:color="000000"/>
              <w:bottom w:val="nil" w:sz="6" w:space="0" w:color="auto"/>
              <w:right w:val="single" w:sz="6" w:space="0" w:color="000000"/>
            </w:tcBorders>
            <w:shd w:val="clear" w:color="auto" w:fill="D2D2D2"/>
          </w:tcPr>
          <w:p>
            <w:pPr/>
          </w:p>
        </w:tc>
        <w:tc>
          <w:tcPr>
            <w:tcW w:w="127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少数股东权益</w:t>
            </w:r>
          </w:p>
        </w:tc>
        <w:tc>
          <w:tcPr>
            <w:tcW w:w="1502" w:type="dxa"/>
            <w:tcBorders>
              <w:top w:val="nil" w:sz="6" w:space="0" w:color="auto"/>
              <w:left w:val="single" w:sz="6" w:space="0" w:color="000000"/>
              <w:bottom w:val="nil" w:sz="6" w:space="0" w:color="auto"/>
              <w:right w:val="single" w:sz="12" w:space="0" w:color="000000"/>
            </w:tcBorders>
            <w:shd w:val="clear" w:color="auto" w:fill="D2D2D2"/>
          </w:tcPr>
          <w:p>
            <w:pPr>
              <w:pStyle w:val="TableParagraph"/>
              <w:spacing w:line="209" w:lineRule="exact"/>
              <w:ind w:left="1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779" w:type="dxa"/>
            <w:vMerge/>
            <w:tcBorders>
              <w:left w:val="single" w:sz="12" w:space="0" w:color="000000"/>
              <w:right w:val="single" w:sz="6" w:space="0" w:color="000000"/>
            </w:tcBorders>
            <w:shd w:val="clear" w:color="auto" w:fill="D2D2D2"/>
          </w:tcPr>
          <w:p>
            <w:pPr/>
          </w:p>
        </w:tc>
        <w:tc>
          <w:tcPr>
            <w:tcW w:w="142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18" w:lineRule="exact"/>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8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exact" w:before="1"/>
              <w:ind w:left="45" w:right="42"/>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exact" w:before="1"/>
              <w:ind w:left="43" w:right="4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66" w:type="dxa"/>
            <w:vMerge w:val="restart"/>
            <w:tcBorders>
              <w:top w:val="single" w:sz="6" w:space="0" w:color="000000"/>
              <w:left w:val="single" w:sz="6" w:space="0" w:color="000000"/>
              <w:right w:val="single" w:sz="6" w:space="0" w:color="000000"/>
            </w:tcBorders>
            <w:shd w:val="clear" w:color="auto" w:fill="D2D2D2"/>
          </w:tcPr>
          <w:p>
            <w:pPr>
              <w:pStyle w:val="TableParagraph"/>
              <w:spacing w:line="244" w:lineRule="auto" w:before="103"/>
              <w:ind w:left="34" w:right="35"/>
              <w:jc w:val="left"/>
              <w:rPr>
                <w:rFonts w:ascii="宋体" w:hAnsi="宋体" w:cs="宋体" w:eastAsia="宋体" w:hint="default"/>
                <w:sz w:val="18"/>
                <w:szCs w:val="18"/>
              </w:rPr>
            </w:pPr>
            <w:r>
              <w:rPr>
                <w:rFonts w:ascii="宋体" w:hAnsi="宋体" w:cs="宋体" w:eastAsia="宋体" w:hint="default"/>
                <w:sz w:val="18"/>
                <w:szCs w:val="18"/>
              </w:rPr>
              <w:t>其 他</w:t>
            </w:r>
          </w:p>
        </w:tc>
        <w:tc>
          <w:tcPr>
            <w:tcW w:w="143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18" w:lineRule="exact"/>
              <w:ind w:left="3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08" w:type="dxa"/>
            <w:vMerge/>
            <w:tcBorders>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300" w:type="dxa"/>
            <w:vMerge/>
            <w:tcBorders>
              <w:left w:val="single" w:sz="6" w:space="0" w:color="000000"/>
              <w:right w:val="single" w:sz="6" w:space="0" w:color="000000"/>
            </w:tcBorders>
            <w:shd w:val="clear" w:color="auto" w:fill="D2D2D2"/>
          </w:tcPr>
          <w:p>
            <w:pPr/>
          </w:p>
        </w:tc>
        <w:tc>
          <w:tcPr>
            <w:tcW w:w="127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6" w:space="0" w:color="000000"/>
              <w:right w:val="single" w:sz="6" w:space="0" w:color="000000"/>
            </w:tcBorders>
            <w:shd w:val="clear" w:color="auto" w:fill="D2D2D2"/>
          </w:tcPr>
          <w:p>
            <w:pPr/>
          </w:p>
        </w:tc>
        <w:tc>
          <w:tcPr>
            <w:tcW w:w="141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175" w:lineRule="exact"/>
              <w:ind w:left="25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4" w:type="dxa"/>
            <w:vMerge w:val="restart"/>
            <w:tcBorders>
              <w:top w:val="nil" w:sz="6" w:space="0" w:color="auto"/>
              <w:left w:val="single" w:sz="6" w:space="0" w:color="000000"/>
              <w:right w:val="single" w:sz="6" w:space="0" w:color="000000"/>
            </w:tcBorders>
            <w:shd w:val="clear" w:color="auto" w:fill="D2D2D2"/>
          </w:tcPr>
          <w:p>
            <w:pPr/>
          </w:p>
        </w:tc>
        <w:tc>
          <w:tcPr>
            <w:tcW w:w="1502" w:type="dxa"/>
            <w:vMerge w:val="restart"/>
            <w:tcBorders>
              <w:top w:val="nil" w:sz="6" w:space="0" w:color="auto"/>
              <w:left w:val="single" w:sz="6" w:space="0" w:color="000000"/>
              <w:right w:val="single" w:sz="12" w:space="0" w:color="000000"/>
            </w:tcBorders>
            <w:shd w:val="clear" w:color="auto" w:fill="D2D2D2"/>
          </w:tcPr>
          <w:p>
            <w:pPr/>
          </w:p>
        </w:tc>
      </w:tr>
      <w:tr>
        <w:trPr>
          <w:trHeight w:val="240" w:hRule="exact"/>
        </w:trPr>
        <w:tc>
          <w:tcPr>
            <w:tcW w:w="779" w:type="dxa"/>
            <w:vMerge/>
            <w:tcBorders>
              <w:left w:val="single" w:sz="12" w:space="0" w:color="000000"/>
              <w:right w:val="single" w:sz="6" w:space="0" w:color="000000"/>
            </w:tcBorders>
            <w:shd w:val="clear" w:color="auto" w:fill="D2D2D2"/>
          </w:tcPr>
          <w:p>
            <w:pPr/>
          </w:p>
        </w:tc>
        <w:tc>
          <w:tcPr>
            <w:tcW w:w="1428" w:type="dxa"/>
            <w:vMerge w:val="restart"/>
            <w:tcBorders>
              <w:top w:val="nil" w:sz="6" w:space="0" w:color="auto"/>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66" w:type="dxa"/>
            <w:vMerge/>
            <w:tcBorders>
              <w:left w:val="single" w:sz="6" w:space="0" w:color="000000"/>
              <w:right w:val="single" w:sz="6" w:space="0" w:color="000000"/>
            </w:tcBorders>
            <w:shd w:val="clear" w:color="auto" w:fill="D2D2D2"/>
          </w:tcPr>
          <w:p>
            <w:pPr/>
          </w:p>
        </w:tc>
        <w:tc>
          <w:tcPr>
            <w:tcW w:w="1434" w:type="dxa"/>
            <w:vMerge w:val="restart"/>
            <w:tcBorders>
              <w:top w:val="nil" w:sz="6" w:space="0" w:color="auto"/>
              <w:left w:val="single" w:sz="6" w:space="0" w:color="000000"/>
              <w:right w:val="single" w:sz="6" w:space="0" w:color="000000"/>
            </w:tcBorders>
            <w:shd w:val="clear" w:color="auto" w:fill="D2D2D2"/>
          </w:tcPr>
          <w:p>
            <w:pPr/>
          </w:p>
        </w:tc>
        <w:tc>
          <w:tcPr>
            <w:tcW w:w="408" w:type="dxa"/>
            <w:vMerge/>
            <w:tcBorders>
              <w:left w:val="single" w:sz="6" w:space="0" w:color="000000"/>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300" w:type="dxa"/>
            <w:vMerge/>
            <w:tcBorders>
              <w:left w:val="single" w:sz="6" w:space="0" w:color="000000"/>
              <w:right w:val="single" w:sz="6" w:space="0" w:color="000000"/>
            </w:tcBorders>
            <w:shd w:val="clear" w:color="auto" w:fill="D2D2D2"/>
          </w:tcPr>
          <w:p>
            <w:pPr/>
          </w:p>
        </w:tc>
        <w:tc>
          <w:tcPr>
            <w:tcW w:w="1277" w:type="dxa"/>
            <w:vMerge w:val="restart"/>
            <w:tcBorders>
              <w:top w:val="nil" w:sz="6" w:space="0" w:color="auto"/>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1419" w:type="dxa"/>
            <w:vMerge w:val="restart"/>
            <w:tcBorders>
              <w:top w:val="nil" w:sz="6" w:space="0" w:color="auto"/>
              <w:left w:val="single" w:sz="6" w:space="0" w:color="000000"/>
              <w:right w:val="single" w:sz="6" w:space="0" w:color="000000"/>
            </w:tcBorders>
            <w:shd w:val="clear" w:color="auto" w:fill="D2D2D2"/>
          </w:tcPr>
          <w:p>
            <w:pPr/>
          </w:p>
        </w:tc>
        <w:tc>
          <w:tcPr>
            <w:tcW w:w="1274" w:type="dxa"/>
            <w:vMerge/>
            <w:tcBorders>
              <w:left w:val="single" w:sz="6" w:space="0" w:color="000000"/>
              <w:right w:val="single" w:sz="6" w:space="0" w:color="000000"/>
            </w:tcBorders>
            <w:shd w:val="clear" w:color="auto" w:fill="D2D2D2"/>
          </w:tcPr>
          <w:p>
            <w:pPr/>
          </w:p>
        </w:tc>
        <w:tc>
          <w:tcPr>
            <w:tcW w:w="1502" w:type="dxa"/>
            <w:vMerge/>
            <w:tcBorders>
              <w:left w:val="single" w:sz="6" w:space="0" w:color="000000"/>
              <w:right w:val="single" w:sz="12" w:space="0" w:color="000000"/>
            </w:tcBorders>
            <w:shd w:val="clear" w:color="auto" w:fill="D2D2D2"/>
          </w:tcPr>
          <w:p>
            <w:pPr/>
          </w:p>
        </w:tc>
      </w:tr>
      <w:tr>
        <w:trPr>
          <w:trHeight w:val="256" w:hRule="exact"/>
        </w:trPr>
        <w:tc>
          <w:tcPr>
            <w:tcW w:w="779" w:type="dxa"/>
            <w:vMerge/>
            <w:tcBorders>
              <w:left w:val="single" w:sz="12" w:space="0" w:color="000000"/>
              <w:bottom w:val="single" w:sz="6" w:space="0" w:color="000000"/>
              <w:right w:val="single" w:sz="6" w:space="0" w:color="000000"/>
            </w:tcBorders>
            <w:shd w:val="clear" w:color="auto" w:fill="D2D2D2"/>
          </w:tcPr>
          <w:p>
            <w:pPr/>
          </w:p>
        </w:tc>
        <w:tc>
          <w:tcPr>
            <w:tcW w:w="1428" w:type="dxa"/>
            <w:vMerge/>
            <w:tcBorders>
              <w:left w:val="single" w:sz="6" w:space="0" w:color="000000"/>
              <w:bottom w:val="single" w:sz="6" w:space="0" w:color="000000"/>
              <w:right w:val="single" w:sz="6" w:space="0" w:color="000000"/>
            </w:tcBorders>
            <w:shd w:val="clear" w:color="auto" w:fill="D2D2D2"/>
          </w:tcPr>
          <w:p>
            <w:pPr/>
          </w:p>
        </w:tc>
        <w:tc>
          <w:tcPr>
            <w:tcW w:w="284" w:type="dxa"/>
            <w:vMerge/>
            <w:tcBorders>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266" w:type="dxa"/>
            <w:vMerge/>
            <w:tcBorders>
              <w:left w:val="single" w:sz="6" w:space="0" w:color="000000"/>
              <w:bottom w:val="single" w:sz="6" w:space="0" w:color="000000"/>
              <w:right w:val="single" w:sz="6" w:space="0" w:color="000000"/>
            </w:tcBorders>
            <w:shd w:val="clear" w:color="auto" w:fill="D2D2D2"/>
          </w:tcPr>
          <w:p>
            <w:pPr/>
          </w:p>
        </w:tc>
        <w:tc>
          <w:tcPr>
            <w:tcW w:w="1434" w:type="dxa"/>
            <w:vMerge/>
            <w:tcBorders>
              <w:left w:val="single" w:sz="6" w:space="0" w:color="000000"/>
              <w:bottom w:val="single" w:sz="6" w:space="0" w:color="000000"/>
              <w:right w:val="single" w:sz="6" w:space="0" w:color="000000"/>
            </w:tcBorders>
            <w:shd w:val="clear" w:color="auto" w:fill="D2D2D2"/>
          </w:tcPr>
          <w:p>
            <w:pPr/>
          </w:p>
        </w:tc>
        <w:tc>
          <w:tcPr>
            <w:tcW w:w="408" w:type="dxa"/>
            <w:vMerge/>
            <w:tcBorders>
              <w:left w:val="single" w:sz="6" w:space="0" w:color="000000"/>
              <w:bottom w:val="single" w:sz="6" w:space="0" w:color="000000"/>
              <w:right w:val="single" w:sz="6" w:space="0" w:color="000000"/>
            </w:tcBorders>
            <w:shd w:val="clear" w:color="auto" w:fill="D2D2D2"/>
          </w:tcPr>
          <w:p>
            <w:pPr/>
          </w:p>
        </w:tc>
        <w:tc>
          <w:tcPr>
            <w:tcW w:w="426" w:type="dxa"/>
            <w:tcBorders>
              <w:top w:val="nil" w:sz="6" w:space="0" w:color="auto"/>
              <w:left w:val="single" w:sz="6" w:space="0" w:color="000000"/>
              <w:bottom w:val="single" w:sz="6" w:space="0" w:color="000000"/>
              <w:right w:val="single" w:sz="6" w:space="0" w:color="000000"/>
            </w:tcBorders>
            <w:shd w:val="clear" w:color="auto" w:fill="D2D2D2"/>
          </w:tcPr>
          <w:p>
            <w:pPr/>
          </w:p>
        </w:tc>
        <w:tc>
          <w:tcPr>
            <w:tcW w:w="300" w:type="dxa"/>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425"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9" w:type="dxa"/>
            <w:vMerge/>
            <w:tcBorders>
              <w:left w:val="single" w:sz="6" w:space="0" w:color="000000"/>
              <w:bottom w:val="single" w:sz="6" w:space="0" w:color="000000"/>
              <w:right w:val="single" w:sz="6" w:space="0" w:color="000000"/>
            </w:tcBorders>
            <w:shd w:val="clear" w:color="auto" w:fill="D2D2D2"/>
          </w:tcPr>
          <w:p>
            <w:pPr/>
          </w:p>
        </w:tc>
        <w:tc>
          <w:tcPr>
            <w:tcW w:w="1274" w:type="dxa"/>
            <w:vMerge/>
            <w:tcBorders>
              <w:left w:val="single" w:sz="6" w:space="0" w:color="000000"/>
              <w:bottom w:val="single" w:sz="6" w:space="0" w:color="000000"/>
              <w:right w:val="single" w:sz="6" w:space="0" w:color="000000"/>
            </w:tcBorders>
            <w:shd w:val="clear" w:color="auto" w:fill="D2D2D2"/>
          </w:tcPr>
          <w:p>
            <w:pPr/>
          </w:p>
        </w:tc>
        <w:tc>
          <w:tcPr>
            <w:tcW w:w="1502" w:type="dxa"/>
            <w:vMerge/>
            <w:tcBorders>
              <w:left w:val="single" w:sz="6" w:space="0" w:color="000000"/>
              <w:bottom w:val="single" w:sz="6" w:space="0" w:color="000000"/>
              <w:right w:val="single" w:sz="12" w:space="0" w:color="000000"/>
            </w:tcBorders>
            <w:shd w:val="clear" w:color="auto" w:fill="D2D2D2"/>
          </w:tcPr>
          <w:p>
            <w:pPr/>
          </w:p>
        </w:tc>
      </w:tr>
      <w:tr>
        <w:trPr>
          <w:trHeight w:val="494" w:hRule="exact"/>
        </w:trPr>
        <w:tc>
          <w:tcPr>
            <w:tcW w:w="7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29"/>
              <w:jc w:val="left"/>
              <w:rPr>
                <w:rFonts w:ascii="宋体" w:hAnsi="宋体" w:cs="宋体" w:eastAsia="宋体" w:hint="default"/>
                <w:sz w:val="18"/>
                <w:szCs w:val="18"/>
              </w:rPr>
            </w:pPr>
            <w:r>
              <w:rPr>
                <w:rFonts w:ascii="宋体" w:hAnsi="宋体" w:cs="宋体" w:eastAsia="宋体" w:hint="default"/>
                <w:sz w:val="18"/>
                <w:szCs w:val="18"/>
              </w:rPr>
              <w:t>一、上年 期末余额</w:t>
            </w:r>
          </w:p>
        </w:tc>
        <w:tc>
          <w:tcPr>
            <w:tcW w:w="14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1"/>
              <w:ind w:left="101" w:right="0"/>
              <w:jc w:val="center"/>
              <w:rPr>
                <w:rFonts w:ascii="宋体" w:hAnsi="宋体" w:cs="宋体" w:eastAsia="宋体" w:hint="default"/>
                <w:sz w:val="18"/>
                <w:szCs w:val="18"/>
              </w:rPr>
            </w:pPr>
            <w:r>
              <w:rPr>
                <w:rFonts w:ascii="宋体"/>
                <w:sz w:val="18"/>
              </w:rPr>
              <w:t>161,221,848.00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48" w:space="0" w:color="D2D2D2"/>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926,883,002.46</w:t>
            </w:r>
          </w:p>
        </w:tc>
        <w:tc>
          <w:tcPr>
            <w:tcW w:w="408" w:type="dxa"/>
            <w:tcBorders>
              <w:top w:val="single" w:sz="51" w:space="0" w:color="D2D2D2"/>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51" w:space="0" w:color="D2D2D2"/>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1" w:right="0"/>
              <w:jc w:val="center"/>
              <w:rPr>
                <w:rFonts w:ascii="宋体" w:hAnsi="宋体" w:cs="宋体" w:eastAsia="宋体" w:hint="default"/>
                <w:sz w:val="18"/>
                <w:szCs w:val="18"/>
              </w:rPr>
            </w:pPr>
            <w:r>
              <w:rPr>
                <w:rFonts w:ascii="宋体"/>
                <w:sz w:val="18"/>
              </w:rPr>
              <w:t>20,423,426.70</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18"/>
                <w:szCs w:val="18"/>
              </w:rPr>
            </w:pPr>
            <w:r>
              <w:rPr>
                <w:rFonts w:ascii="宋体"/>
                <w:sz w:val="18"/>
              </w:rPr>
              <w:t>187,625,505.35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 w:right="0"/>
              <w:jc w:val="center"/>
              <w:rPr>
                <w:rFonts w:ascii="宋体" w:hAnsi="宋体" w:cs="宋体" w:eastAsia="宋体" w:hint="default"/>
                <w:sz w:val="18"/>
                <w:szCs w:val="18"/>
              </w:rPr>
            </w:pPr>
            <w:r>
              <w:rPr>
                <w:rFonts w:ascii="宋体"/>
                <w:sz w:val="18"/>
              </w:rPr>
              <w:t>79,086,028.42</w:t>
            </w:r>
          </w:p>
        </w:tc>
        <w:tc>
          <w:tcPr>
            <w:tcW w:w="15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11"/>
              <w:jc w:val="right"/>
              <w:rPr>
                <w:rFonts w:ascii="宋体" w:hAnsi="宋体" w:cs="宋体" w:eastAsia="宋体" w:hint="default"/>
                <w:sz w:val="18"/>
                <w:szCs w:val="18"/>
              </w:rPr>
            </w:pPr>
            <w:r>
              <w:rPr>
                <w:rFonts w:ascii="宋体"/>
                <w:sz w:val="18"/>
              </w:rPr>
              <w:t>1,375,239,810.93</w:t>
            </w:r>
          </w:p>
        </w:tc>
      </w:tr>
      <w:tr>
        <w:trPr>
          <w:trHeight w:val="736" w:hRule="exact"/>
        </w:trPr>
        <w:tc>
          <w:tcPr>
            <w:tcW w:w="7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6" w:right="29" w:firstLine="360"/>
              <w:jc w:val="both"/>
              <w:rPr>
                <w:rFonts w:ascii="宋体" w:hAnsi="宋体" w:cs="宋体" w:eastAsia="宋体" w:hint="default"/>
                <w:sz w:val="18"/>
                <w:szCs w:val="18"/>
              </w:rPr>
            </w:pPr>
            <w:r>
              <w:rPr>
                <w:rFonts w:ascii="宋体" w:hAnsi="宋体" w:cs="宋体" w:eastAsia="宋体" w:hint="default"/>
                <w:sz w:val="18"/>
                <w:szCs w:val="18"/>
              </w:rPr>
              <w:t>加： 会计政策 变更</w:t>
            </w:r>
          </w:p>
        </w:tc>
        <w:tc>
          <w:tcPr>
            <w:tcW w:w="1428"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7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6" w:right="29"/>
              <w:jc w:val="left"/>
              <w:rPr>
                <w:rFonts w:ascii="宋体" w:hAnsi="宋体" w:cs="宋体" w:eastAsia="宋体" w:hint="default"/>
                <w:sz w:val="18"/>
                <w:szCs w:val="18"/>
              </w:rPr>
            </w:pPr>
            <w:r>
              <w:rPr>
                <w:rFonts w:ascii="宋体" w:hAnsi="宋体" w:cs="宋体" w:eastAsia="宋体" w:hint="default"/>
                <w:sz w:val="18"/>
                <w:szCs w:val="18"/>
              </w:rPr>
              <w:t>前期差错 更正</w:t>
            </w:r>
          </w:p>
        </w:tc>
        <w:tc>
          <w:tcPr>
            <w:tcW w:w="1428"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
        </w:tc>
      </w:tr>
      <w:tr>
        <w:trPr>
          <w:trHeight w:val="976" w:hRule="exact"/>
        </w:trPr>
        <w:tc>
          <w:tcPr>
            <w:tcW w:w="7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4" w:lineRule="auto"/>
              <w:ind w:left="6" w:right="29"/>
              <w:jc w:val="both"/>
              <w:rPr>
                <w:rFonts w:ascii="宋体" w:hAnsi="宋体" w:cs="宋体" w:eastAsia="宋体" w:hint="default"/>
                <w:sz w:val="18"/>
                <w:szCs w:val="18"/>
              </w:rPr>
            </w:pPr>
            <w:r>
              <w:rPr>
                <w:rFonts w:ascii="宋体" w:hAnsi="宋体" w:cs="宋体" w:eastAsia="宋体" w:hint="default"/>
                <w:sz w:val="18"/>
                <w:szCs w:val="18"/>
              </w:rPr>
              <w:t>同一控制 下企业合 并</w:t>
            </w:r>
          </w:p>
        </w:tc>
        <w:tc>
          <w:tcPr>
            <w:tcW w:w="1428"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7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8"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
        </w:tc>
      </w:tr>
      <w:tr>
        <w:trPr>
          <w:trHeight w:val="496" w:hRule="exact"/>
        </w:trPr>
        <w:tc>
          <w:tcPr>
            <w:tcW w:w="7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6" w:right="29"/>
              <w:jc w:val="left"/>
              <w:rPr>
                <w:rFonts w:ascii="宋体" w:hAnsi="宋体" w:cs="宋体" w:eastAsia="宋体" w:hint="default"/>
                <w:sz w:val="18"/>
                <w:szCs w:val="18"/>
              </w:rPr>
            </w:pPr>
            <w:r>
              <w:rPr>
                <w:rFonts w:ascii="宋体" w:hAnsi="宋体" w:cs="宋体" w:eastAsia="宋体" w:hint="default"/>
                <w:sz w:val="18"/>
                <w:szCs w:val="18"/>
              </w:rPr>
              <w:t>二、本年 期初余额</w:t>
            </w:r>
          </w:p>
        </w:tc>
        <w:tc>
          <w:tcPr>
            <w:tcW w:w="14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3"/>
              <w:ind w:left="101" w:right="0"/>
              <w:jc w:val="center"/>
              <w:rPr>
                <w:rFonts w:ascii="宋体" w:hAnsi="宋体" w:cs="宋体" w:eastAsia="宋体" w:hint="default"/>
                <w:sz w:val="18"/>
                <w:szCs w:val="18"/>
              </w:rPr>
            </w:pPr>
            <w:r>
              <w:rPr>
                <w:rFonts w:ascii="宋体"/>
                <w:sz w:val="18"/>
              </w:rPr>
              <w:t>161,221,848.00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8"/>
              <w:jc w:val="right"/>
              <w:rPr>
                <w:rFonts w:ascii="宋体" w:hAnsi="宋体" w:cs="宋体" w:eastAsia="宋体" w:hint="default"/>
                <w:sz w:val="18"/>
                <w:szCs w:val="18"/>
              </w:rPr>
            </w:pPr>
            <w:r>
              <w:rPr>
                <w:rFonts w:ascii="宋体"/>
                <w:sz w:val="18"/>
              </w:rPr>
              <w:t>926,883,002.46</w:t>
            </w: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1" w:right="0"/>
              <w:jc w:val="center"/>
              <w:rPr>
                <w:rFonts w:ascii="宋体" w:hAnsi="宋体" w:cs="宋体" w:eastAsia="宋体" w:hint="default"/>
                <w:sz w:val="18"/>
                <w:szCs w:val="18"/>
              </w:rPr>
            </w:pPr>
            <w:r>
              <w:rPr>
                <w:rFonts w:ascii="宋体"/>
                <w:sz w:val="18"/>
              </w:rPr>
              <w:t>20,423,426.70</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1"/>
              <w:jc w:val="right"/>
              <w:rPr>
                <w:rFonts w:ascii="宋体" w:hAnsi="宋体" w:cs="宋体" w:eastAsia="宋体" w:hint="default"/>
                <w:sz w:val="18"/>
                <w:szCs w:val="18"/>
              </w:rPr>
            </w:pPr>
            <w:r>
              <w:rPr>
                <w:rFonts w:ascii="宋体"/>
                <w:sz w:val="18"/>
              </w:rPr>
              <w:t>187,625,505.35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9" w:right="0"/>
              <w:jc w:val="center"/>
              <w:rPr>
                <w:rFonts w:ascii="宋体" w:hAnsi="宋体" w:cs="宋体" w:eastAsia="宋体" w:hint="default"/>
                <w:sz w:val="18"/>
                <w:szCs w:val="18"/>
              </w:rPr>
            </w:pPr>
            <w:r>
              <w:rPr>
                <w:rFonts w:ascii="宋体"/>
                <w:sz w:val="18"/>
              </w:rPr>
              <w:t>79,086,028.42</w:t>
            </w:r>
          </w:p>
        </w:tc>
        <w:tc>
          <w:tcPr>
            <w:tcW w:w="15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11"/>
              <w:jc w:val="right"/>
              <w:rPr>
                <w:rFonts w:ascii="宋体" w:hAnsi="宋体" w:cs="宋体" w:eastAsia="宋体" w:hint="default"/>
                <w:sz w:val="18"/>
                <w:szCs w:val="18"/>
              </w:rPr>
            </w:pPr>
            <w:r>
              <w:rPr>
                <w:rFonts w:ascii="宋体"/>
                <w:sz w:val="18"/>
              </w:rPr>
              <w:t>1,375,239,810.93</w:t>
            </w:r>
          </w:p>
        </w:tc>
      </w:tr>
      <w:tr>
        <w:trPr>
          <w:trHeight w:val="1455" w:hRule="exact"/>
        </w:trPr>
        <w:tc>
          <w:tcPr>
            <w:tcW w:w="7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29"/>
              <w:jc w:val="both"/>
              <w:rPr>
                <w:rFonts w:ascii="宋体" w:hAnsi="宋体" w:cs="宋体" w:eastAsia="宋体" w:hint="default"/>
                <w:sz w:val="18"/>
                <w:szCs w:val="18"/>
              </w:rPr>
            </w:pPr>
            <w:r>
              <w:rPr>
                <w:rFonts w:ascii="宋体" w:hAnsi="宋体" w:cs="宋体" w:eastAsia="宋体" w:hint="default"/>
                <w:sz w:val="18"/>
                <w:szCs w:val="18"/>
              </w:rPr>
              <w:t>三、本期 增减变动 金额（减 少以</w:t>
            </w:r>
          </w:p>
          <w:p>
            <w:pPr>
              <w:pStyle w:val="TableParagraph"/>
              <w:spacing w:line="240" w:lineRule="exact"/>
              <w:ind w:left="6" w:right="29"/>
              <w:jc w:val="both"/>
              <w:rPr>
                <w:rFonts w:ascii="宋体" w:hAnsi="宋体" w:cs="宋体" w:eastAsia="宋体" w:hint="default"/>
                <w:sz w:val="18"/>
                <w:szCs w:val="18"/>
              </w:rPr>
            </w:pPr>
            <w:r>
              <w:rPr>
                <w:rFonts w:ascii="宋体" w:hAnsi="宋体" w:cs="宋体" w:eastAsia="宋体" w:hint="default"/>
                <w:sz w:val="18"/>
                <w:szCs w:val="18"/>
              </w:rPr>
              <w:t>“－”号 填列）</w:t>
            </w:r>
          </w:p>
        </w:tc>
        <w:tc>
          <w:tcPr>
            <w:tcW w:w="1428"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-31,216.85</w:t>
            </w: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z w:val="18"/>
              </w:rPr>
              <w:t>33,109,053.24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39" w:right="0"/>
              <w:jc w:val="center"/>
              <w:rPr>
                <w:rFonts w:ascii="宋体" w:hAnsi="宋体" w:cs="宋体" w:eastAsia="宋体" w:hint="default"/>
                <w:sz w:val="18"/>
                <w:szCs w:val="18"/>
              </w:rPr>
            </w:pPr>
            <w:r>
              <w:rPr>
                <w:rFonts w:ascii="宋体"/>
                <w:sz w:val="18"/>
              </w:rPr>
              <w:t>9,843,944.81</w:t>
            </w:r>
          </w:p>
        </w:tc>
        <w:tc>
          <w:tcPr>
            <w:tcW w:w="15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1"/>
              <w:jc w:val="right"/>
              <w:rPr>
                <w:rFonts w:ascii="宋体" w:hAnsi="宋体" w:cs="宋体" w:eastAsia="宋体" w:hint="default"/>
                <w:sz w:val="18"/>
                <w:szCs w:val="18"/>
              </w:rPr>
            </w:pPr>
            <w:r>
              <w:rPr>
                <w:rFonts w:ascii="宋体"/>
                <w:sz w:val="18"/>
              </w:rPr>
              <w:t>42,921,781.20</w:t>
            </w:r>
          </w:p>
        </w:tc>
      </w:tr>
      <w:tr>
        <w:trPr>
          <w:trHeight w:val="743" w:hRule="exact"/>
        </w:trPr>
        <w:tc>
          <w:tcPr>
            <w:tcW w:w="77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exact" w:before="1"/>
              <w:ind w:left="6" w:right="29"/>
              <w:jc w:val="both"/>
              <w:rPr>
                <w:rFonts w:ascii="宋体" w:hAnsi="宋体" w:cs="宋体" w:eastAsia="宋体" w:hint="default"/>
                <w:sz w:val="18"/>
                <w:szCs w:val="18"/>
              </w:rPr>
            </w:pPr>
            <w:r>
              <w:rPr>
                <w:rFonts w:ascii="宋体" w:hAnsi="宋体" w:cs="宋体" w:eastAsia="宋体" w:hint="default"/>
                <w:sz w:val="18"/>
                <w:szCs w:val="18"/>
              </w:rPr>
              <w:t>（一）综 合收益总 额</w:t>
            </w:r>
          </w:p>
        </w:tc>
        <w:tc>
          <w:tcPr>
            <w:tcW w:w="1428" w:type="dxa"/>
            <w:tcBorders>
              <w:top w:val="single" w:sz="6" w:space="0" w:color="000000"/>
              <w:left w:val="single" w:sz="14" w:space="0" w:color="D2D2D2"/>
              <w:bottom w:val="single" w:sz="12" w:space="0" w:color="000000"/>
              <w:right w:val="single" w:sz="6" w:space="0" w:color="000000"/>
            </w:tcBorders>
          </w:tcPr>
          <w:p>
            <w:pPr/>
          </w:p>
        </w:tc>
        <w:tc>
          <w:tcPr>
            <w:tcW w:w="284"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66" w:type="dxa"/>
            <w:tcBorders>
              <w:top w:val="single" w:sz="6" w:space="0" w:color="000000"/>
              <w:left w:val="single" w:sz="6" w:space="0" w:color="000000"/>
              <w:bottom w:val="single" w:sz="12" w:space="0" w:color="000000"/>
              <w:right w:val="single" w:sz="6" w:space="0" w:color="000000"/>
            </w:tcBorders>
          </w:tcPr>
          <w:p>
            <w:pPr/>
          </w:p>
        </w:tc>
        <w:tc>
          <w:tcPr>
            <w:tcW w:w="1434" w:type="dxa"/>
            <w:tcBorders>
              <w:top w:val="single" w:sz="6" w:space="0" w:color="000000"/>
              <w:left w:val="single" w:sz="6" w:space="0" w:color="000000"/>
              <w:bottom w:val="single" w:sz="12" w:space="0" w:color="000000"/>
              <w:right w:val="single" w:sz="6" w:space="0" w:color="000000"/>
            </w:tcBorders>
          </w:tcPr>
          <w:p>
            <w:pPr/>
          </w:p>
        </w:tc>
        <w:tc>
          <w:tcPr>
            <w:tcW w:w="408"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300"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39,557,927.16</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39" w:right="0"/>
              <w:jc w:val="center"/>
              <w:rPr>
                <w:rFonts w:ascii="宋体" w:hAnsi="宋体" w:cs="宋体" w:eastAsia="宋体" w:hint="default"/>
                <w:sz w:val="18"/>
                <w:szCs w:val="18"/>
              </w:rPr>
            </w:pPr>
            <w:r>
              <w:rPr>
                <w:rFonts w:ascii="宋体"/>
                <w:sz w:val="18"/>
              </w:rPr>
              <w:t>9,843,944.81</w:t>
            </w:r>
          </w:p>
        </w:tc>
        <w:tc>
          <w:tcPr>
            <w:tcW w:w="15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49,401,871.97</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81" w:type="dxa"/>
        <w:tblLayout w:type="fixed"/>
        <w:tblCellMar>
          <w:top w:w="0" w:type="dxa"/>
          <w:left w:w="0" w:type="dxa"/>
          <w:bottom w:w="0" w:type="dxa"/>
          <w:right w:w="0" w:type="dxa"/>
        </w:tblCellMar>
        <w:tblLook w:val="01E0"/>
      </w:tblPr>
      <w:tblGrid>
        <w:gridCol w:w="796"/>
        <w:gridCol w:w="1418"/>
        <w:gridCol w:w="284"/>
        <w:gridCol w:w="283"/>
        <w:gridCol w:w="266"/>
        <w:gridCol w:w="1434"/>
        <w:gridCol w:w="408"/>
        <w:gridCol w:w="426"/>
        <w:gridCol w:w="300"/>
        <w:gridCol w:w="1277"/>
        <w:gridCol w:w="425"/>
        <w:gridCol w:w="1419"/>
        <w:gridCol w:w="1274"/>
        <w:gridCol w:w="1502"/>
      </w:tblGrid>
      <w:tr>
        <w:trPr>
          <w:trHeight w:val="982" w:hRule="exact"/>
        </w:trPr>
        <w:tc>
          <w:tcPr>
            <w:tcW w:w="7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13" w:right="38"/>
              <w:jc w:val="both"/>
              <w:rPr>
                <w:rFonts w:ascii="宋体" w:hAnsi="宋体" w:cs="宋体" w:eastAsia="宋体" w:hint="default"/>
                <w:sz w:val="18"/>
                <w:szCs w:val="18"/>
              </w:rPr>
            </w:pPr>
            <w:r>
              <w:rPr>
                <w:rFonts w:ascii="宋体" w:hAnsi="宋体" w:cs="宋体" w:eastAsia="宋体" w:hint="default"/>
                <w:sz w:val="18"/>
                <w:szCs w:val="18"/>
              </w:rPr>
              <w:t>（二）所 有者投入 和减少资 本</w:t>
            </w:r>
          </w:p>
        </w:tc>
        <w:tc>
          <w:tcPr>
            <w:tcW w:w="1418" w:type="dxa"/>
            <w:tcBorders>
              <w:top w:val="single" w:sz="12" w:space="0" w:color="000000"/>
              <w:left w:val="single" w:sz="6" w:space="0" w:color="000000"/>
              <w:bottom w:val="single" w:sz="6" w:space="0" w:color="000000"/>
              <w:right w:val="single" w:sz="6" w:space="0" w:color="000000"/>
            </w:tcBorders>
          </w:tcPr>
          <w:p>
            <w:pPr/>
          </w:p>
        </w:tc>
        <w:tc>
          <w:tcPr>
            <w:tcW w:w="284"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266" w:type="dxa"/>
            <w:tcBorders>
              <w:top w:val="single" w:sz="12" w:space="0" w:color="000000"/>
              <w:left w:val="single" w:sz="6" w:space="0" w:color="000000"/>
              <w:bottom w:val="single" w:sz="6" w:space="0" w:color="000000"/>
              <w:right w:val="single" w:sz="6" w:space="0" w:color="000000"/>
            </w:tcBorders>
          </w:tcPr>
          <w:p>
            <w:pPr/>
          </w:p>
        </w:tc>
        <w:tc>
          <w:tcPr>
            <w:tcW w:w="1434" w:type="dxa"/>
            <w:tcBorders>
              <w:top w:val="single" w:sz="12" w:space="0" w:color="000000"/>
              <w:left w:val="single" w:sz="6" w:space="0" w:color="000000"/>
              <w:bottom w:val="single" w:sz="6" w:space="0" w:color="000000"/>
              <w:right w:val="single" w:sz="6" w:space="0" w:color="000000"/>
            </w:tcBorders>
          </w:tcPr>
          <w:p>
            <w:pPr/>
          </w:p>
        </w:tc>
        <w:tc>
          <w:tcPr>
            <w:tcW w:w="408" w:type="dxa"/>
            <w:tcBorders>
              <w:top w:val="single" w:sz="12" w:space="0" w:color="000000"/>
              <w:left w:val="single" w:sz="6" w:space="0" w:color="000000"/>
              <w:bottom w:val="single" w:sz="6" w:space="0" w:color="000000"/>
              <w:right w:val="single" w:sz="6" w:space="0" w:color="000000"/>
            </w:tcBorders>
          </w:tcPr>
          <w:p>
            <w:pPr/>
          </w:p>
        </w:tc>
        <w:tc>
          <w:tcPr>
            <w:tcW w:w="426" w:type="dxa"/>
            <w:tcBorders>
              <w:top w:val="single" w:sz="12" w:space="0" w:color="000000"/>
              <w:left w:val="single" w:sz="6" w:space="0" w:color="000000"/>
              <w:bottom w:val="single" w:sz="6" w:space="0" w:color="000000"/>
              <w:right w:val="single" w:sz="6" w:space="0" w:color="000000"/>
            </w:tcBorders>
          </w:tcPr>
          <w:p>
            <w:pPr/>
          </w:p>
        </w:tc>
        <w:tc>
          <w:tcPr>
            <w:tcW w:w="300"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1419" w:type="dxa"/>
            <w:tcBorders>
              <w:top w:val="single" w:sz="12" w:space="0" w:color="000000"/>
              <w:left w:val="single" w:sz="6" w:space="0" w:color="000000"/>
              <w:bottom w:val="single" w:sz="6" w:space="0" w:color="000000"/>
              <w:right w:val="single" w:sz="6" w:space="0" w:color="000000"/>
            </w:tcBorders>
          </w:tcPr>
          <w:p>
            <w:pPr/>
          </w:p>
        </w:tc>
        <w:tc>
          <w:tcPr>
            <w:tcW w:w="1274" w:type="dxa"/>
            <w:tcBorders>
              <w:top w:val="single" w:sz="12" w:space="0" w:color="000000"/>
              <w:left w:val="single" w:sz="6" w:space="0" w:color="000000"/>
              <w:bottom w:val="single" w:sz="6" w:space="0" w:color="000000"/>
              <w:right w:val="single" w:sz="6" w:space="0" w:color="000000"/>
            </w:tcBorders>
          </w:tcPr>
          <w:p>
            <w:pPr/>
          </w:p>
        </w:tc>
        <w:tc>
          <w:tcPr>
            <w:tcW w:w="1502" w:type="dxa"/>
            <w:tcBorders>
              <w:top w:val="single" w:sz="12" w:space="0" w:color="000000"/>
              <w:left w:val="single" w:sz="6" w:space="0" w:color="000000"/>
              <w:bottom w:val="single" w:sz="6" w:space="0" w:color="000000"/>
              <w:right w:val="single" w:sz="12" w:space="0" w:color="000000"/>
            </w:tcBorders>
          </w:tcPr>
          <w:p>
            <w:pPr/>
          </w:p>
        </w:tc>
      </w:tr>
      <w:tr>
        <w:trPr>
          <w:trHeight w:val="736" w:hRule="exact"/>
        </w:trPr>
        <w:tc>
          <w:tcPr>
            <w:tcW w:w="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19"/>
              <w:jc w:val="both"/>
              <w:rPr>
                <w:rFonts w:ascii="宋体" w:hAnsi="宋体" w:cs="宋体" w:eastAsia="宋体" w:hint="default"/>
                <w:sz w:val="18"/>
                <w:szCs w:val="18"/>
              </w:rPr>
            </w:pPr>
            <w:r>
              <w:rPr>
                <w:rFonts w:ascii="宋体" w:hAnsi="宋体" w:cs="宋体" w:eastAsia="宋体" w:hint="default"/>
                <w:spacing w:val="-15"/>
                <w:sz w:val="18"/>
                <w:szCs w:val="18"/>
              </w:rPr>
              <w:t>1</w:t>
            </w:r>
            <w:r>
              <w:rPr>
                <w:rFonts w:ascii="宋体" w:hAnsi="宋体" w:cs="宋体" w:eastAsia="宋体" w:hint="default"/>
                <w:spacing w:val="-15"/>
                <w:sz w:val="18"/>
                <w:szCs w:val="18"/>
              </w:rPr>
              <w:t>．股东投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入的普通 股</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
        </w:tc>
      </w:tr>
      <w:tr>
        <w:trPr>
          <w:trHeight w:val="974" w:hRule="exact"/>
        </w:trPr>
        <w:tc>
          <w:tcPr>
            <w:tcW w:w="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13" w:right="19"/>
              <w:jc w:val="both"/>
              <w:rPr>
                <w:rFonts w:ascii="宋体" w:hAnsi="宋体" w:cs="宋体" w:eastAsia="宋体" w:hint="default"/>
                <w:sz w:val="18"/>
                <w:szCs w:val="18"/>
              </w:rPr>
            </w:pPr>
            <w:r>
              <w:rPr>
                <w:rFonts w:ascii="宋体" w:hAnsi="宋体" w:cs="宋体" w:eastAsia="宋体" w:hint="default"/>
                <w:spacing w:val="-15"/>
                <w:sz w:val="18"/>
                <w:szCs w:val="18"/>
              </w:rPr>
              <w:t>2</w:t>
            </w:r>
            <w:r>
              <w:rPr>
                <w:rFonts w:ascii="宋体" w:hAnsi="宋体" w:cs="宋体" w:eastAsia="宋体" w:hint="default"/>
                <w:spacing w:val="-15"/>
                <w:sz w:val="18"/>
                <w:szCs w:val="18"/>
              </w:rPr>
              <w:t>．其他权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益工具持 有者投入 资本</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
        </w:tc>
      </w:tr>
      <w:tr>
        <w:trPr>
          <w:trHeight w:val="976" w:hRule="exact"/>
        </w:trPr>
        <w:tc>
          <w:tcPr>
            <w:tcW w:w="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19"/>
              <w:jc w:val="both"/>
              <w:rPr>
                <w:rFonts w:ascii="宋体" w:hAnsi="宋体" w:cs="宋体" w:eastAsia="宋体" w:hint="default"/>
                <w:sz w:val="18"/>
                <w:szCs w:val="18"/>
              </w:rPr>
            </w:pPr>
            <w:r>
              <w:rPr>
                <w:rFonts w:ascii="宋体" w:hAnsi="宋体" w:cs="宋体" w:eastAsia="宋体" w:hint="default"/>
                <w:spacing w:val="-15"/>
                <w:sz w:val="18"/>
                <w:szCs w:val="18"/>
              </w:rPr>
              <w:t>3</w:t>
            </w:r>
            <w:r>
              <w:rPr>
                <w:rFonts w:ascii="宋体" w:hAnsi="宋体" w:cs="宋体" w:eastAsia="宋体" w:hint="default"/>
                <w:spacing w:val="-15"/>
                <w:sz w:val="18"/>
                <w:szCs w:val="18"/>
              </w:rPr>
              <w:t>．股份支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付计入所 有者权益 的金额</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9"/>
              <w:ind w:right="115"/>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13" w:right="38"/>
              <w:jc w:val="left"/>
              <w:rPr>
                <w:rFonts w:ascii="宋体" w:hAnsi="宋体" w:cs="宋体" w:eastAsia="宋体" w:hint="default"/>
                <w:sz w:val="18"/>
                <w:szCs w:val="18"/>
              </w:rPr>
            </w:pPr>
            <w:r>
              <w:rPr>
                <w:rFonts w:ascii="宋体" w:hAnsi="宋体" w:cs="宋体" w:eastAsia="宋体" w:hint="default"/>
                <w:sz w:val="18"/>
                <w:szCs w:val="18"/>
              </w:rPr>
              <w:t>（三）利 润分配</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18"/>
                <w:szCs w:val="18"/>
              </w:rPr>
            </w:pPr>
            <w:r>
              <w:rPr>
                <w:rFonts w:ascii="宋体"/>
                <w:sz w:val="18"/>
              </w:rPr>
              <w:t>-6,448,873.92</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11"/>
              <w:jc w:val="right"/>
              <w:rPr>
                <w:rFonts w:ascii="宋体" w:hAnsi="宋体" w:cs="宋体" w:eastAsia="宋体" w:hint="default"/>
                <w:sz w:val="18"/>
                <w:szCs w:val="18"/>
              </w:rPr>
            </w:pPr>
            <w:r>
              <w:rPr>
                <w:rFonts w:ascii="宋体"/>
                <w:sz w:val="18"/>
              </w:rPr>
              <w:t>-6,448,873.92</w:t>
            </w:r>
          </w:p>
        </w:tc>
      </w:tr>
      <w:tr>
        <w:trPr>
          <w:trHeight w:val="496" w:hRule="exact"/>
        </w:trPr>
        <w:tc>
          <w:tcPr>
            <w:tcW w:w="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19"/>
              <w:jc w:val="left"/>
              <w:rPr>
                <w:rFonts w:ascii="宋体" w:hAnsi="宋体" w:cs="宋体" w:eastAsia="宋体" w:hint="default"/>
                <w:sz w:val="18"/>
                <w:szCs w:val="18"/>
              </w:rPr>
            </w:pPr>
            <w:r>
              <w:rPr>
                <w:rFonts w:ascii="宋体" w:hAnsi="宋体" w:cs="宋体" w:eastAsia="宋体" w:hint="default"/>
                <w:spacing w:val="-15"/>
                <w:sz w:val="18"/>
                <w:szCs w:val="18"/>
              </w:rPr>
              <w:t>1</w:t>
            </w:r>
            <w:r>
              <w:rPr>
                <w:rFonts w:ascii="宋体" w:hAnsi="宋体" w:cs="宋体" w:eastAsia="宋体" w:hint="default"/>
                <w:spacing w:val="-15"/>
                <w:sz w:val="18"/>
                <w:szCs w:val="18"/>
              </w:rPr>
              <w:t>．提取盈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余公积</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13" w:right="19"/>
              <w:jc w:val="both"/>
              <w:rPr>
                <w:rFonts w:ascii="宋体" w:hAnsi="宋体" w:cs="宋体" w:eastAsia="宋体" w:hint="default"/>
                <w:sz w:val="18"/>
                <w:szCs w:val="18"/>
              </w:rPr>
            </w:pPr>
            <w:r>
              <w:rPr>
                <w:rFonts w:ascii="宋体" w:hAnsi="宋体" w:cs="宋体" w:eastAsia="宋体" w:hint="default"/>
                <w:spacing w:val="-15"/>
                <w:sz w:val="18"/>
                <w:szCs w:val="18"/>
              </w:rPr>
              <w:t>2</w:t>
            </w:r>
            <w:r>
              <w:rPr>
                <w:rFonts w:ascii="宋体" w:hAnsi="宋体" w:cs="宋体" w:eastAsia="宋体" w:hint="default"/>
                <w:spacing w:val="-15"/>
                <w:sz w:val="18"/>
                <w:szCs w:val="18"/>
              </w:rPr>
              <w:t>．提取一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般风险准 备</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
        </w:tc>
      </w:tr>
      <w:tr>
        <w:trPr>
          <w:trHeight w:val="976" w:hRule="exact"/>
        </w:trPr>
        <w:tc>
          <w:tcPr>
            <w:tcW w:w="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19"/>
              <w:jc w:val="both"/>
              <w:rPr>
                <w:rFonts w:ascii="宋体" w:hAnsi="宋体" w:cs="宋体" w:eastAsia="宋体" w:hint="default"/>
                <w:sz w:val="18"/>
                <w:szCs w:val="18"/>
              </w:rPr>
            </w:pPr>
            <w:r>
              <w:rPr>
                <w:rFonts w:ascii="宋体" w:hAnsi="宋体" w:cs="宋体" w:eastAsia="宋体" w:hint="default"/>
                <w:spacing w:val="-15"/>
                <w:sz w:val="18"/>
                <w:szCs w:val="18"/>
              </w:rPr>
              <w:t>3</w:t>
            </w:r>
            <w:r>
              <w:rPr>
                <w:rFonts w:ascii="宋体" w:hAnsi="宋体" w:cs="宋体" w:eastAsia="宋体" w:hint="default"/>
                <w:spacing w:val="-15"/>
                <w:sz w:val="18"/>
                <w:szCs w:val="18"/>
              </w:rPr>
              <w:t>．对所有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者（或股 东）的分 配</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z w:val="18"/>
              </w:rPr>
              <w:t>-6,448,873.92</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1"/>
              <w:jc w:val="right"/>
              <w:rPr>
                <w:rFonts w:ascii="宋体" w:hAnsi="宋体" w:cs="宋体" w:eastAsia="宋体" w:hint="default"/>
                <w:sz w:val="18"/>
                <w:szCs w:val="18"/>
              </w:rPr>
            </w:pPr>
            <w:r>
              <w:rPr>
                <w:rFonts w:ascii="宋体"/>
                <w:sz w:val="18"/>
              </w:rPr>
              <w:t>-6,448,873.92</w:t>
            </w:r>
          </w:p>
        </w:tc>
      </w:tr>
      <w:tr>
        <w:trPr>
          <w:trHeight w:val="412" w:hRule="exact"/>
        </w:trPr>
        <w:tc>
          <w:tcPr>
            <w:tcW w:w="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1"/>
              <w:ind w:right="115"/>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
        </w:tc>
      </w:tr>
      <w:tr>
        <w:trPr>
          <w:trHeight w:val="736" w:hRule="exact"/>
        </w:trPr>
        <w:tc>
          <w:tcPr>
            <w:tcW w:w="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38"/>
              <w:jc w:val="both"/>
              <w:rPr>
                <w:rFonts w:ascii="宋体" w:hAnsi="宋体" w:cs="宋体" w:eastAsia="宋体" w:hint="default"/>
                <w:sz w:val="18"/>
                <w:szCs w:val="18"/>
              </w:rPr>
            </w:pPr>
            <w:r>
              <w:rPr>
                <w:rFonts w:ascii="宋体" w:hAnsi="宋体" w:cs="宋体" w:eastAsia="宋体" w:hint="default"/>
                <w:sz w:val="18"/>
                <w:szCs w:val="18"/>
              </w:rPr>
              <w:t>（四）所 有者权益 内部结转</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
        </w:tc>
      </w:tr>
      <w:tr>
        <w:trPr>
          <w:trHeight w:val="974" w:hRule="exact"/>
        </w:trPr>
        <w:tc>
          <w:tcPr>
            <w:tcW w:w="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13" w:right="19"/>
              <w:jc w:val="both"/>
              <w:rPr>
                <w:rFonts w:ascii="宋体" w:hAnsi="宋体" w:cs="宋体" w:eastAsia="宋体" w:hint="default"/>
                <w:sz w:val="18"/>
                <w:szCs w:val="18"/>
              </w:rPr>
            </w:pPr>
            <w:r>
              <w:rPr>
                <w:rFonts w:ascii="宋体" w:hAnsi="宋体" w:cs="宋体" w:eastAsia="宋体" w:hint="default"/>
                <w:spacing w:val="-15"/>
                <w:sz w:val="18"/>
                <w:szCs w:val="18"/>
              </w:rPr>
              <w:t>1</w:t>
            </w:r>
            <w:r>
              <w:rPr>
                <w:rFonts w:ascii="宋体" w:hAnsi="宋体" w:cs="宋体" w:eastAsia="宋体" w:hint="default"/>
                <w:spacing w:val="-15"/>
                <w:sz w:val="18"/>
                <w:szCs w:val="18"/>
              </w:rPr>
              <w:t>．资本公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积转增资 本（或股 本）</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
        </w:tc>
      </w:tr>
      <w:tr>
        <w:trPr>
          <w:trHeight w:val="976" w:hRule="exact"/>
        </w:trPr>
        <w:tc>
          <w:tcPr>
            <w:tcW w:w="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19"/>
              <w:jc w:val="both"/>
              <w:rPr>
                <w:rFonts w:ascii="宋体" w:hAnsi="宋体" w:cs="宋体" w:eastAsia="宋体" w:hint="default"/>
                <w:sz w:val="18"/>
                <w:szCs w:val="18"/>
              </w:rPr>
            </w:pPr>
            <w:r>
              <w:rPr>
                <w:rFonts w:ascii="宋体" w:hAnsi="宋体" w:cs="宋体" w:eastAsia="宋体" w:hint="default"/>
                <w:spacing w:val="-15"/>
                <w:sz w:val="18"/>
                <w:szCs w:val="18"/>
              </w:rPr>
              <w:t>2</w:t>
            </w:r>
            <w:r>
              <w:rPr>
                <w:rFonts w:ascii="宋体" w:hAnsi="宋体" w:cs="宋体" w:eastAsia="宋体" w:hint="default"/>
                <w:spacing w:val="-15"/>
                <w:sz w:val="18"/>
                <w:szCs w:val="18"/>
              </w:rPr>
              <w:t>．盈余公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积转增资 本（或股 本）</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13" w:right="19"/>
              <w:jc w:val="both"/>
              <w:rPr>
                <w:rFonts w:ascii="宋体" w:hAnsi="宋体" w:cs="宋体" w:eastAsia="宋体" w:hint="default"/>
                <w:sz w:val="18"/>
                <w:szCs w:val="18"/>
              </w:rPr>
            </w:pPr>
            <w:r>
              <w:rPr>
                <w:rFonts w:ascii="宋体" w:hAnsi="宋体" w:cs="宋体" w:eastAsia="宋体" w:hint="default"/>
                <w:spacing w:val="-15"/>
                <w:sz w:val="18"/>
                <w:szCs w:val="18"/>
              </w:rPr>
              <w:t>3</w:t>
            </w:r>
            <w:r>
              <w:rPr>
                <w:rFonts w:ascii="宋体" w:hAnsi="宋体" w:cs="宋体" w:eastAsia="宋体" w:hint="default"/>
                <w:spacing w:val="-15"/>
                <w:sz w:val="18"/>
                <w:szCs w:val="18"/>
              </w:rPr>
              <w:t>．盈余公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积弥补亏 损</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1"/>
              <w:ind w:right="115"/>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13" w:right="38"/>
              <w:jc w:val="left"/>
              <w:rPr>
                <w:rFonts w:ascii="宋体" w:hAnsi="宋体" w:cs="宋体" w:eastAsia="宋体" w:hint="default"/>
                <w:sz w:val="18"/>
                <w:szCs w:val="18"/>
              </w:rPr>
            </w:pPr>
            <w:r>
              <w:rPr>
                <w:rFonts w:ascii="宋体" w:hAnsi="宋体" w:cs="宋体" w:eastAsia="宋体" w:hint="default"/>
                <w:sz w:val="18"/>
                <w:szCs w:val="18"/>
              </w:rPr>
              <w:t>（五）专 项储备</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
        </w:tc>
      </w:tr>
      <w:tr>
        <w:trPr>
          <w:trHeight w:val="496" w:hRule="exact"/>
        </w:trPr>
        <w:tc>
          <w:tcPr>
            <w:tcW w:w="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19"/>
              <w:jc w:val="left"/>
              <w:rPr>
                <w:rFonts w:ascii="宋体" w:hAnsi="宋体" w:cs="宋体" w:eastAsia="宋体" w:hint="default"/>
                <w:sz w:val="18"/>
                <w:szCs w:val="18"/>
              </w:rPr>
            </w:pPr>
            <w:r>
              <w:rPr>
                <w:rFonts w:ascii="宋体" w:hAnsi="宋体" w:cs="宋体" w:eastAsia="宋体" w:hint="default"/>
                <w:spacing w:val="-15"/>
                <w:sz w:val="18"/>
                <w:szCs w:val="18"/>
              </w:rPr>
              <w:t>1</w:t>
            </w:r>
            <w:r>
              <w:rPr>
                <w:rFonts w:ascii="宋体" w:hAnsi="宋体" w:cs="宋体" w:eastAsia="宋体" w:hint="default"/>
                <w:spacing w:val="-15"/>
                <w:sz w:val="18"/>
                <w:szCs w:val="18"/>
              </w:rPr>
              <w:t>．本期提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取</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13" w:right="19"/>
              <w:jc w:val="left"/>
              <w:rPr>
                <w:rFonts w:ascii="宋体" w:hAnsi="宋体" w:cs="宋体" w:eastAsia="宋体" w:hint="default"/>
                <w:sz w:val="18"/>
                <w:szCs w:val="18"/>
              </w:rPr>
            </w:pPr>
            <w:r>
              <w:rPr>
                <w:rFonts w:ascii="宋体" w:hAnsi="宋体" w:cs="宋体" w:eastAsia="宋体" w:hint="default"/>
                <w:spacing w:val="-15"/>
                <w:sz w:val="18"/>
                <w:szCs w:val="18"/>
              </w:rPr>
              <w:t>2</w:t>
            </w:r>
            <w:r>
              <w:rPr>
                <w:rFonts w:ascii="宋体" w:hAnsi="宋体" w:cs="宋体" w:eastAsia="宋体" w:hint="default"/>
                <w:spacing w:val="-15"/>
                <w:sz w:val="18"/>
                <w:szCs w:val="18"/>
              </w:rPr>
              <w:t>．本期使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
        </w:tc>
      </w:tr>
      <w:tr>
        <w:trPr>
          <w:trHeight w:val="496" w:hRule="exact"/>
        </w:trPr>
        <w:tc>
          <w:tcPr>
            <w:tcW w:w="7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38"/>
              <w:jc w:val="left"/>
              <w:rPr>
                <w:rFonts w:ascii="宋体" w:hAnsi="宋体" w:cs="宋体" w:eastAsia="宋体" w:hint="default"/>
                <w:sz w:val="18"/>
                <w:szCs w:val="18"/>
              </w:rPr>
            </w:pPr>
            <w:r>
              <w:rPr>
                <w:rFonts w:ascii="宋体" w:hAnsi="宋体" w:cs="宋体" w:eastAsia="宋体" w:hint="default"/>
                <w:sz w:val="18"/>
                <w:szCs w:val="18"/>
              </w:rPr>
              <w:t>（六）其 他</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6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8"/>
              <w:jc w:val="right"/>
              <w:rPr>
                <w:rFonts w:ascii="宋体" w:hAnsi="宋体" w:cs="宋体" w:eastAsia="宋体" w:hint="default"/>
                <w:sz w:val="18"/>
                <w:szCs w:val="18"/>
              </w:rPr>
            </w:pPr>
            <w:r>
              <w:rPr>
                <w:rFonts w:ascii="宋体"/>
                <w:sz w:val="18"/>
              </w:rPr>
              <w:t>-31,216.85</w:t>
            </w:r>
          </w:p>
        </w:tc>
        <w:tc>
          <w:tcPr>
            <w:tcW w:w="4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11"/>
              <w:jc w:val="right"/>
              <w:rPr>
                <w:rFonts w:ascii="宋体" w:hAnsi="宋体" w:cs="宋体" w:eastAsia="宋体" w:hint="default"/>
                <w:sz w:val="18"/>
                <w:szCs w:val="18"/>
              </w:rPr>
            </w:pPr>
            <w:r>
              <w:rPr>
                <w:rFonts w:ascii="宋体"/>
                <w:sz w:val="18"/>
              </w:rPr>
              <w:t>-31,216.85</w:t>
            </w:r>
          </w:p>
        </w:tc>
      </w:tr>
      <w:tr>
        <w:trPr>
          <w:trHeight w:val="502" w:hRule="exact"/>
        </w:trPr>
        <w:tc>
          <w:tcPr>
            <w:tcW w:w="7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exact"/>
              <w:ind w:left="13" w:right="38"/>
              <w:jc w:val="left"/>
              <w:rPr>
                <w:rFonts w:ascii="宋体" w:hAnsi="宋体" w:cs="宋体" w:eastAsia="宋体" w:hint="default"/>
                <w:sz w:val="18"/>
                <w:szCs w:val="18"/>
              </w:rPr>
            </w:pPr>
            <w:r>
              <w:rPr>
                <w:rFonts w:ascii="宋体" w:hAnsi="宋体" w:cs="宋体" w:eastAsia="宋体" w:hint="default"/>
                <w:sz w:val="18"/>
                <w:szCs w:val="18"/>
              </w:rPr>
              <w:t>四、本期 期末余额</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sz w:val="18"/>
              </w:rPr>
              <w:t>161,221,848.00</w:t>
            </w:r>
          </w:p>
        </w:tc>
        <w:tc>
          <w:tcPr>
            <w:tcW w:w="284"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66" w:type="dxa"/>
            <w:tcBorders>
              <w:top w:val="single" w:sz="6" w:space="0" w:color="000000"/>
              <w:left w:val="single" w:sz="6" w:space="0" w:color="000000"/>
              <w:bottom w:val="single" w:sz="12" w:space="0" w:color="000000"/>
              <w:right w:val="single" w:sz="6" w:space="0" w:color="000000"/>
            </w:tcBorders>
          </w:tcPr>
          <w:p>
            <w:pPr/>
          </w:p>
        </w:tc>
        <w:tc>
          <w:tcPr>
            <w:tcW w:w="14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926,851,785.61</w:t>
            </w:r>
          </w:p>
        </w:tc>
        <w:tc>
          <w:tcPr>
            <w:tcW w:w="408"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300"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71" w:right="0"/>
              <w:jc w:val="left"/>
              <w:rPr>
                <w:rFonts w:ascii="宋体" w:hAnsi="宋体" w:cs="宋体" w:eastAsia="宋体" w:hint="default"/>
                <w:sz w:val="18"/>
                <w:szCs w:val="18"/>
              </w:rPr>
            </w:pPr>
            <w:r>
              <w:rPr>
                <w:rFonts w:ascii="宋体"/>
                <w:sz w:val="18"/>
              </w:rPr>
              <w:t>20,423,426.70</w:t>
            </w:r>
          </w:p>
        </w:tc>
        <w:tc>
          <w:tcPr>
            <w:tcW w:w="425" w:type="dxa"/>
            <w:tcBorders>
              <w:top w:val="single" w:sz="6" w:space="0" w:color="000000"/>
              <w:left w:val="single" w:sz="6" w:space="0" w:color="000000"/>
              <w:bottom w:val="single" w:sz="12" w:space="0" w:color="000000"/>
              <w:right w:val="single" w:sz="6" w:space="0" w:color="000000"/>
            </w:tcBorders>
          </w:tcPr>
          <w:p>
            <w:pP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21"/>
              <w:jc w:val="right"/>
              <w:rPr>
                <w:rFonts w:ascii="宋体" w:hAnsi="宋体" w:cs="宋体" w:eastAsia="宋体" w:hint="default"/>
                <w:sz w:val="18"/>
                <w:szCs w:val="18"/>
              </w:rPr>
            </w:pPr>
            <w:r>
              <w:rPr>
                <w:rFonts w:ascii="宋体"/>
                <w:sz w:val="18"/>
              </w:rPr>
              <w:t>220,734,558.59</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69" w:right="0"/>
              <w:jc w:val="left"/>
              <w:rPr>
                <w:rFonts w:ascii="宋体" w:hAnsi="宋体" w:cs="宋体" w:eastAsia="宋体" w:hint="default"/>
                <w:sz w:val="18"/>
                <w:szCs w:val="18"/>
              </w:rPr>
            </w:pPr>
            <w:r>
              <w:rPr>
                <w:rFonts w:ascii="宋体"/>
                <w:sz w:val="18"/>
              </w:rPr>
              <w:t>88,929,973.23</w:t>
            </w:r>
          </w:p>
        </w:tc>
        <w:tc>
          <w:tcPr>
            <w:tcW w:w="15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1"/>
              <w:ind w:right="11"/>
              <w:jc w:val="right"/>
              <w:rPr>
                <w:rFonts w:ascii="宋体" w:hAnsi="宋体" w:cs="宋体" w:eastAsia="宋体" w:hint="default"/>
                <w:sz w:val="18"/>
                <w:szCs w:val="18"/>
              </w:rPr>
            </w:pPr>
            <w:r>
              <w:rPr>
                <w:rFonts w:ascii="宋体"/>
                <w:sz w:val="18"/>
              </w:rPr>
              <w:t>1,418,161,592.13</w:t>
            </w:r>
          </w:p>
        </w:tc>
      </w:tr>
    </w:tbl>
    <w:p>
      <w:pPr>
        <w:spacing w:before="88"/>
        <w:ind w:left="113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after="0"/>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202" w:type="dxa"/>
        <w:tblLayout w:type="fixed"/>
        <w:tblCellMar>
          <w:top w:w="0" w:type="dxa"/>
          <w:left w:w="0" w:type="dxa"/>
          <w:bottom w:w="0" w:type="dxa"/>
          <w:right w:w="0" w:type="dxa"/>
        </w:tblCellMar>
        <w:tblLook w:val="01E0"/>
      </w:tblPr>
      <w:tblGrid>
        <w:gridCol w:w="835"/>
        <w:gridCol w:w="1429"/>
        <w:gridCol w:w="283"/>
        <w:gridCol w:w="283"/>
        <w:gridCol w:w="284"/>
        <w:gridCol w:w="1417"/>
        <w:gridCol w:w="425"/>
        <w:gridCol w:w="426"/>
        <w:gridCol w:w="283"/>
        <w:gridCol w:w="1276"/>
        <w:gridCol w:w="425"/>
        <w:gridCol w:w="1419"/>
        <w:gridCol w:w="1274"/>
        <w:gridCol w:w="1418"/>
      </w:tblGrid>
      <w:tr>
        <w:trPr>
          <w:trHeight w:val="263" w:hRule="exact"/>
        </w:trPr>
        <w:tc>
          <w:tcPr>
            <w:tcW w:w="835" w:type="dxa"/>
            <w:vMerge w:val="restart"/>
            <w:tcBorders>
              <w:top w:val="single" w:sz="12" w:space="0" w:color="000000"/>
              <w:left w:val="single" w:sz="12" w:space="0" w:color="000000"/>
              <w:right w:val="single" w:sz="6" w:space="0" w:color="000000"/>
            </w:tcBorders>
            <w:shd w:val="clear" w:color="auto" w:fill="D2D2D2"/>
          </w:tcPr>
          <w:p>
            <w:pPr/>
          </w:p>
        </w:tc>
        <w:tc>
          <w:tcPr>
            <w:tcW w:w="10643" w:type="dxa"/>
            <w:gridSpan w:val="1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17" w:lineRule="exact"/>
              <w:ind w:left="16"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47" w:hRule="exact"/>
        </w:trPr>
        <w:tc>
          <w:tcPr>
            <w:tcW w:w="835" w:type="dxa"/>
            <w:vMerge/>
            <w:tcBorders>
              <w:left w:val="single" w:sz="12" w:space="0" w:color="000000"/>
              <w:right w:val="single" w:sz="6" w:space="0" w:color="000000"/>
            </w:tcBorders>
            <w:shd w:val="clear" w:color="auto" w:fill="D2D2D2"/>
          </w:tcPr>
          <w:p>
            <w:pPr/>
          </w:p>
        </w:tc>
        <w:tc>
          <w:tcPr>
            <w:tcW w:w="7951"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7" w:lineRule="exact"/>
              <w:ind w:left="7"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4" w:type="dxa"/>
            <w:vMerge w:val="restart"/>
            <w:tcBorders>
              <w:top w:val="single" w:sz="6" w:space="0" w:color="000000"/>
              <w:left w:val="single" w:sz="6" w:space="0" w:color="000000"/>
              <w:right w:val="single" w:sz="6" w:space="0" w:color="000000"/>
            </w:tcBorders>
            <w:shd w:val="clear" w:color="auto" w:fill="D2D2D2"/>
          </w:tcPr>
          <w:p>
            <w:pPr/>
          </w:p>
        </w:tc>
        <w:tc>
          <w:tcPr>
            <w:tcW w:w="1418" w:type="dxa"/>
            <w:vMerge w:val="restart"/>
            <w:tcBorders>
              <w:top w:val="single" w:sz="6" w:space="0" w:color="000000"/>
              <w:left w:val="single" w:sz="6" w:space="0" w:color="000000"/>
              <w:right w:val="single" w:sz="12" w:space="0" w:color="000000"/>
            </w:tcBorders>
            <w:shd w:val="clear" w:color="auto" w:fill="D2D2D2"/>
          </w:tcPr>
          <w:p>
            <w:pPr/>
          </w:p>
        </w:tc>
      </w:tr>
      <w:tr>
        <w:trPr>
          <w:trHeight w:val="143" w:hRule="exact"/>
        </w:trPr>
        <w:tc>
          <w:tcPr>
            <w:tcW w:w="835" w:type="dxa"/>
            <w:vMerge/>
            <w:tcBorders>
              <w:left w:val="single" w:sz="12" w:space="0" w:color="000000"/>
              <w:right w:val="single" w:sz="6" w:space="0" w:color="000000"/>
            </w:tcBorders>
            <w:shd w:val="clear" w:color="auto" w:fill="D2D2D2"/>
          </w:tcPr>
          <w:p>
            <w:pPr/>
          </w:p>
        </w:tc>
        <w:tc>
          <w:tcPr>
            <w:tcW w:w="1429" w:type="dxa"/>
            <w:vMerge w:val="restart"/>
            <w:tcBorders>
              <w:top w:val="single" w:sz="6" w:space="0" w:color="000000"/>
              <w:left w:val="single" w:sz="6" w:space="0" w:color="000000"/>
              <w:right w:val="single" w:sz="6" w:space="0" w:color="000000"/>
            </w:tcBorders>
            <w:shd w:val="clear" w:color="auto" w:fill="D2D2D2"/>
          </w:tcPr>
          <w:p>
            <w:pPr/>
          </w:p>
        </w:tc>
        <w:tc>
          <w:tcPr>
            <w:tcW w:w="851"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4" w:lineRule="auto"/>
              <w:ind w:left="237" w:right="56"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417" w:type="dxa"/>
            <w:vMerge w:val="restart"/>
            <w:tcBorders>
              <w:top w:val="single" w:sz="6" w:space="0" w:color="000000"/>
              <w:left w:val="single" w:sz="6" w:space="0" w:color="000000"/>
              <w:right w:val="single" w:sz="6" w:space="0" w:color="000000"/>
            </w:tcBorders>
            <w:shd w:val="clear" w:color="auto" w:fill="D2D2D2"/>
          </w:tcPr>
          <w:p>
            <w:pPr/>
          </w:p>
        </w:tc>
        <w:tc>
          <w:tcPr>
            <w:tcW w:w="425" w:type="dxa"/>
            <w:vMerge w:val="restart"/>
            <w:tcBorders>
              <w:top w:val="single" w:sz="6" w:space="0" w:color="000000"/>
              <w:left w:val="single" w:sz="6" w:space="0" w:color="000000"/>
              <w:right w:val="single" w:sz="6" w:space="0" w:color="000000"/>
            </w:tcBorders>
            <w:shd w:val="clear" w:color="auto" w:fill="D2D2D2"/>
          </w:tcPr>
          <w:p>
            <w:pPr/>
          </w:p>
        </w:tc>
        <w:tc>
          <w:tcPr>
            <w:tcW w:w="426" w:type="dxa"/>
            <w:vMerge w:val="restart"/>
            <w:tcBorders>
              <w:top w:val="single" w:sz="6" w:space="0" w:color="000000"/>
              <w:left w:val="single" w:sz="6" w:space="0" w:color="000000"/>
              <w:right w:val="single" w:sz="6" w:space="0" w:color="000000"/>
            </w:tcBorders>
            <w:shd w:val="clear" w:color="auto" w:fill="D2D2D2"/>
          </w:tcPr>
          <w:p>
            <w:pPr/>
          </w:p>
        </w:tc>
        <w:tc>
          <w:tcPr>
            <w:tcW w:w="283"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425" w:type="dxa"/>
            <w:vMerge w:val="restart"/>
            <w:tcBorders>
              <w:top w:val="single" w:sz="6" w:space="0" w:color="000000"/>
              <w:left w:val="single" w:sz="6" w:space="0" w:color="000000"/>
              <w:right w:val="single" w:sz="6" w:space="0" w:color="000000"/>
            </w:tcBorders>
            <w:shd w:val="clear" w:color="auto" w:fill="D2D2D2"/>
          </w:tcPr>
          <w:p>
            <w:pPr/>
          </w:p>
        </w:tc>
        <w:tc>
          <w:tcPr>
            <w:tcW w:w="1419" w:type="dxa"/>
            <w:vMerge w:val="restart"/>
            <w:tcBorders>
              <w:top w:val="single" w:sz="6" w:space="0" w:color="000000"/>
              <w:left w:val="single" w:sz="6" w:space="0" w:color="000000"/>
              <w:right w:val="single" w:sz="6" w:space="0" w:color="000000"/>
            </w:tcBorders>
            <w:shd w:val="clear" w:color="auto" w:fill="D2D2D2"/>
          </w:tcPr>
          <w:p>
            <w:pPr/>
          </w:p>
        </w:tc>
        <w:tc>
          <w:tcPr>
            <w:tcW w:w="1274"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12" w:space="0" w:color="000000"/>
            </w:tcBorders>
            <w:shd w:val="clear" w:color="auto" w:fill="D2D2D2"/>
          </w:tcPr>
          <w:p>
            <w:pPr/>
          </w:p>
        </w:tc>
      </w:tr>
      <w:tr>
        <w:trPr>
          <w:trHeight w:val="113" w:hRule="exact"/>
        </w:trPr>
        <w:tc>
          <w:tcPr>
            <w:tcW w:w="835" w:type="dxa"/>
            <w:vMerge/>
            <w:tcBorders>
              <w:left w:val="single" w:sz="12" w:space="0" w:color="000000"/>
              <w:bottom w:val="nil" w:sz="6" w:space="0" w:color="auto"/>
              <w:right w:val="single" w:sz="6" w:space="0" w:color="000000"/>
            </w:tcBorders>
            <w:shd w:val="clear" w:color="auto" w:fill="D2D2D2"/>
          </w:tcPr>
          <w:p>
            <w:pPr/>
          </w:p>
        </w:tc>
        <w:tc>
          <w:tcPr>
            <w:tcW w:w="1429" w:type="dxa"/>
            <w:vMerge/>
            <w:tcBorders>
              <w:left w:val="single" w:sz="6" w:space="0" w:color="000000"/>
              <w:right w:val="single" w:sz="6" w:space="0" w:color="000000"/>
            </w:tcBorders>
            <w:shd w:val="clear" w:color="auto" w:fill="D2D2D2"/>
          </w:tcPr>
          <w:p>
            <w:pPr/>
          </w:p>
        </w:tc>
        <w:tc>
          <w:tcPr>
            <w:tcW w:w="851" w:type="dxa"/>
            <w:gridSpan w:val="3"/>
            <w:vMerge/>
            <w:tcBorders>
              <w:left w:val="single" w:sz="6" w:space="0" w:color="000000"/>
              <w:right w:val="single" w:sz="6" w:space="0" w:color="000000"/>
            </w:tcBorders>
            <w:shd w:val="clear" w:color="auto" w:fill="D2D2D2"/>
          </w:tcPr>
          <w:p>
            <w:pPr/>
          </w:p>
        </w:tc>
        <w:tc>
          <w:tcPr>
            <w:tcW w:w="1417"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283" w:type="dxa"/>
            <w:vMerge w:val="restart"/>
            <w:tcBorders>
              <w:top w:val="nil" w:sz="6" w:space="0" w:color="auto"/>
              <w:left w:val="single" w:sz="6" w:space="0" w:color="000000"/>
              <w:right w:val="single" w:sz="6" w:space="0" w:color="000000"/>
            </w:tcBorders>
            <w:shd w:val="clear" w:color="auto" w:fill="D2D2D2"/>
          </w:tcPr>
          <w:p>
            <w:pPr>
              <w:pStyle w:val="TableParagraph"/>
              <w:spacing w:line="217" w:lineRule="exact"/>
              <w:ind w:left="43" w:right="0"/>
              <w:jc w:val="both"/>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44" w:lineRule="auto" w:before="5"/>
              <w:ind w:left="43" w:right="43"/>
              <w:jc w:val="both"/>
              <w:rPr>
                <w:rFonts w:ascii="宋体" w:hAnsi="宋体" w:cs="宋体" w:eastAsia="宋体" w:hint="default"/>
                <w:sz w:val="18"/>
                <w:szCs w:val="18"/>
              </w:rPr>
            </w:pPr>
            <w:r>
              <w:rPr>
                <w:rFonts w:ascii="宋体" w:hAnsi="宋体" w:cs="宋体" w:eastAsia="宋体" w:hint="default"/>
                <w:sz w:val="18"/>
                <w:szCs w:val="18"/>
              </w:rPr>
              <w:t>项 储 备</w:t>
            </w:r>
          </w:p>
        </w:tc>
        <w:tc>
          <w:tcPr>
            <w:tcW w:w="1276"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1419" w:type="dxa"/>
            <w:vMerge/>
            <w:tcBorders>
              <w:left w:val="single" w:sz="6" w:space="0" w:color="000000"/>
              <w:right w:val="single" w:sz="6" w:space="0" w:color="000000"/>
            </w:tcBorders>
            <w:shd w:val="clear" w:color="auto" w:fill="D2D2D2"/>
          </w:tcPr>
          <w:p>
            <w:pPr/>
          </w:p>
        </w:tc>
        <w:tc>
          <w:tcPr>
            <w:tcW w:w="1274"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12" w:space="0" w:color="000000"/>
            </w:tcBorders>
            <w:shd w:val="clear" w:color="auto" w:fill="D2D2D2"/>
          </w:tcPr>
          <w:p>
            <w:pPr/>
          </w:p>
        </w:tc>
      </w:tr>
      <w:tr>
        <w:trPr>
          <w:trHeight w:val="117" w:hRule="exact"/>
        </w:trPr>
        <w:tc>
          <w:tcPr>
            <w:tcW w:w="835" w:type="dxa"/>
            <w:vMerge w:val="restart"/>
            <w:tcBorders>
              <w:top w:val="nil" w:sz="6" w:space="0" w:color="auto"/>
              <w:left w:val="single" w:sz="12" w:space="0" w:color="000000"/>
              <w:right w:val="single" w:sz="6" w:space="0" w:color="000000"/>
            </w:tcBorders>
            <w:shd w:val="clear" w:color="auto" w:fill="D2D2D2"/>
          </w:tcPr>
          <w:p>
            <w:pPr>
              <w:pStyle w:val="TableParagraph"/>
              <w:spacing w:line="211" w:lineRule="exact"/>
              <w:ind w:left="22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29" w:type="dxa"/>
            <w:vMerge/>
            <w:tcBorders>
              <w:left w:val="single" w:sz="6" w:space="0" w:color="000000"/>
              <w:right w:val="single" w:sz="6" w:space="0" w:color="000000"/>
            </w:tcBorders>
            <w:shd w:val="clear" w:color="auto" w:fill="D2D2D2"/>
          </w:tcPr>
          <w:p>
            <w:pPr/>
          </w:p>
        </w:tc>
        <w:tc>
          <w:tcPr>
            <w:tcW w:w="851" w:type="dxa"/>
            <w:gridSpan w:val="3"/>
            <w:vMerge/>
            <w:tcBorders>
              <w:left w:val="single" w:sz="6" w:space="0" w:color="000000"/>
              <w:right w:val="single" w:sz="6" w:space="0" w:color="000000"/>
            </w:tcBorders>
            <w:shd w:val="clear" w:color="auto" w:fill="D2D2D2"/>
          </w:tcPr>
          <w:p>
            <w:pPr/>
          </w:p>
        </w:tc>
        <w:tc>
          <w:tcPr>
            <w:tcW w:w="1417"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exact" w:before="4"/>
              <w:ind w:left="23" w:right="24"/>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4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exact" w:before="4"/>
              <w:ind w:left="25" w:right="2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283"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exact" w:before="4"/>
              <w:ind w:left="23" w:right="2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9" w:type="dxa"/>
            <w:vMerge/>
            <w:tcBorders>
              <w:left w:val="single" w:sz="6" w:space="0" w:color="000000"/>
              <w:right w:val="single" w:sz="6" w:space="0" w:color="000000"/>
            </w:tcBorders>
            <w:shd w:val="clear" w:color="auto" w:fill="D2D2D2"/>
          </w:tcPr>
          <w:p>
            <w:pPr/>
          </w:p>
        </w:tc>
        <w:tc>
          <w:tcPr>
            <w:tcW w:w="1274" w:type="dxa"/>
            <w:vMerge/>
            <w:tcBorders>
              <w:left w:val="single" w:sz="6" w:space="0" w:color="000000"/>
              <w:bottom w:val="nil" w:sz="6" w:space="0" w:color="auto"/>
              <w:right w:val="single" w:sz="6" w:space="0" w:color="000000"/>
            </w:tcBorders>
            <w:shd w:val="clear" w:color="auto" w:fill="D2D2D2"/>
          </w:tcPr>
          <w:p>
            <w:pPr/>
          </w:p>
        </w:tc>
        <w:tc>
          <w:tcPr>
            <w:tcW w:w="1418" w:type="dxa"/>
            <w:vMerge/>
            <w:tcBorders>
              <w:left w:val="single" w:sz="6" w:space="0" w:color="000000"/>
              <w:bottom w:val="nil" w:sz="6" w:space="0" w:color="auto"/>
              <w:right w:val="single" w:sz="12" w:space="0" w:color="000000"/>
            </w:tcBorders>
            <w:shd w:val="clear" w:color="auto" w:fill="D2D2D2"/>
          </w:tcPr>
          <w:p>
            <w:pPr/>
          </w:p>
        </w:tc>
      </w:tr>
      <w:tr>
        <w:trPr>
          <w:trHeight w:val="127" w:hRule="exact"/>
        </w:trPr>
        <w:tc>
          <w:tcPr>
            <w:tcW w:w="835" w:type="dxa"/>
            <w:vMerge/>
            <w:tcBorders>
              <w:left w:val="single" w:sz="12" w:space="0" w:color="000000"/>
              <w:bottom w:val="nil" w:sz="6" w:space="0" w:color="auto"/>
              <w:right w:val="single" w:sz="6" w:space="0" w:color="000000"/>
            </w:tcBorders>
            <w:shd w:val="clear" w:color="auto" w:fill="D2D2D2"/>
          </w:tcPr>
          <w:p>
            <w:pPr/>
          </w:p>
        </w:tc>
        <w:tc>
          <w:tcPr>
            <w:tcW w:w="1429" w:type="dxa"/>
            <w:vMerge/>
            <w:tcBorders>
              <w:left w:val="single" w:sz="6" w:space="0" w:color="000000"/>
              <w:bottom w:val="nil" w:sz="6" w:space="0" w:color="auto"/>
              <w:right w:val="single" w:sz="6" w:space="0" w:color="000000"/>
            </w:tcBorders>
            <w:shd w:val="clear" w:color="auto" w:fill="D2D2D2"/>
          </w:tcPr>
          <w:p>
            <w:pPr/>
          </w:p>
        </w:tc>
        <w:tc>
          <w:tcPr>
            <w:tcW w:w="851" w:type="dxa"/>
            <w:gridSpan w:val="3"/>
            <w:vMerge/>
            <w:tcBorders>
              <w:left w:val="single" w:sz="6" w:space="0" w:color="000000"/>
              <w:bottom w:val="single" w:sz="6" w:space="0" w:color="000000"/>
              <w:right w:val="single" w:sz="6" w:space="0" w:color="000000"/>
            </w:tcBorders>
            <w:shd w:val="clear" w:color="auto" w:fill="D2D2D2"/>
          </w:tcPr>
          <w:p>
            <w:pPr/>
          </w:p>
        </w:tc>
        <w:tc>
          <w:tcPr>
            <w:tcW w:w="1417"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419" w:type="dxa"/>
            <w:vMerge/>
            <w:tcBorders>
              <w:left w:val="single" w:sz="6" w:space="0" w:color="000000"/>
              <w:bottom w:val="nil" w:sz="6" w:space="0" w:color="auto"/>
              <w:right w:val="single" w:sz="6" w:space="0" w:color="000000"/>
            </w:tcBorders>
            <w:shd w:val="clear" w:color="auto" w:fill="D2D2D2"/>
          </w:tcPr>
          <w:p>
            <w:pPr/>
          </w:p>
        </w:tc>
        <w:tc>
          <w:tcPr>
            <w:tcW w:w="1274" w:type="dxa"/>
            <w:vMerge w:val="restart"/>
            <w:tcBorders>
              <w:top w:val="nil" w:sz="6" w:space="0" w:color="auto"/>
              <w:left w:val="single" w:sz="6" w:space="0" w:color="000000"/>
              <w:right w:val="single" w:sz="6" w:space="0" w:color="000000"/>
            </w:tcBorders>
            <w:shd w:val="clear" w:color="auto" w:fill="D2D2D2"/>
          </w:tcPr>
          <w:p>
            <w:pPr>
              <w:pStyle w:val="TableParagraph"/>
              <w:spacing w:line="217" w:lineRule="exact"/>
              <w:ind w:left="9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8" w:type="dxa"/>
            <w:vMerge w:val="restart"/>
            <w:tcBorders>
              <w:top w:val="nil" w:sz="6" w:space="0" w:color="auto"/>
              <w:left w:val="single" w:sz="6" w:space="0" w:color="000000"/>
              <w:right w:val="single" w:sz="12" w:space="0" w:color="000000"/>
            </w:tcBorders>
            <w:shd w:val="clear" w:color="auto" w:fill="D2D2D2"/>
          </w:tcPr>
          <w:p>
            <w:pPr>
              <w:pStyle w:val="TableParagraph"/>
              <w:spacing w:line="217" w:lineRule="exact"/>
              <w:ind w:left="7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20" w:hRule="exact"/>
        </w:trPr>
        <w:tc>
          <w:tcPr>
            <w:tcW w:w="835" w:type="dxa"/>
            <w:vMerge w:val="restart"/>
            <w:tcBorders>
              <w:top w:val="nil" w:sz="6" w:space="0" w:color="auto"/>
              <w:left w:val="single" w:sz="12" w:space="0" w:color="000000"/>
              <w:right w:val="single" w:sz="6" w:space="0" w:color="000000"/>
            </w:tcBorders>
            <w:shd w:val="clear" w:color="auto" w:fill="D2D2D2"/>
          </w:tcPr>
          <w:p>
            <w:pPr/>
          </w:p>
        </w:tc>
        <w:tc>
          <w:tcPr>
            <w:tcW w:w="1429" w:type="dxa"/>
            <w:vMerge w:val="restart"/>
            <w:tcBorders>
              <w:top w:val="nil" w:sz="6" w:space="0" w:color="auto"/>
              <w:left w:val="single" w:sz="6" w:space="0" w:color="000000"/>
              <w:right w:val="single" w:sz="6" w:space="0" w:color="000000"/>
            </w:tcBorders>
            <w:shd w:val="clear" w:color="auto" w:fill="D2D2D2"/>
          </w:tcPr>
          <w:p>
            <w:pPr>
              <w:pStyle w:val="TableParagraph"/>
              <w:spacing w:line="217" w:lineRule="exact"/>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8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exact"/>
              <w:ind w:left="44" w:right="42"/>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exact"/>
              <w:ind w:left="44" w:right="42"/>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4"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7" w:type="dxa"/>
            <w:vMerge w:val="restart"/>
            <w:tcBorders>
              <w:top w:val="nil" w:sz="6" w:space="0" w:color="auto"/>
              <w:left w:val="single" w:sz="6" w:space="0" w:color="000000"/>
              <w:right w:val="single" w:sz="6" w:space="0" w:color="000000"/>
            </w:tcBorders>
            <w:shd w:val="clear" w:color="auto" w:fill="D2D2D2"/>
          </w:tcPr>
          <w:p>
            <w:pPr>
              <w:pStyle w:val="TableParagraph"/>
              <w:spacing w:line="217" w:lineRule="exact"/>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tcBorders>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17" w:lineRule="exact"/>
              <w:ind w:left="26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6" w:space="0" w:color="000000"/>
              <w:right w:val="single" w:sz="6" w:space="0" w:color="000000"/>
            </w:tcBorders>
            <w:shd w:val="clear" w:color="auto" w:fill="D2D2D2"/>
          </w:tcPr>
          <w:p>
            <w:pPr/>
          </w:p>
        </w:tc>
        <w:tc>
          <w:tcPr>
            <w:tcW w:w="1419" w:type="dxa"/>
            <w:vMerge w:val="restart"/>
            <w:tcBorders>
              <w:top w:val="nil" w:sz="6" w:space="0" w:color="auto"/>
              <w:left w:val="single" w:sz="6" w:space="0" w:color="000000"/>
              <w:right w:val="single" w:sz="6" w:space="0" w:color="000000"/>
            </w:tcBorders>
            <w:shd w:val="clear" w:color="auto" w:fill="D2D2D2"/>
          </w:tcPr>
          <w:p>
            <w:pPr>
              <w:pStyle w:val="TableParagraph"/>
              <w:spacing w:line="217" w:lineRule="exact"/>
              <w:ind w:left="25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4" w:type="dxa"/>
            <w:vMerge/>
            <w:tcBorders>
              <w:left w:val="single" w:sz="6" w:space="0" w:color="000000"/>
              <w:bottom w:val="nil" w:sz="6" w:space="0" w:color="auto"/>
              <w:right w:val="single" w:sz="6" w:space="0" w:color="000000"/>
            </w:tcBorders>
            <w:shd w:val="clear" w:color="auto" w:fill="D2D2D2"/>
          </w:tcPr>
          <w:p>
            <w:pPr/>
          </w:p>
        </w:tc>
        <w:tc>
          <w:tcPr>
            <w:tcW w:w="1418" w:type="dxa"/>
            <w:vMerge/>
            <w:tcBorders>
              <w:left w:val="single" w:sz="6" w:space="0" w:color="000000"/>
              <w:bottom w:val="nil" w:sz="6" w:space="0" w:color="auto"/>
              <w:right w:val="single" w:sz="12" w:space="0" w:color="000000"/>
            </w:tcBorders>
            <w:shd w:val="clear" w:color="auto" w:fill="D2D2D2"/>
          </w:tcPr>
          <w:p>
            <w:pPr/>
          </w:p>
        </w:tc>
      </w:tr>
      <w:tr>
        <w:trPr>
          <w:trHeight w:val="120" w:hRule="exact"/>
        </w:trPr>
        <w:tc>
          <w:tcPr>
            <w:tcW w:w="835" w:type="dxa"/>
            <w:vMerge/>
            <w:tcBorders>
              <w:left w:val="single" w:sz="12" w:space="0" w:color="000000"/>
              <w:right w:val="single" w:sz="6" w:space="0" w:color="000000"/>
            </w:tcBorders>
            <w:shd w:val="clear" w:color="auto" w:fill="D2D2D2"/>
          </w:tcPr>
          <w:p>
            <w:pPr/>
          </w:p>
        </w:tc>
        <w:tc>
          <w:tcPr>
            <w:tcW w:w="1429" w:type="dxa"/>
            <w:vMerge/>
            <w:tcBorders>
              <w:left w:val="single" w:sz="6" w:space="0" w:color="000000"/>
              <w:bottom w:val="nil" w:sz="6" w:space="0" w:color="auto"/>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4" w:type="dxa"/>
            <w:vMerge w:val="restart"/>
            <w:tcBorders>
              <w:top w:val="nil" w:sz="6" w:space="0" w:color="auto"/>
              <w:left w:val="single" w:sz="6" w:space="0" w:color="000000"/>
              <w:right w:val="single" w:sz="6" w:space="0" w:color="000000"/>
            </w:tcBorders>
            <w:shd w:val="clear" w:color="auto" w:fill="D2D2D2"/>
          </w:tcPr>
          <w:p>
            <w:pPr>
              <w:pStyle w:val="TableParagraph"/>
              <w:spacing w:line="244" w:lineRule="auto"/>
              <w:ind w:left="45" w:right="42"/>
              <w:jc w:val="left"/>
              <w:rPr>
                <w:rFonts w:ascii="宋体" w:hAnsi="宋体" w:cs="宋体" w:eastAsia="宋体" w:hint="default"/>
                <w:sz w:val="18"/>
                <w:szCs w:val="18"/>
              </w:rPr>
            </w:pPr>
            <w:r>
              <w:rPr>
                <w:rFonts w:ascii="宋体" w:hAnsi="宋体" w:cs="宋体" w:eastAsia="宋体" w:hint="default"/>
                <w:sz w:val="18"/>
                <w:szCs w:val="18"/>
              </w:rPr>
              <w:t>其 他</w:t>
            </w:r>
          </w:p>
        </w:tc>
        <w:tc>
          <w:tcPr>
            <w:tcW w:w="1417"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419" w:type="dxa"/>
            <w:vMerge/>
            <w:tcBorders>
              <w:left w:val="single" w:sz="6" w:space="0" w:color="000000"/>
              <w:bottom w:val="nil" w:sz="6" w:space="0" w:color="auto"/>
              <w:right w:val="single" w:sz="6" w:space="0" w:color="000000"/>
            </w:tcBorders>
            <w:shd w:val="clear" w:color="auto" w:fill="D2D2D2"/>
          </w:tcPr>
          <w:p>
            <w:pPr/>
          </w:p>
        </w:tc>
        <w:tc>
          <w:tcPr>
            <w:tcW w:w="1274" w:type="dxa"/>
            <w:vMerge w:val="restart"/>
            <w:tcBorders>
              <w:top w:val="nil" w:sz="6" w:space="0" w:color="auto"/>
              <w:left w:val="single" w:sz="6" w:space="0" w:color="000000"/>
              <w:right w:val="single" w:sz="6" w:space="0" w:color="000000"/>
            </w:tcBorders>
            <w:shd w:val="clear" w:color="auto" w:fill="D2D2D2"/>
          </w:tcPr>
          <w:p>
            <w:pPr/>
          </w:p>
        </w:tc>
        <w:tc>
          <w:tcPr>
            <w:tcW w:w="1418" w:type="dxa"/>
            <w:vMerge w:val="restart"/>
            <w:tcBorders>
              <w:top w:val="nil" w:sz="6" w:space="0" w:color="auto"/>
              <w:left w:val="single" w:sz="6" w:space="0" w:color="000000"/>
              <w:right w:val="single" w:sz="12" w:space="0" w:color="000000"/>
            </w:tcBorders>
            <w:shd w:val="clear" w:color="auto" w:fill="D2D2D2"/>
          </w:tcPr>
          <w:p>
            <w:pPr/>
          </w:p>
        </w:tc>
      </w:tr>
      <w:tr>
        <w:trPr>
          <w:trHeight w:val="240" w:hRule="exact"/>
        </w:trPr>
        <w:tc>
          <w:tcPr>
            <w:tcW w:w="835" w:type="dxa"/>
            <w:vMerge/>
            <w:tcBorders>
              <w:left w:val="single" w:sz="12" w:space="0" w:color="000000"/>
              <w:right w:val="single" w:sz="6" w:space="0" w:color="000000"/>
            </w:tcBorders>
            <w:shd w:val="clear" w:color="auto" w:fill="D2D2D2"/>
          </w:tcPr>
          <w:p>
            <w:pPr/>
          </w:p>
        </w:tc>
        <w:tc>
          <w:tcPr>
            <w:tcW w:w="1429" w:type="dxa"/>
            <w:vMerge w:val="restart"/>
            <w:tcBorders>
              <w:top w:val="nil" w:sz="6" w:space="0" w:color="auto"/>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1417" w:type="dxa"/>
            <w:vMerge w:val="restart"/>
            <w:tcBorders>
              <w:top w:val="nil" w:sz="6" w:space="0" w:color="auto"/>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1419" w:type="dxa"/>
            <w:vMerge w:val="restart"/>
            <w:tcBorders>
              <w:top w:val="nil" w:sz="6" w:space="0" w:color="auto"/>
              <w:left w:val="single" w:sz="6" w:space="0" w:color="000000"/>
              <w:right w:val="single" w:sz="6" w:space="0" w:color="000000"/>
            </w:tcBorders>
            <w:shd w:val="clear" w:color="auto" w:fill="D2D2D2"/>
          </w:tcPr>
          <w:p>
            <w:pPr/>
          </w:p>
        </w:tc>
        <w:tc>
          <w:tcPr>
            <w:tcW w:w="1274"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12" w:space="0" w:color="000000"/>
            </w:tcBorders>
            <w:shd w:val="clear" w:color="auto" w:fill="D2D2D2"/>
          </w:tcPr>
          <w:p>
            <w:pPr/>
          </w:p>
        </w:tc>
      </w:tr>
      <w:tr>
        <w:trPr>
          <w:trHeight w:val="254" w:hRule="exact"/>
        </w:trPr>
        <w:tc>
          <w:tcPr>
            <w:tcW w:w="835" w:type="dxa"/>
            <w:vMerge/>
            <w:tcBorders>
              <w:left w:val="single" w:sz="12" w:space="0" w:color="000000"/>
              <w:bottom w:val="single" w:sz="6" w:space="0" w:color="000000"/>
              <w:right w:val="single" w:sz="6" w:space="0" w:color="000000"/>
            </w:tcBorders>
            <w:shd w:val="clear" w:color="auto" w:fill="D2D2D2"/>
          </w:tcPr>
          <w:p>
            <w:pPr/>
          </w:p>
        </w:tc>
        <w:tc>
          <w:tcPr>
            <w:tcW w:w="1429" w:type="dxa"/>
            <w:vMerge/>
            <w:tcBorders>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284" w:type="dxa"/>
            <w:vMerge/>
            <w:tcBorders>
              <w:left w:val="single" w:sz="6" w:space="0" w:color="000000"/>
              <w:bottom w:val="single" w:sz="6" w:space="0" w:color="000000"/>
              <w:right w:val="single" w:sz="6" w:space="0" w:color="000000"/>
            </w:tcBorders>
            <w:shd w:val="clear" w:color="auto" w:fill="D2D2D2"/>
          </w:tcPr>
          <w:p>
            <w:pPr/>
          </w:p>
        </w:tc>
        <w:tc>
          <w:tcPr>
            <w:tcW w:w="1417" w:type="dxa"/>
            <w:vMerge/>
            <w:tcBorders>
              <w:left w:val="single" w:sz="6" w:space="0" w:color="000000"/>
              <w:bottom w:val="single" w:sz="6" w:space="0" w:color="000000"/>
              <w:right w:val="single" w:sz="6" w:space="0" w:color="000000"/>
            </w:tcBorders>
            <w:shd w:val="clear" w:color="auto" w:fill="D2D2D2"/>
          </w:tcPr>
          <w:p>
            <w:pPr/>
          </w:p>
        </w:tc>
        <w:tc>
          <w:tcPr>
            <w:tcW w:w="425" w:type="dxa"/>
            <w:tcBorders>
              <w:top w:val="nil" w:sz="6" w:space="0" w:color="auto"/>
              <w:left w:val="single" w:sz="6" w:space="0" w:color="000000"/>
              <w:bottom w:val="single" w:sz="6" w:space="0" w:color="000000"/>
              <w:right w:val="single" w:sz="6" w:space="0" w:color="000000"/>
            </w:tcBorders>
            <w:shd w:val="clear" w:color="auto" w:fill="D2D2D2"/>
          </w:tcPr>
          <w:p>
            <w:pPr/>
          </w:p>
        </w:tc>
        <w:tc>
          <w:tcPr>
            <w:tcW w:w="426" w:type="dxa"/>
            <w:tcBorders>
              <w:top w:val="nil" w:sz="6" w:space="0" w:color="auto"/>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425"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9" w:type="dxa"/>
            <w:vMerge/>
            <w:tcBorders>
              <w:left w:val="single" w:sz="6" w:space="0" w:color="000000"/>
              <w:bottom w:val="single" w:sz="6" w:space="0" w:color="000000"/>
              <w:right w:val="single" w:sz="6" w:space="0" w:color="000000"/>
            </w:tcBorders>
            <w:shd w:val="clear" w:color="auto" w:fill="D2D2D2"/>
          </w:tcPr>
          <w:p>
            <w:pPr/>
          </w:p>
        </w:tc>
        <w:tc>
          <w:tcPr>
            <w:tcW w:w="1274" w:type="dxa"/>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12" w:space="0" w:color="000000"/>
            </w:tcBorders>
            <w:shd w:val="clear" w:color="auto" w:fill="D2D2D2"/>
          </w:tcPr>
          <w:p>
            <w:pPr/>
          </w:p>
        </w:tc>
      </w:tr>
      <w:tr>
        <w:trPr>
          <w:trHeight w:val="496"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6" w:right="83"/>
              <w:jc w:val="left"/>
              <w:rPr>
                <w:rFonts w:ascii="宋体" w:hAnsi="宋体" w:cs="宋体" w:eastAsia="宋体" w:hint="default"/>
                <w:sz w:val="18"/>
                <w:szCs w:val="18"/>
              </w:rPr>
            </w:pPr>
            <w:r>
              <w:rPr>
                <w:rFonts w:ascii="宋体" w:hAnsi="宋体" w:cs="宋体" w:eastAsia="宋体" w:hint="default"/>
                <w:sz w:val="18"/>
                <w:szCs w:val="18"/>
              </w:rPr>
              <w:t>一、上年 期末余额</w:t>
            </w:r>
          </w:p>
        </w:tc>
        <w:tc>
          <w:tcPr>
            <w:tcW w:w="1429"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03"/>
              <w:ind w:right="21"/>
              <w:jc w:val="right"/>
              <w:rPr>
                <w:rFonts w:ascii="宋体" w:hAnsi="宋体" w:cs="宋体" w:eastAsia="宋体" w:hint="default"/>
                <w:sz w:val="18"/>
                <w:szCs w:val="18"/>
              </w:rPr>
            </w:pPr>
            <w:r>
              <w:rPr>
                <w:rFonts w:ascii="宋体"/>
                <w:sz w:val="18"/>
              </w:rPr>
              <w:t>130,005,000.00</w:t>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54" w:space="0" w:color="D2D2D2"/>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9"/>
              <w:jc w:val="right"/>
              <w:rPr>
                <w:rFonts w:ascii="宋体" w:hAnsi="宋体" w:cs="宋体" w:eastAsia="宋体" w:hint="default"/>
                <w:sz w:val="18"/>
                <w:szCs w:val="18"/>
              </w:rPr>
            </w:pPr>
            <w:r>
              <w:rPr>
                <w:rFonts w:ascii="宋体"/>
                <w:sz w:val="18"/>
              </w:rPr>
              <w:t>363,890,702.61</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57" w:space="0" w:color="D2D2D2"/>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8"/>
              <w:jc w:val="right"/>
              <w:rPr>
                <w:rFonts w:ascii="宋体" w:hAnsi="宋体" w:cs="宋体" w:eastAsia="宋体" w:hint="default"/>
                <w:sz w:val="18"/>
                <w:szCs w:val="18"/>
              </w:rPr>
            </w:pPr>
            <w:r>
              <w:rPr>
                <w:rFonts w:ascii="宋体"/>
                <w:sz w:val="18"/>
              </w:rPr>
              <w:t>17,728,817.66</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2" w:right="0"/>
              <w:jc w:val="center"/>
              <w:rPr>
                <w:rFonts w:ascii="宋体" w:hAnsi="宋体" w:cs="宋体" w:eastAsia="宋体" w:hint="default"/>
                <w:sz w:val="18"/>
                <w:szCs w:val="18"/>
              </w:rPr>
            </w:pPr>
            <w:r>
              <w:rPr>
                <w:rFonts w:ascii="宋体"/>
                <w:sz w:val="18"/>
              </w:rPr>
              <w:t>167,389,661.85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39" w:right="0"/>
              <w:jc w:val="center"/>
              <w:rPr>
                <w:rFonts w:ascii="宋体" w:hAnsi="宋体" w:cs="宋体" w:eastAsia="宋体" w:hint="default"/>
                <w:sz w:val="18"/>
                <w:szCs w:val="18"/>
              </w:rPr>
            </w:pPr>
            <w:r>
              <w:rPr>
                <w:rFonts w:ascii="宋体"/>
                <w:sz w:val="18"/>
              </w:rPr>
              <w:t>9,544,720.69</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10"/>
              <w:jc w:val="right"/>
              <w:rPr>
                <w:rFonts w:ascii="宋体" w:hAnsi="宋体" w:cs="宋体" w:eastAsia="宋体" w:hint="default"/>
                <w:sz w:val="18"/>
                <w:szCs w:val="18"/>
              </w:rPr>
            </w:pPr>
            <w:r>
              <w:rPr>
                <w:rFonts w:ascii="宋体"/>
                <w:sz w:val="18"/>
              </w:rPr>
              <w:t>688,558,902.81</w:t>
            </w:r>
          </w:p>
        </w:tc>
      </w:tr>
      <w:tr>
        <w:trPr>
          <w:trHeight w:val="734"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83" w:firstLine="360"/>
              <w:jc w:val="both"/>
              <w:rPr>
                <w:rFonts w:ascii="宋体" w:hAnsi="宋体" w:cs="宋体" w:eastAsia="宋体" w:hint="default"/>
                <w:sz w:val="18"/>
                <w:szCs w:val="18"/>
              </w:rPr>
            </w:pPr>
            <w:r>
              <w:rPr>
                <w:rFonts w:ascii="宋体" w:hAnsi="宋体" w:cs="宋体" w:eastAsia="宋体" w:hint="default"/>
                <w:sz w:val="18"/>
                <w:szCs w:val="18"/>
              </w:rPr>
              <w:t>加： 会计政策 变更</w:t>
            </w:r>
          </w:p>
        </w:tc>
        <w:tc>
          <w:tcPr>
            <w:tcW w:w="1429" w:type="dxa"/>
            <w:tcBorders>
              <w:top w:val="single" w:sz="6" w:space="0" w:color="000000"/>
              <w:left w:val="single" w:sz="8"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736"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4" w:lineRule="auto"/>
              <w:ind w:left="6" w:right="83"/>
              <w:jc w:val="left"/>
              <w:rPr>
                <w:rFonts w:ascii="宋体" w:hAnsi="宋体" w:cs="宋体" w:eastAsia="宋体" w:hint="default"/>
                <w:sz w:val="18"/>
                <w:szCs w:val="18"/>
              </w:rPr>
            </w:pPr>
            <w:r>
              <w:rPr>
                <w:rFonts w:ascii="宋体" w:hAnsi="宋体" w:cs="宋体" w:eastAsia="宋体" w:hint="default"/>
                <w:sz w:val="18"/>
                <w:szCs w:val="18"/>
              </w:rPr>
              <w:t>前期差错 更正</w:t>
            </w:r>
          </w:p>
        </w:tc>
        <w:tc>
          <w:tcPr>
            <w:tcW w:w="1429" w:type="dxa"/>
            <w:tcBorders>
              <w:top w:val="single" w:sz="6" w:space="0" w:color="000000"/>
              <w:left w:val="single" w:sz="8"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974"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6" w:right="83"/>
              <w:jc w:val="both"/>
              <w:rPr>
                <w:rFonts w:ascii="宋体" w:hAnsi="宋体" w:cs="宋体" w:eastAsia="宋体" w:hint="default"/>
                <w:sz w:val="18"/>
                <w:szCs w:val="18"/>
              </w:rPr>
            </w:pPr>
            <w:r>
              <w:rPr>
                <w:rFonts w:ascii="宋体" w:hAnsi="宋体" w:cs="宋体" w:eastAsia="宋体" w:hint="default"/>
                <w:sz w:val="18"/>
                <w:szCs w:val="18"/>
              </w:rPr>
              <w:t>同一控制 下企业合 并</w:t>
            </w:r>
          </w:p>
        </w:tc>
        <w:tc>
          <w:tcPr>
            <w:tcW w:w="1429" w:type="dxa"/>
            <w:tcBorders>
              <w:top w:val="single" w:sz="6" w:space="0" w:color="000000"/>
              <w:left w:val="single" w:sz="8"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496"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6" w:space="0" w:color="000000"/>
              <w:left w:val="single" w:sz="8"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83"/>
              <w:jc w:val="left"/>
              <w:rPr>
                <w:rFonts w:ascii="宋体" w:hAnsi="宋体" w:cs="宋体" w:eastAsia="宋体" w:hint="default"/>
                <w:sz w:val="18"/>
                <w:szCs w:val="18"/>
              </w:rPr>
            </w:pPr>
            <w:r>
              <w:rPr>
                <w:rFonts w:ascii="宋体" w:hAnsi="宋体" w:cs="宋体" w:eastAsia="宋体" w:hint="default"/>
                <w:sz w:val="18"/>
                <w:szCs w:val="18"/>
              </w:rPr>
              <w:t>二、本年 期初余额</w:t>
            </w:r>
          </w:p>
        </w:tc>
        <w:tc>
          <w:tcPr>
            <w:tcW w:w="1429"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18"/>
                <w:szCs w:val="18"/>
              </w:rPr>
            </w:pPr>
            <w:r>
              <w:rPr>
                <w:rFonts w:ascii="宋体"/>
                <w:sz w:val="18"/>
              </w:rPr>
              <w:t>130,005,000.00</w:t>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
              <w:jc w:val="right"/>
              <w:rPr>
                <w:rFonts w:ascii="宋体" w:hAnsi="宋体" w:cs="宋体" w:eastAsia="宋体" w:hint="default"/>
                <w:sz w:val="18"/>
                <w:szCs w:val="18"/>
              </w:rPr>
            </w:pPr>
            <w:r>
              <w:rPr>
                <w:rFonts w:ascii="宋体"/>
                <w:sz w:val="18"/>
              </w:rPr>
              <w:t>363,890,702.61</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17,728,817.66</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center"/>
              <w:rPr>
                <w:rFonts w:ascii="宋体" w:hAnsi="宋体" w:cs="宋体" w:eastAsia="宋体" w:hint="default"/>
                <w:sz w:val="18"/>
                <w:szCs w:val="18"/>
              </w:rPr>
            </w:pPr>
            <w:r>
              <w:rPr>
                <w:rFonts w:ascii="宋体"/>
                <w:sz w:val="18"/>
              </w:rPr>
              <w:t>167,389,661.85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9" w:right="0"/>
              <w:jc w:val="center"/>
              <w:rPr>
                <w:rFonts w:ascii="宋体" w:hAnsi="宋体" w:cs="宋体" w:eastAsia="宋体" w:hint="default"/>
                <w:sz w:val="18"/>
                <w:szCs w:val="18"/>
              </w:rPr>
            </w:pPr>
            <w:r>
              <w:rPr>
                <w:rFonts w:ascii="宋体"/>
                <w:sz w:val="18"/>
              </w:rPr>
              <w:t>9,544,720.69</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10"/>
              <w:jc w:val="right"/>
              <w:rPr>
                <w:rFonts w:ascii="宋体" w:hAnsi="宋体" w:cs="宋体" w:eastAsia="宋体" w:hint="default"/>
                <w:sz w:val="18"/>
                <w:szCs w:val="18"/>
              </w:rPr>
            </w:pPr>
            <w:r>
              <w:rPr>
                <w:rFonts w:ascii="宋体"/>
                <w:sz w:val="18"/>
              </w:rPr>
              <w:t>688,558,902.81</w:t>
            </w:r>
          </w:p>
        </w:tc>
      </w:tr>
      <w:tr>
        <w:trPr>
          <w:trHeight w:val="1456"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6" w:right="83"/>
              <w:jc w:val="both"/>
              <w:rPr>
                <w:rFonts w:ascii="宋体" w:hAnsi="宋体" w:cs="宋体" w:eastAsia="宋体" w:hint="default"/>
                <w:sz w:val="18"/>
                <w:szCs w:val="18"/>
              </w:rPr>
            </w:pPr>
            <w:r>
              <w:rPr>
                <w:rFonts w:ascii="宋体" w:hAnsi="宋体" w:cs="宋体" w:eastAsia="宋体" w:hint="default"/>
                <w:sz w:val="18"/>
                <w:szCs w:val="18"/>
              </w:rPr>
              <w:t>三、本期 增减变动 金额（减</w:t>
            </w:r>
          </w:p>
          <w:p>
            <w:pPr>
              <w:pStyle w:val="TableParagraph"/>
              <w:spacing w:line="240" w:lineRule="exact"/>
              <w:ind w:left="6" w:right="83"/>
              <w:jc w:val="left"/>
              <w:rPr>
                <w:rFonts w:ascii="宋体" w:hAnsi="宋体" w:cs="宋体" w:eastAsia="宋体" w:hint="default"/>
                <w:sz w:val="18"/>
                <w:szCs w:val="18"/>
              </w:rPr>
            </w:pPr>
            <w:r>
              <w:rPr>
                <w:rFonts w:ascii="宋体" w:hAnsi="宋体" w:cs="宋体" w:eastAsia="宋体" w:hint="default"/>
                <w:sz w:val="18"/>
                <w:szCs w:val="18"/>
              </w:rPr>
              <w:t>少以 “－”号 填列）</w:t>
            </w:r>
          </w:p>
        </w:tc>
        <w:tc>
          <w:tcPr>
            <w:tcW w:w="1429"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z w:val="18"/>
              </w:rPr>
              <w:t>31,216,848.00</w:t>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z w:val="18"/>
              </w:rPr>
              <w:t>562,992,299.85</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2,694,609.04</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92" w:right="0"/>
              <w:jc w:val="center"/>
              <w:rPr>
                <w:rFonts w:ascii="宋体" w:hAnsi="宋体" w:cs="宋体" w:eastAsia="宋体" w:hint="default"/>
                <w:sz w:val="18"/>
                <w:szCs w:val="18"/>
              </w:rPr>
            </w:pPr>
            <w:r>
              <w:rPr>
                <w:rFonts w:ascii="宋体"/>
                <w:sz w:val="18"/>
              </w:rPr>
              <w:t>20,235,843.50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49" w:right="0"/>
              <w:jc w:val="center"/>
              <w:rPr>
                <w:rFonts w:ascii="宋体" w:hAnsi="宋体" w:cs="宋体" w:eastAsia="宋体" w:hint="default"/>
                <w:sz w:val="18"/>
                <w:szCs w:val="18"/>
              </w:rPr>
            </w:pPr>
            <w:r>
              <w:rPr>
                <w:rFonts w:ascii="宋体"/>
                <w:sz w:val="18"/>
              </w:rPr>
              <w:t>69,541,307.73</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
              <w:jc w:val="right"/>
              <w:rPr>
                <w:rFonts w:ascii="宋体" w:hAnsi="宋体" w:cs="宋体" w:eastAsia="宋体" w:hint="default"/>
                <w:sz w:val="18"/>
                <w:szCs w:val="18"/>
              </w:rPr>
            </w:pPr>
            <w:r>
              <w:rPr>
                <w:rFonts w:ascii="宋体"/>
                <w:sz w:val="18"/>
              </w:rPr>
              <w:t>686,680,908.12</w:t>
            </w:r>
          </w:p>
        </w:tc>
      </w:tr>
      <w:tr>
        <w:trPr>
          <w:trHeight w:val="734"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83"/>
              <w:jc w:val="both"/>
              <w:rPr>
                <w:rFonts w:ascii="宋体" w:hAnsi="宋体" w:cs="宋体" w:eastAsia="宋体" w:hint="default"/>
                <w:sz w:val="18"/>
                <w:szCs w:val="18"/>
              </w:rPr>
            </w:pPr>
            <w:r>
              <w:rPr>
                <w:rFonts w:ascii="宋体" w:hAnsi="宋体" w:cs="宋体" w:eastAsia="宋体" w:hint="default"/>
                <w:sz w:val="18"/>
                <w:szCs w:val="18"/>
              </w:rPr>
              <w:t>（一）综 合收益总 额</w:t>
            </w:r>
          </w:p>
        </w:tc>
        <w:tc>
          <w:tcPr>
            <w:tcW w:w="1429" w:type="dxa"/>
            <w:tcBorders>
              <w:top w:val="single" w:sz="6" w:space="0" w:color="000000"/>
              <w:left w:val="single" w:sz="8"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2" w:right="0"/>
              <w:jc w:val="center"/>
              <w:rPr>
                <w:rFonts w:ascii="宋体" w:hAnsi="宋体" w:cs="宋体" w:eastAsia="宋体" w:hint="default"/>
                <w:sz w:val="18"/>
                <w:szCs w:val="18"/>
              </w:rPr>
            </w:pPr>
            <w:r>
              <w:rPr>
                <w:rFonts w:ascii="宋体"/>
                <w:sz w:val="18"/>
              </w:rPr>
              <w:t>35,930,952.54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9" w:right="0"/>
              <w:jc w:val="center"/>
              <w:rPr>
                <w:rFonts w:ascii="宋体" w:hAnsi="宋体" w:cs="宋体" w:eastAsia="宋体" w:hint="default"/>
                <w:sz w:val="18"/>
                <w:szCs w:val="18"/>
              </w:rPr>
            </w:pPr>
            <w:r>
              <w:rPr>
                <w:rFonts w:ascii="宋体"/>
                <w:sz w:val="18"/>
              </w:rPr>
              <w:t>-6,587,417.04</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
              <w:jc w:val="right"/>
              <w:rPr>
                <w:rFonts w:ascii="宋体" w:hAnsi="宋体" w:cs="宋体" w:eastAsia="宋体" w:hint="default"/>
                <w:sz w:val="18"/>
                <w:szCs w:val="18"/>
              </w:rPr>
            </w:pPr>
            <w:r>
              <w:rPr>
                <w:rFonts w:ascii="宋体"/>
                <w:sz w:val="18"/>
              </w:rPr>
              <w:t>29,343,535.50</w:t>
            </w:r>
          </w:p>
        </w:tc>
      </w:tr>
      <w:tr>
        <w:trPr>
          <w:trHeight w:val="976"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6" w:right="83"/>
              <w:jc w:val="both"/>
              <w:rPr>
                <w:rFonts w:ascii="宋体" w:hAnsi="宋体" w:cs="宋体" w:eastAsia="宋体" w:hint="default"/>
                <w:sz w:val="18"/>
                <w:szCs w:val="18"/>
              </w:rPr>
            </w:pPr>
            <w:r>
              <w:rPr>
                <w:rFonts w:ascii="宋体" w:hAnsi="宋体" w:cs="宋体" w:eastAsia="宋体" w:hint="default"/>
                <w:sz w:val="18"/>
                <w:szCs w:val="18"/>
              </w:rPr>
              <w:t>（二）所 有者投入 和减少资 本</w:t>
            </w:r>
          </w:p>
        </w:tc>
        <w:tc>
          <w:tcPr>
            <w:tcW w:w="1429"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z w:val="18"/>
              </w:rPr>
              <w:t>31,216,848.00</w:t>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z w:val="18"/>
              </w:rPr>
              <w:t>555,710,128.16</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49" w:right="0"/>
              <w:jc w:val="center"/>
              <w:rPr>
                <w:rFonts w:ascii="宋体" w:hAnsi="宋体" w:cs="宋体" w:eastAsia="宋体" w:hint="default"/>
                <w:sz w:val="18"/>
                <w:szCs w:val="18"/>
              </w:rPr>
            </w:pPr>
            <w:r>
              <w:rPr>
                <w:rFonts w:ascii="宋体"/>
                <w:sz w:val="18"/>
              </w:rPr>
              <w:t>76,128,724.77</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
              <w:jc w:val="right"/>
              <w:rPr>
                <w:rFonts w:ascii="宋体" w:hAnsi="宋体" w:cs="宋体" w:eastAsia="宋体" w:hint="default"/>
                <w:sz w:val="18"/>
                <w:szCs w:val="18"/>
              </w:rPr>
            </w:pPr>
            <w:r>
              <w:rPr>
                <w:rFonts w:ascii="宋体"/>
                <w:sz w:val="18"/>
              </w:rPr>
              <w:t>663,055,700.93</w:t>
            </w:r>
          </w:p>
        </w:tc>
      </w:tr>
      <w:tr>
        <w:trPr>
          <w:trHeight w:val="734"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．股东投</w:t>
            </w:r>
            <w:r>
              <w:rPr>
                <w:rFonts w:ascii="宋体" w:hAnsi="宋体" w:cs="宋体" w:eastAsia="宋体" w:hint="default"/>
                <w:sz w:val="18"/>
                <w:szCs w:val="18"/>
              </w:rPr>
              <w:t> 入的普通 股</w:t>
            </w:r>
          </w:p>
        </w:tc>
        <w:tc>
          <w:tcPr>
            <w:tcW w:w="1429"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z w:val="18"/>
              </w:rPr>
              <w:t>31,216,848.00</w:t>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555,710,128.16</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9" w:right="0"/>
              <w:jc w:val="center"/>
              <w:rPr>
                <w:rFonts w:ascii="宋体" w:hAnsi="宋体" w:cs="宋体" w:eastAsia="宋体" w:hint="default"/>
                <w:sz w:val="18"/>
                <w:szCs w:val="18"/>
              </w:rPr>
            </w:pPr>
            <w:r>
              <w:rPr>
                <w:rFonts w:ascii="宋体"/>
                <w:sz w:val="18"/>
              </w:rPr>
              <w:t>79,715,304.98</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
              <w:jc w:val="right"/>
              <w:rPr>
                <w:rFonts w:ascii="宋体" w:hAnsi="宋体" w:cs="宋体" w:eastAsia="宋体" w:hint="default"/>
                <w:sz w:val="18"/>
                <w:szCs w:val="18"/>
              </w:rPr>
            </w:pPr>
            <w:r>
              <w:rPr>
                <w:rFonts w:ascii="宋体"/>
                <w:sz w:val="18"/>
              </w:rPr>
              <w:t>666,642,281.14</w:t>
            </w:r>
          </w:p>
        </w:tc>
      </w:tr>
      <w:tr>
        <w:trPr>
          <w:trHeight w:val="976"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6" w:right="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w:t>
            </w:r>
            <w:r>
              <w:rPr>
                <w:rFonts w:ascii="宋体" w:hAnsi="宋体" w:cs="宋体" w:eastAsia="宋体" w:hint="default"/>
                <w:sz w:val="18"/>
                <w:szCs w:val="18"/>
              </w:rPr>
              <w:t> 益工具持 有者投入 资本</w:t>
            </w:r>
          </w:p>
        </w:tc>
        <w:tc>
          <w:tcPr>
            <w:tcW w:w="1429" w:type="dxa"/>
            <w:tcBorders>
              <w:top w:val="single" w:sz="6" w:space="0" w:color="000000"/>
              <w:left w:val="single" w:sz="8"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974"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8"/>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w:t>
            </w:r>
            <w:r>
              <w:rPr>
                <w:rFonts w:ascii="宋体" w:hAnsi="宋体" w:cs="宋体" w:eastAsia="宋体" w:hint="default"/>
                <w:sz w:val="18"/>
                <w:szCs w:val="18"/>
              </w:rPr>
              <w:t> 付计入所 有者权益 的金额</w:t>
            </w:r>
          </w:p>
        </w:tc>
        <w:tc>
          <w:tcPr>
            <w:tcW w:w="1429" w:type="dxa"/>
            <w:tcBorders>
              <w:top w:val="single" w:sz="6" w:space="0" w:color="000000"/>
              <w:left w:val="single" w:sz="8"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256"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19" w:lineRule="exact"/>
              <w:ind w:left="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29" w:type="dxa"/>
            <w:tcBorders>
              <w:top w:val="single" w:sz="6" w:space="0" w:color="000000"/>
              <w:left w:val="single" w:sz="8"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49" w:right="0"/>
              <w:jc w:val="center"/>
              <w:rPr>
                <w:rFonts w:ascii="宋体" w:hAnsi="宋体" w:cs="宋体" w:eastAsia="宋体" w:hint="default"/>
                <w:sz w:val="18"/>
                <w:szCs w:val="18"/>
              </w:rPr>
            </w:pPr>
            <w:r>
              <w:rPr>
                <w:rFonts w:ascii="宋体"/>
                <w:sz w:val="18"/>
              </w:rPr>
              <w:t>-3,586,580.21</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19" w:lineRule="exact"/>
              <w:ind w:right="10"/>
              <w:jc w:val="right"/>
              <w:rPr>
                <w:rFonts w:ascii="宋体" w:hAnsi="宋体" w:cs="宋体" w:eastAsia="宋体" w:hint="default"/>
                <w:sz w:val="18"/>
                <w:szCs w:val="18"/>
              </w:rPr>
            </w:pPr>
            <w:r>
              <w:rPr>
                <w:rFonts w:ascii="宋体"/>
                <w:sz w:val="18"/>
              </w:rPr>
              <w:t>-3,586,580.21</w:t>
            </w:r>
          </w:p>
        </w:tc>
      </w:tr>
      <w:tr>
        <w:trPr>
          <w:trHeight w:val="495"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17" w:lineRule="exact"/>
              <w:ind w:left="6" w:right="0"/>
              <w:jc w:val="left"/>
              <w:rPr>
                <w:rFonts w:ascii="宋体" w:hAnsi="宋体" w:cs="宋体" w:eastAsia="宋体" w:hint="default"/>
                <w:sz w:val="18"/>
                <w:szCs w:val="18"/>
              </w:rPr>
            </w:pPr>
            <w:r>
              <w:rPr>
                <w:rFonts w:ascii="宋体" w:hAnsi="宋体" w:cs="宋体" w:eastAsia="宋体" w:hint="default"/>
                <w:sz w:val="18"/>
                <w:szCs w:val="18"/>
              </w:rPr>
              <w:t>（三）利</w:t>
            </w:r>
          </w:p>
          <w:p>
            <w:pPr>
              <w:pStyle w:val="TableParagraph"/>
              <w:spacing w:line="240" w:lineRule="auto" w:before="5"/>
              <w:ind w:left="6" w:right="0"/>
              <w:jc w:val="left"/>
              <w:rPr>
                <w:rFonts w:ascii="宋体" w:hAnsi="宋体" w:cs="宋体" w:eastAsia="宋体" w:hint="default"/>
                <w:sz w:val="18"/>
                <w:szCs w:val="18"/>
              </w:rPr>
            </w:pPr>
            <w:r>
              <w:rPr>
                <w:rFonts w:ascii="宋体" w:hAnsi="宋体" w:cs="宋体" w:eastAsia="宋体" w:hint="default"/>
                <w:sz w:val="18"/>
                <w:szCs w:val="18"/>
              </w:rPr>
              <w:t>润分配</w:t>
            </w:r>
          </w:p>
        </w:tc>
        <w:tc>
          <w:tcPr>
            <w:tcW w:w="1429" w:type="dxa"/>
            <w:tcBorders>
              <w:top w:val="single" w:sz="6" w:space="0" w:color="000000"/>
              <w:left w:val="single" w:sz="8"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宋体" w:hAnsi="宋体" w:cs="宋体" w:eastAsia="宋体" w:hint="default"/>
                <w:sz w:val="18"/>
                <w:szCs w:val="18"/>
              </w:rPr>
            </w:pPr>
            <w:r>
              <w:rPr>
                <w:rFonts w:ascii="宋体"/>
                <w:sz w:val="18"/>
              </w:rPr>
              <w:t>2,694,609.04</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2" w:right="0"/>
              <w:jc w:val="center"/>
              <w:rPr>
                <w:rFonts w:ascii="宋体" w:hAnsi="宋体" w:cs="宋体" w:eastAsia="宋体" w:hint="default"/>
                <w:sz w:val="18"/>
                <w:szCs w:val="18"/>
              </w:rPr>
            </w:pPr>
            <w:r>
              <w:rPr>
                <w:rFonts w:ascii="宋体"/>
                <w:sz w:val="18"/>
              </w:rPr>
              <w:t>-15,695,109.04</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10"/>
              <w:jc w:val="right"/>
              <w:rPr>
                <w:rFonts w:ascii="宋体" w:hAnsi="宋体" w:cs="宋体" w:eastAsia="宋体" w:hint="default"/>
                <w:sz w:val="18"/>
                <w:szCs w:val="18"/>
              </w:rPr>
            </w:pPr>
            <w:r>
              <w:rPr>
                <w:rFonts w:ascii="宋体"/>
                <w:sz w:val="18"/>
              </w:rPr>
              <w:t>-13,000,500.00</w:t>
            </w:r>
          </w:p>
        </w:tc>
      </w:tr>
      <w:tr>
        <w:trPr>
          <w:trHeight w:val="496"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6" w:right="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．提取盈</w:t>
            </w:r>
            <w:r>
              <w:rPr>
                <w:rFonts w:ascii="宋体" w:hAnsi="宋体" w:cs="宋体" w:eastAsia="宋体" w:hint="default"/>
                <w:sz w:val="18"/>
                <w:szCs w:val="18"/>
              </w:rPr>
              <w:t> 余公积</w:t>
            </w:r>
          </w:p>
        </w:tc>
        <w:tc>
          <w:tcPr>
            <w:tcW w:w="1429" w:type="dxa"/>
            <w:tcBorders>
              <w:top w:val="single" w:sz="6" w:space="0" w:color="000000"/>
              <w:left w:val="single" w:sz="8"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8"/>
              <w:jc w:val="right"/>
              <w:rPr>
                <w:rFonts w:ascii="宋体" w:hAnsi="宋体" w:cs="宋体" w:eastAsia="宋体" w:hint="default"/>
                <w:sz w:val="18"/>
                <w:szCs w:val="18"/>
              </w:rPr>
            </w:pPr>
            <w:r>
              <w:rPr>
                <w:rFonts w:ascii="宋体"/>
                <w:sz w:val="18"/>
              </w:rPr>
              <w:t>2,694,609.04</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92" w:right="0"/>
              <w:jc w:val="center"/>
              <w:rPr>
                <w:rFonts w:ascii="宋体" w:hAnsi="宋体" w:cs="宋体" w:eastAsia="宋体" w:hint="default"/>
                <w:sz w:val="18"/>
                <w:szCs w:val="18"/>
              </w:rPr>
            </w:pPr>
            <w:r>
              <w:rPr>
                <w:rFonts w:ascii="宋体"/>
                <w:sz w:val="18"/>
              </w:rPr>
              <w:t>-2,694,609.04</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502" w:hRule="exact"/>
        </w:trPr>
        <w:tc>
          <w:tcPr>
            <w:tcW w:w="83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exact"/>
              <w:ind w:left="6" w:right="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．提取一</w:t>
            </w:r>
            <w:r>
              <w:rPr>
                <w:rFonts w:ascii="宋体" w:hAnsi="宋体" w:cs="宋体" w:eastAsia="宋体" w:hint="default"/>
                <w:sz w:val="18"/>
                <w:szCs w:val="18"/>
              </w:rPr>
              <w:t> 般风险准</w:t>
            </w:r>
          </w:p>
        </w:tc>
        <w:tc>
          <w:tcPr>
            <w:tcW w:w="1429" w:type="dxa"/>
            <w:tcBorders>
              <w:top w:val="single" w:sz="6" w:space="0" w:color="000000"/>
              <w:left w:val="single" w:sz="8" w:space="0" w:color="D2D2D2"/>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4"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02" w:right="0"/>
              <w:jc w:val="center"/>
              <w:rPr>
                <w:rFonts w:ascii="宋体" w:hAnsi="宋体" w:cs="宋体" w:eastAsia="宋体" w:hint="default"/>
                <w:sz w:val="18"/>
                <w:szCs w:val="18"/>
              </w:rPr>
            </w:pPr>
            <w:r>
              <w:rPr>
                <w:rFonts w:ascii="宋体"/>
                <w:sz w:val="18"/>
              </w:rPr>
              <w:t>-13,000,500.00</w:t>
            </w:r>
          </w:p>
        </w:tc>
        <w:tc>
          <w:tcPr>
            <w:tcW w:w="1274"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1"/>
              <w:ind w:right="10"/>
              <w:jc w:val="right"/>
              <w:rPr>
                <w:rFonts w:ascii="宋体" w:hAnsi="宋体" w:cs="宋体" w:eastAsia="宋体" w:hint="default"/>
                <w:sz w:val="18"/>
                <w:szCs w:val="18"/>
              </w:rPr>
            </w:pPr>
            <w:r>
              <w:rPr>
                <w:rFonts w:ascii="宋体"/>
                <w:sz w:val="18"/>
              </w:rPr>
              <w:t>-13,000,500.00</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95" w:type="dxa"/>
        <w:tblLayout w:type="fixed"/>
        <w:tblCellMar>
          <w:top w:w="0" w:type="dxa"/>
          <w:left w:w="0" w:type="dxa"/>
          <w:bottom w:w="0" w:type="dxa"/>
          <w:right w:w="0" w:type="dxa"/>
        </w:tblCellMar>
        <w:tblLook w:val="01E0"/>
      </w:tblPr>
      <w:tblGrid>
        <w:gridCol w:w="851"/>
        <w:gridCol w:w="1419"/>
        <w:gridCol w:w="283"/>
        <w:gridCol w:w="283"/>
        <w:gridCol w:w="284"/>
        <w:gridCol w:w="1417"/>
        <w:gridCol w:w="425"/>
        <w:gridCol w:w="426"/>
        <w:gridCol w:w="283"/>
        <w:gridCol w:w="1276"/>
        <w:gridCol w:w="425"/>
        <w:gridCol w:w="1419"/>
        <w:gridCol w:w="1274"/>
        <w:gridCol w:w="1418"/>
      </w:tblGrid>
      <w:tr>
        <w:trPr>
          <w:trHeight w:val="262" w:hRule="exact"/>
        </w:trPr>
        <w:tc>
          <w:tcPr>
            <w:tcW w:w="8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17" w:lineRule="exact"/>
              <w:ind w:left="13"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19"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284" w:type="dxa"/>
            <w:tcBorders>
              <w:top w:val="single" w:sz="12" w:space="0" w:color="000000"/>
              <w:left w:val="single" w:sz="6" w:space="0" w:color="000000"/>
              <w:bottom w:val="single" w:sz="6" w:space="0" w:color="000000"/>
              <w:right w:val="single" w:sz="6" w:space="0" w:color="000000"/>
            </w:tcBorders>
          </w:tcPr>
          <w:p>
            <w:pPr/>
          </w:p>
        </w:tc>
        <w:tc>
          <w:tcPr>
            <w:tcW w:w="1417"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426"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1419" w:type="dxa"/>
            <w:tcBorders>
              <w:top w:val="single" w:sz="12" w:space="0" w:color="000000"/>
              <w:left w:val="single" w:sz="6" w:space="0" w:color="000000"/>
              <w:bottom w:val="single" w:sz="6" w:space="0" w:color="000000"/>
              <w:right w:val="single" w:sz="6" w:space="0" w:color="000000"/>
            </w:tcBorders>
          </w:tcPr>
          <w:p>
            <w:pPr/>
          </w:p>
        </w:tc>
        <w:tc>
          <w:tcPr>
            <w:tcW w:w="1274"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12" w:space="0" w:color="000000"/>
            </w:tcBorders>
          </w:tcPr>
          <w:p>
            <w:pPr/>
          </w:p>
        </w:tc>
      </w:tr>
      <w:tr>
        <w:trPr>
          <w:trHeight w:val="97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18"/>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．对所有</w:t>
            </w:r>
            <w:r>
              <w:rPr>
                <w:rFonts w:ascii="宋体" w:hAnsi="宋体" w:cs="宋体" w:eastAsia="宋体" w:hint="default"/>
                <w:sz w:val="18"/>
                <w:szCs w:val="18"/>
              </w:rPr>
              <w:t> 者（或股 东）的分 配</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255"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18" w:lineRule="exact"/>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73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95"/>
              <w:jc w:val="both"/>
              <w:rPr>
                <w:rFonts w:ascii="宋体" w:hAnsi="宋体" w:cs="宋体" w:eastAsia="宋体" w:hint="default"/>
                <w:sz w:val="18"/>
                <w:szCs w:val="18"/>
              </w:rPr>
            </w:pPr>
            <w:r>
              <w:rPr>
                <w:rFonts w:ascii="宋体" w:hAnsi="宋体" w:cs="宋体" w:eastAsia="宋体" w:hint="default"/>
                <w:sz w:val="18"/>
                <w:szCs w:val="18"/>
              </w:rPr>
              <w:t>（四）所 有者权益 内部结转</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97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w:t>
            </w:r>
            <w:r>
              <w:rPr>
                <w:rFonts w:ascii="宋体" w:hAnsi="宋体" w:cs="宋体" w:eastAsia="宋体" w:hint="default"/>
                <w:sz w:val="18"/>
                <w:szCs w:val="18"/>
              </w:rPr>
              <w:t> 积转增资 本（或股 本）</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97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w:t>
            </w:r>
            <w:r>
              <w:rPr>
                <w:rFonts w:ascii="宋体" w:hAnsi="宋体" w:cs="宋体" w:eastAsia="宋体" w:hint="default"/>
                <w:sz w:val="18"/>
                <w:szCs w:val="18"/>
              </w:rPr>
              <w:t> 积转增资 本（或股 本）</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13" w:right="18"/>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．盈余公</w:t>
            </w:r>
            <w:r>
              <w:rPr>
                <w:rFonts w:ascii="宋体" w:hAnsi="宋体" w:cs="宋体" w:eastAsia="宋体" w:hint="default"/>
                <w:sz w:val="18"/>
                <w:szCs w:val="18"/>
              </w:rPr>
              <w:t> 积弥补亏 损</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25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19" w:lineRule="exact"/>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13" w:right="95"/>
              <w:jc w:val="left"/>
              <w:rPr>
                <w:rFonts w:ascii="宋体" w:hAnsi="宋体" w:cs="宋体" w:eastAsia="宋体" w:hint="default"/>
                <w:sz w:val="18"/>
                <w:szCs w:val="18"/>
              </w:rPr>
            </w:pPr>
            <w:r>
              <w:rPr>
                <w:rFonts w:ascii="宋体" w:hAnsi="宋体" w:cs="宋体" w:eastAsia="宋体" w:hint="default"/>
                <w:sz w:val="18"/>
                <w:szCs w:val="18"/>
              </w:rPr>
              <w:t>（五）专 项储备</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49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．本期提</w:t>
            </w:r>
            <w:r>
              <w:rPr>
                <w:rFonts w:ascii="宋体" w:hAnsi="宋体" w:cs="宋体" w:eastAsia="宋体" w:hint="default"/>
                <w:sz w:val="18"/>
                <w:szCs w:val="18"/>
              </w:rPr>
              <w:t> 取</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．本期使</w:t>
            </w:r>
            <w:r>
              <w:rPr>
                <w:rFonts w:ascii="宋体" w:hAnsi="宋体" w:cs="宋体" w:eastAsia="宋体" w:hint="default"/>
                <w:sz w:val="18"/>
                <w:szCs w:val="18"/>
              </w:rPr>
              <w:t> 用</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49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95"/>
              <w:jc w:val="left"/>
              <w:rPr>
                <w:rFonts w:ascii="宋体" w:hAnsi="宋体" w:cs="宋体" w:eastAsia="宋体" w:hint="default"/>
                <w:sz w:val="18"/>
                <w:szCs w:val="18"/>
              </w:rPr>
            </w:pPr>
            <w:r>
              <w:rPr>
                <w:rFonts w:ascii="宋体" w:hAnsi="宋体" w:cs="宋体" w:eastAsia="宋体" w:hint="default"/>
                <w:sz w:val="18"/>
                <w:szCs w:val="18"/>
              </w:rPr>
              <w:t>（六）其 他</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9"/>
              <w:jc w:val="right"/>
              <w:rPr>
                <w:rFonts w:ascii="宋体" w:hAnsi="宋体" w:cs="宋体" w:eastAsia="宋体" w:hint="default"/>
                <w:sz w:val="18"/>
                <w:szCs w:val="18"/>
              </w:rPr>
            </w:pPr>
            <w:r>
              <w:rPr>
                <w:rFonts w:ascii="宋体"/>
                <w:sz w:val="18"/>
              </w:rPr>
              <w:t>7,282,171.69</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left="303" w:right="0"/>
              <w:jc w:val="left"/>
              <w:rPr>
                <w:rFonts w:ascii="宋体" w:hAnsi="宋体" w:cs="宋体" w:eastAsia="宋体" w:hint="default"/>
                <w:sz w:val="18"/>
                <w:szCs w:val="18"/>
              </w:rPr>
            </w:pPr>
            <w:r>
              <w:rPr>
                <w:rFonts w:ascii="宋体"/>
                <w:sz w:val="18"/>
              </w:rPr>
              <w:t>7,282,171.69</w:t>
            </w:r>
          </w:p>
        </w:tc>
      </w:tr>
      <w:tr>
        <w:trPr>
          <w:trHeight w:val="502" w:hRule="exact"/>
        </w:trPr>
        <w:tc>
          <w:tcPr>
            <w:tcW w:w="8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exact"/>
              <w:ind w:left="13" w:right="95"/>
              <w:jc w:val="left"/>
              <w:rPr>
                <w:rFonts w:ascii="宋体" w:hAnsi="宋体" w:cs="宋体" w:eastAsia="宋体" w:hint="default"/>
                <w:sz w:val="18"/>
                <w:szCs w:val="18"/>
              </w:rPr>
            </w:pPr>
            <w:r>
              <w:rPr>
                <w:rFonts w:ascii="宋体" w:hAnsi="宋体" w:cs="宋体" w:eastAsia="宋体" w:hint="default"/>
                <w:sz w:val="18"/>
                <w:szCs w:val="18"/>
              </w:rPr>
              <w:t>四、本期 期末余额</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sz w:val="18"/>
              </w:rPr>
              <w:t>161,221,848.00</w:t>
            </w: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4"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19"/>
              <w:jc w:val="right"/>
              <w:rPr>
                <w:rFonts w:ascii="宋体" w:hAnsi="宋体" w:cs="宋体" w:eastAsia="宋体" w:hint="default"/>
                <w:sz w:val="18"/>
                <w:szCs w:val="18"/>
              </w:rPr>
            </w:pPr>
            <w:r>
              <w:rPr>
                <w:rFonts w:ascii="宋体"/>
                <w:sz w:val="18"/>
              </w:rPr>
              <w:t>926,883,002.46</w:t>
            </w:r>
          </w:p>
        </w:tc>
        <w:tc>
          <w:tcPr>
            <w:tcW w:w="425"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70" w:right="0"/>
              <w:jc w:val="left"/>
              <w:rPr>
                <w:rFonts w:ascii="宋体" w:hAnsi="宋体" w:cs="宋体" w:eastAsia="宋体" w:hint="default"/>
                <w:sz w:val="18"/>
                <w:szCs w:val="18"/>
              </w:rPr>
            </w:pPr>
            <w:r>
              <w:rPr>
                <w:rFonts w:ascii="宋体"/>
                <w:sz w:val="18"/>
              </w:rPr>
              <w:t>20,423,426.70</w:t>
            </w:r>
          </w:p>
        </w:tc>
        <w:tc>
          <w:tcPr>
            <w:tcW w:w="425" w:type="dxa"/>
            <w:tcBorders>
              <w:top w:val="single" w:sz="6" w:space="0" w:color="000000"/>
              <w:left w:val="single" w:sz="6" w:space="0" w:color="000000"/>
              <w:bottom w:val="single" w:sz="12" w:space="0" w:color="000000"/>
              <w:right w:val="single" w:sz="6" w:space="0" w:color="000000"/>
            </w:tcBorders>
          </w:tcPr>
          <w:p>
            <w:pP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23" w:right="0"/>
              <w:jc w:val="left"/>
              <w:rPr>
                <w:rFonts w:ascii="宋体" w:hAnsi="宋体" w:cs="宋体" w:eastAsia="宋体" w:hint="default"/>
                <w:sz w:val="18"/>
                <w:szCs w:val="18"/>
              </w:rPr>
            </w:pPr>
            <w:r>
              <w:rPr>
                <w:rFonts w:ascii="宋体"/>
                <w:sz w:val="18"/>
              </w:rPr>
              <w:t>187,625,505.35</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69" w:right="0"/>
              <w:jc w:val="left"/>
              <w:rPr>
                <w:rFonts w:ascii="宋体" w:hAnsi="宋体" w:cs="宋体" w:eastAsia="宋体" w:hint="default"/>
                <w:sz w:val="18"/>
                <w:szCs w:val="18"/>
              </w:rPr>
            </w:pPr>
            <w:r>
              <w:rPr>
                <w:rFonts w:ascii="宋体"/>
                <w:sz w:val="18"/>
              </w:rPr>
              <w:t>79,086,028.42</w:t>
            </w:r>
          </w:p>
        </w:tc>
        <w:tc>
          <w:tcPr>
            <w:tcW w:w="1418" w:type="dxa"/>
            <w:tcBorders>
              <w:top w:val="single" w:sz="6" w:space="0" w:color="000000"/>
              <w:left w:val="single" w:sz="6" w:space="0" w:color="000000"/>
              <w:bottom w:val="single" w:sz="12" w:space="0" w:color="000000"/>
              <w:right w:val="single" w:sz="12" w:space="0" w:color="000000"/>
            </w:tcBorders>
          </w:tcPr>
          <w:p>
            <w:pPr>
              <w:pStyle w:val="TableParagraph"/>
              <w:spacing w:line="217" w:lineRule="exact"/>
              <w:ind w:right="10"/>
              <w:jc w:val="right"/>
              <w:rPr>
                <w:rFonts w:ascii="宋体" w:hAnsi="宋体" w:cs="宋体" w:eastAsia="宋体" w:hint="default"/>
                <w:sz w:val="18"/>
                <w:szCs w:val="18"/>
              </w:rPr>
            </w:pPr>
            <w:r>
              <w:rPr>
                <w:rFonts w:ascii="宋体"/>
                <w:sz w:val="18"/>
              </w:rPr>
              <w:t>1,375,239,810.9</w:t>
            </w:r>
          </w:p>
          <w:p>
            <w:pPr>
              <w:pStyle w:val="TableParagraph"/>
              <w:spacing w:line="240" w:lineRule="auto" w:before="4"/>
              <w:ind w:right="11"/>
              <w:jc w:val="right"/>
              <w:rPr>
                <w:rFonts w:ascii="宋体" w:hAnsi="宋体" w:cs="宋体" w:eastAsia="宋体" w:hint="default"/>
                <w:sz w:val="18"/>
                <w:szCs w:val="18"/>
              </w:rPr>
            </w:pPr>
            <w:r>
              <w:rPr>
                <w:rFonts w:ascii="宋体"/>
                <w:sz w:val="18"/>
              </w:rPr>
              <w:t>3</w:t>
            </w:r>
          </w:p>
        </w:tc>
      </w:tr>
    </w:tbl>
    <w:p>
      <w:pPr>
        <w:spacing w:before="72"/>
        <w:ind w:left="1134" w:right="0" w:firstLine="0"/>
        <w:jc w:val="left"/>
        <w:rPr>
          <w:rFonts w:ascii="宋体" w:hAnsi="宋体" w:cs="宋体" w:eastAsia="宋体" w:hint="default"/>
          <w:sz w:val="20"/>
          <w:szCs w:val="20"/>
        </w:rPr>
      </w:pPr>
      <w:bookmarkStart w:name="8、母公司所有者权益变动表" w:id="156"/>
      <w:bookmarkEnd w:id="156"/>
      <w:r>
        <w:rPr/>
      </w:r>
      <w:r>
        <w:rPr>
          <w:rFonts w:ascii="宋体" w:hAnsi="宋体" w:cs="宋体" w:eastAsia="宋体" w:hint="default"/>
          <w:b/>
          <w:bCs/>
          <w:sz w:val="20"/>
          <w:szCs w:val="20"/>
        </w:rPr>
        <w:t>8</w:t>
      </w:r>
      <w:r>
        <w:rPr>
          <w:rFonts w:ascii="宋体" w:hAnsi="宋体" w:cs="宋体" w:eastAsia="宋体" w:hint="default"/>
          <w:b/>
          <w:bCs/>
          <w:sz w:val="20"/>
          <w:szCs w:val="20"/>
        </w:rPr>
        <w:t>、母公司所有者权益变动表</w:t>
      </w:r>
      <w:r>
        <w:rPr>
          <w:rFonts w:ascii="宋体" w:hAnsi="宋体" w:cs="宋体" w:eastAsia="宋体" w:hint="default"/>
          <w:sz w:val="20"/>
          <w:szCs w:val="20"/>
        </w:rPr>
      </w:r>
    </w:p>
    <w:p>
      <w:pPr>
        <w:spacing w:line="240" w:lineRule="auto" w:before="13"/>
        <w:rPr>
          <w:rFonts w:ascii="宋体" w:hAnsi="宋体" w:cs="宋体" w:eastAsia="宋体" w:hint="default"/>
          <w:b/>
          <w:bCs/>
          <w:sz w:val="16"/>
          <w:szCs w:val="1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line="240" w:lineRule="auto" w:before="7"/>
        <w:rPr>
          <w:rFonts w:ascii="宋体" w:hAnsi="宋体" w:cs="宋体" w:eastAsia="宋体" w:hint="default"/>
          <w:sz w:val="11"/>
          <w:szCs w:val="1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272" w:type="dxa"/>
        <w:tblLayout w:type="fixed"/>
        <w:tblCellMar>
          <w:top w:w="0" w:type="dxa"/>
          <w:left w:w="0" w:type="dxa"/>
          <w:bottom w:w="0" w:type="dxa"/>
          <w:right w:w="0" w:type="dxa"/>
        </w:tblCellMar>
        <w:tblLook w:val="01E0"/>
      </w:tblPr>
      <w:tblGrid>
        <w:gridCol w:w="835"/>
        <w:gridCol w:w="1430"/>
        <w:gridCol w:w="566"/>
        <w:gridCol w:w="425"/>
        <w:gridCol w:w="283"/>
        <w:gridCol w:w="1418"/>
        <w:gridCol w:w="568"/>
        <w:gridCol w:w="708"/>
        <w:gridCol w:w="568"/>
        <w:gridCol w:w="1276"/>
        <w:gridCol w:w="1560"/>
        <w:gridCol w:w="1700"/>
      </w:tblGrid>
      <w:tr>
        <w:trPr>
          <w:trHeight w:val="262" w:hRule="exact"/>
        </w:trPr>
        <w:tc>
          <w:tcPr>
            <w:tcW w:w="835" w:type="dxa"/>
            <w:vMerge w:val="restart"/>
            <w:tcBorders>
              <w:top w:val="single" w:sz="12" w:space="0" w:color="000000"/>
              <w:left w:val="single" w:sz="12" w:space="0" w:color="000000"/>
              <w:right w:val="single" w:sz="6" w:space="0" w:color="000000"/>
            </w:tcBorders>
            <w:shd w:val="clear" w:color="auto" w:fill="D2D2D2"/>
          </w:tcPr>
          <w:p>
            <w:pPr/>
          </w:p>
        </w:tc>
        <w:tc>
          <w:tcPr>
            <w:tcW w:w="10502" w:type="dxa"/>
            <w:gridSpan w:val="11"/>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17" w:lineRule="exact"/>
              <w:ind w:left="1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31" w:hRule="exact"/>
        </w:trPr>
        <w:tc>
          <w:tcPr>
            <w:tcW w:w="835" w:type="dxa"/>
            <w:vMerge/>
            <w:tcBorders>
              <w:left w:val="single" w:sz="12" w:space="0" w:color="000000"/>
              <w:bottom w:val="nil" w:sz="6" w:space="0" w:color="auto"/>
              <w:right w:val="single" w:sz="6" w:space="0" w:color="000000"/>
            </w:tcBorders>
            <w:shd w:val="clear" w:color="auto" w:fill="D2D2D2"/>
          </w:tcPr>
          <w:p>
            <w:pPr/>
          </w:p>
        </w:tc>
        <w:tc>
          <w:tcPr>
            <w:tcW w:w="1430" w:type="dxa"/>
            <w:vMerge w:val="restart"/>
            <w:tcBorders>
              <w:top w:val="single" w:sz="6" w:space="0" w:color="000000"/>
              <w:left w:val="single" w:sz="6" w:space="0" w:color="000000"/>
              <w:right w:val="single" w:sz="6" w:space="0" w:color="000000"/>
            </w:tcBorders>
            <w:shd w:val="clear" w:color="auto" w:fill="D2D2D2"/>
          </w:tcPr>
          <w:p>
            <w:pPr/>
          </w:p>
        </w:tc>
        <w:tc>
          <w:tcPr>
            <w:tcW w:w="1274"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17" w:lineRule="exact"/>
              <w:ind w:left="9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6" w:space="0" w:color="000000"/>
              <w:left w:val="single" w:sz="6" w:space="0" w:color="000000"/>
              <w:right w:val="single" w:sz="6" w:space="0" w:color="000000"/>
            </w:tcBorders>
            <w:shd w:val="clear" w:color="auto" w:fill="D2D2D2"/>
          </w:tcPr>
          <w:p>
            <w:pPr/>
          </w:p>
        </w:tc>
        <w:tc>
          <w:tcPr>
            <w:tcW w:w="568" w:type="dxa"/>
            <w:tcBorders>
              <w:top w:val="single" w:sz="6" w:space="0" w:color="000000"/>
              <w:left w:val="single" w:sz="6" w:space="0" w:color="000000"/>
              <w:bottom w:val="nil" w:sz="6" w:space="0" w:color="auto"/>
              <w:right w:val="single" w:sz="6" w:space="0" w:color="000000"/>
            </w:tcBorders>
            <w:shd w:val="clear" w:color="auto" w:fill="D2D2D2"/>
          </w:tcPr>
          <w:p>
            <w:pPr/>
          </w:p>
        </w:tc>
        <w:tc>
          <w:tcPr>
            <w:tcW w:w="708" w:type="dxa"/>
            <w:tcBorders>
              <w:top w:val="single" w:sz="6" w:space="0" w:color="000000"/>
              <w:left w:val="single" w:sz="6" w:space="0" w:color="000000"/>
              <w:bottom w:val="nil" w:sz="6" w:space="0" w:color="auto"/>
              <w:right w:val="single" w:sz="6" w:space="0" w:color="000000"/>
            </w:tcBorders>
            <w:shd w:val="clear" w:color="auto" w:fill="D2D2D2"/>
          </w:tcPr>
          <w:p>
            <w:pPr/>
          </w:p>
        </w:tc>
        <w:tc>
          <w:tcPr>
            <w:tcW w:w="568"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560" w:type="dxa"/>
            <w:vMerge w:val="restart"/>
            <w:tcBorders>
              <w:top w:val="single" w:sz="6" w:space="0" w:color="000000"/>
              <w:left w:val="single" w:sz="6" w:space="0" w:color="000000"/>
              <w:right w:val="single" w:sz="6" w:space="0" w:color="000000"/>
            </w:tcBorders>
            <w:shd w:val="clear" w:color="auto" w:fill="D2D2D2"/>
          </w:tcPr>
          <w:p>
            <w:pPr/>
          </w:p>
        </w:tc>
        <w:tc>
          <w:tcPr>
            <w:tcW w:w="1700" w:type="dxa"/>
            <w:vMerge w:val="restart"/>
            <w:tcBorders>
              <w:top w:val="single" w:sz="6" w:space="0" w:color="000000"/>
              <w:left w:val="single" w:sz="6" w:space="0" w:color="000000"/>
              <w:right w:val="single" w:sz="12" w:space="0" w:color="000000"/>
            </w:tcBorders>
            <w:shd w:val="clear" w:color="auto" w:fill="D2D2D2"/>
          </w:tcPr>
          <w:p>
            <w:pPr/>
          </w:p>
        </w:tc>
      </w:tr>
      <w:tr>
        <w:trPr>
          <w:trHeight w:val="122" w:hRule="exact"/>
        </w:trPr>
        <w:tc>
          <w:tcPr>
            <w:tcW w:w="835" w:type="dxa"/>
            <w:vMerge w:val="restart"/>
            <w:tcBorders>
              <w:top w:val="nil" w:sz="6" w:space="0" w:color="auto"/>
              <w:left w:val="single" w:sz="12" w:space="0" w:color="000000"/>
              <w:right w:val="single" w:sz="6" w:space="0" w:color="000000"/>
            </w:tcBorders>
            <w:shd w:val="clear" w:color="auto" w:fill="D2D2D2"/>
          </w:tcPr>
          <w:p>
            <w:pPr>
              <w:pStyle w:val="TableParagraph"/>
              <w:spacing w:line="214" w:lineRule="exact"/>
              <w:ind w:left="22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30" w:type="dxa"/>
            <w:vMerge/>
            <w:tcBorders>
              <w:left w:val="single" w:sz="6" w:space="0" w:color="000000"/>
              <w:bottom w:val="nil" w:sz="6" w:space="0" w:color="auto"/>
              <w:right w:val="single" w:sz="6" w:space="0" w:color="000000"/>
            </w:tcBorders>
            <w:shd w:val="clear" w:color="auto" w:fill="D2D2D2"/>
          </w:tcPr>
          <w:p>
            <w:pPr/>
          </w:p>
        </w:tc>
        <w:tc>
          <w:tcPr>
            <w:tcW w:w="1274" w:type="dxa"/>
            <w:gridSpan w:val="3"/>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56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exact" w:before="3"/>
              <w:ind w:left="95" w:right="19"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0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exact" w:before="3"/>
              <w:ind w:left="76" w:right="7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exact" w:before="3"/>
              <w:ind w:left="97" w:right="9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6" w:type="dxa"/>
            <w:vMerge/>
            <w:tcBorders>
              <w:left w:val="single" w:sz="6" w:space="0" w:color="000000"/>
              <w:bottom w:val="nil" w:sz="6" w:space="0" w:color="auto"/>
              <w:right w:val="single" w:sz="6" w:space="0" w:color="000000"/>
            </w:tcBorders>
            <w:shd w:val="clear" w:color="auto" w:fill="D2D2D2"/>
          </w:tcPr>
          <w:p>
            <w:pPr/>
          </w:p>
        </w:tc>
        <w:tc>
          <w:tcPr>
            <w:tcW w:w="1560" w:type="dxa"/>
            <w:vMerge/>
            <w:tcBorders>
              <w:left w:val="single" w:sz="6" w:space="0" w:color="000000"/>
              <w:bottom w:val="nil" w:sz="6" w:space="0" w:color="auto"/>
              <w:right w:val="single" w:sz="6" w:space="0" w:color="000000"/>
            </w:tcBorders>
            <w:shd w:val="clear" w:color="auto" w:fill="D2D2D2"/>
          </w:tcPr>
          <w:p>
            <w:pPr/>
          </w:p>
        </w:tc>
        <w:tc>
          <w:tcPr>
            <w:tcW w:w="1700" w:type="dxa"/>
            <w:vMerge/>
            <w:tcBorders>
              <w:left w:val="single" w:sz="6" w:space="0" w:color="000000"/>
              <w:bottom w:val="nil" w:sz="6" w:space="0" w:color="auto"/>
              <w:right w:val="single" w:sz="12" w:space="0" w:color="000000"/>
            </w:tcBorders>
            <w:shd w:val="clear" w:color="auto" w:fill="D2D2D2"/>
          </w:tcPr>
          <w:p>
            <w:pPr/>
          </w:p>
        </w:tc>
      </w:tr>
      <w:tr>
        <w:trPr>
          <w:trHeight w:val="115" w:hRule="exact"/>
        </w:trPr>
        <w:tc>
          <w:tcPr>
            <w:tcW w:w="835" w:type="dxa"/>
            <w:vMerge/>
            <w:tcBorders>
              <w:left w:val="single" w:sz="12" w:space="0" w:color="000000"/>
              <w:bottom w:val="nil" w:sz="6" w:space="0" w:color="auto"/>
              <w:right w:val="single" w:sz="6" w:space="0" w:color="000000"/>
            </w:tcBorders>
            <w:shd w:val="clear" w:color="auto" w:fill="D2D2D2"/>
          </w:tcPr>
          <w:p>
            <w:pPr/>
          </w:p>
        </w:tc>
        <w:tc>
          <w:tcPr>
            <w:tcW w:w="1430" w:type="dxa"/>
            <w:vMerge w:val="restart"/>
            <w:tcBorders>
              <w:top w:val="nil" w:sz="6" w:space="0" w:color="auto"/>
              <w:left w:val="single" w:sz="6" w:space="0" w:color="000000"/>
              <w:right w:val="single" w:sz="6" w:space="0" w:color="000000"/>
            </w:tcBorders>
            <w:shd w:val="clear" w:color="auto" w:fill="D2D2D2"/>
          </w:tcPr>
          <w:p>
            <w:pPr>
              <w:pStyle w:val="TableParagraph"/>
              <w:spacing w:line="219" w:lineRule="exact"/>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exact" w:before="3"/>
              <w:ind w:left="186" w:right="9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exact" w:before="3"/>
              <w:ind w:left="115" w:right="2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28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exact" w:before="3"/>
              <w:ind w:left="44" w:right="42"/>
              <w:jc w:val="left"/>
              <w:rPr>
                <w:rFonts w:ascii="宋体" w:hAnsi="宋体" w:cs="宋体" w:eastAsia="宋体" w:hint="default"/>
                <w:sz w:val="18"/>
                <w:szCs w:val="18"/>
              </w:rPr>
            </w:pPr>
            <w:r>
              <w:rPr>
                <w:rFonts w:ascii="宋体" w:hAnsi="宋体" w:cs="宋体" w:eastAsia="宋体" w:hint="default"/>
                <w:sz w:val="18"/>
                <w:szCs w:val="18"/>
              </w:rPr>
              <w:t>其 他</w:t>
            </w:r>
          </w:p>
        </w:tc>
        <w:tc>
          <w:tcPr>
            <w:tcW w:w="1418" w:type="dxa"/>
            <w:vMerge w:val="restart"/>
            <w:tcBorders>
              <w:top w:val="nil" w:sz="6" w:space="0" w:color="auto"/>
              <w:left w:val="single" w:sz="6" w:space="0" w:color="000000"/>
              <w:right w:val="single" w:sz="6" w:space="0" w:color="000000"/>
            </w:tcBorders>
            <w:shd w:val="clear" w:color="auto" w:fill="D2D2D2"/>
          </w:tcPr>
          <w:p>
            <w:pPr>
              <w:pStyle w:val="TableParagraph"/>
              <w:spacing w:line="219" w:lineRule="exact"/>
              <w:ind w:left="34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tcBorders>
              <w:left w:val="single" w:sz="6" w:space="0" w:color="000000"/>
              <w:right w:val="single" w:sz="6" w:space="0" w:color="000000"/>
            </w:tcBorders>
            <w:shd w:val="clear" w:color="auto" w:fill="D2D2D2"/>
          </w:tcPr>
          <w:p>
            <w:pPr/>
          </w:p>
        </w:tc>
        <w:tc>
          <w:tcPr>
            <w:tcW w:w="708" w:type="dxa"/>
            <w:vMerge/>
            <w:tcBorders>
              <w:left w:val="single" w:sz="6" w:space="0" w:color="000000"/>
              <w:right w:val="single" w:sz="6" w:space="0" w:color="000000"/>
            </w:tcBorders>
            <w:shd w:val="clear" w:color="auto" w:fill="D2D2D2"/>
          </w:tcPr>
          <w:p>
            <w:pPr/>
          </w:p>
        </w:tc>
        <w:tc>
          <w:tcPr>
            <w:tcW w:w="568"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19" w:lineRule="exact"/>
              <w:ind w:left="26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vMerge w:val="restart"/>
            <w:tcBorders>
              <w:top w:val="nil" w:sz="6" w:space="0" w:color="auto"/>
              <w:left w:val="single" w:sz="6" w:space="0" w:color="000000"/>
              <w:right w:val="single" w:sz="6" w:space="0" w:color="000000"/>
            </w:tcBorders>
            <w:shd w:val="clear" w:color="auto" w:fill="D2D2D2"/>
          </w:tcPr>
          <w:p>
            <w:pPr>
              <w:pStyle w:val="TableParagraph"/>
              <w:spacing w:line="219" w:lineRule="exact"/>
              <w:ind w:left="3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0" w:type="dxa"/>
            <w:vMerge w:val="restart"/>
            <w:tcBorders>
              <w:top w:val="nil" w:sz="6" w:space="0" w:color="auto"/>
              <w:left w:val="single" w:sz="6" w:space="0" w:color="000000"/>
              <w:right w:val="single" w:sz="12" w:space="0" w:color="000000"/>
            </w:tcBorders>
            <w:shd w:val="clear" w:color="auto" w:fill="D2D2D2"/>
          </w:tcPr>
          <w:p>
            <w:pPr>
              <w:pStyle w:val="TableParagraph"/>
              <w:spacing w:line="219" w:lineRule="exact"/>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27" w:hRule="exact"/>
        </w:trPr>
        <w:tc>
          <w:tcPr>
            <w:tcW w:w="835" w:type="dxa"/>
            <w:vMerge w:val="restart"/>
            <w:tcBorders>
              <w:top w:val="nil" w:sz="6" w:space="0" w:color="auto"/>
              <w:left w:val="single" w:sz="12" w:space="0" w:color="000000"/>
              <w:right w:val="single" w:sz="6" w:space="0" w:color="000000"/>
            </w:tcBorders>
            <w:shd w:val="clear" w:color="auto" w:fill="D2D2D2"/>
          </w:tcPr>
          <w:p>
            <w:pPr/>
          </w:p>
        </w:tc>
        <w:tc>
          <w:tcPr>
            <w:tcW w:w="1430" w:type="dxa"/>
            <w:vMerge/>
            <w:tcBorders>
              <w:left w:val="single" w:sz="6" w:space="0" w:color="000000"/>
              <w:bottom w:val="nil" w:sz="6" w:space="0" w:color="auto"/>
              <w:right w:val="single" w:sz="6" w:space="0" w:color="000000"/>
            </w:tcBorders>
            <w:shd w:val="clear" w:color="auto" w:fill="D2D2D2"/>
          </w:tcPr>
          <w:p>
            <w:pPr/>
          </w:p>
        </w:tc>
        <w:tc>
          <w:tcPr>
            <w:tcW w:w="566" w:type="dxa"/>
            <w:vMerge/>
            <w:tcBorders>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568" w:type="dxa"/>
            <w:vMerge/>
            <w:tcBorders>
              <w:left w:val="single" w:sz="6" w:space="0" w:color="000000"/>
              <w:right w:val="single" w:sz="6" w:space="0" w:color="000000"/>
            </w:tcBorders>
            <w:shd w:val="clear" w:color="auto" w:fill="D2D2D2"/>
          </w:tcPr>
          <w:p>
            <w:pPr/>
          </w:p>
        </w:tc>
        <w:tc>
          <w:tcPr>
            <w:tcW w:w="708" w:type="dxa"/>
            <w:vMerge/>
            <w:tcBorders>
              <w:left w:val="single" w:sz="6" w:space="0" w:color="000000"/>
              <w:right w:val="single" w:sz="6" w:space="0" w:color="000000"/>
            </w:tcBorders>
            <w:shd w:val="clear" w:color="auto" w:fill="D2D2D2"/>
          </w:tcPr>
          <w:p>
            <w:pPr/>
          </w:p>
        </w:tc>
        <w:tc>
          <w:tcPr>
            <w:tcW w:w="568"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560" w:type="dxa"/>
            <w:vMerge/>
            <w:tcBorders>
              <w:left w:val="single" w:sz="6" w:space="0" w:color="000000"/>
              <w:bottom w:val="nil" w:sz="6" w:space="0" w:color="auto"/>
              <w:right w:val="single" w:sz="6" w:space="0" w:color="000000"/>
            </w:tcBorders>
            <w:shd w:val="clear" w:color="auto" w:fill="D2D2D2"/>
          </w:tcPr>
          <w:p>
            <w:pPr/>
          </w:p>
        </w:tc>
        <w:tc>
          <w:tcPr>
            <w:tcW w:w="1700" w:type="dxa"/>
            <w:vMerge/>
            <w:tcBorders>
              <w:left w:val="single" w:sz="6" w:space="0" w:color="000000"/>
              <w:bottom w:val="nil" w:sz="6" w:space="0" w:color="auto"/>
              <w:right w:val="single" w:sz="12" w:space="0" w:color="000000"/>
            </w:tcBorders>
            <w:shd w:val="clear" w:color="auto" w:fill="D2D2D2"/>
          </w:tcPr>
          <w:p>
            <w:pPr/>
          </w:p>
        </w:tc>
      </w:tr>
      <w:tr>
        <w:trPr>
          <w:trHeight w:val="256" w:hRule="exact"/>
        </w:trPr>
        <w:tc>
          <w:tcPr>
            <w:tcW w:w="835" w:type="dxa"/>
            <w:vMerge/>
            <w:tcBorders>
              <w:left w:val="single" w:sz="12" w:space="0" w:color="000000"/>
              <w:bottom w:val="single" w:sz="6" w:space="0" w:color="000000"/>
              <w:right w:val="single" w:sz="6" w:space="0" w:color="000000"/>
            </w:tcBorders>
            <w:shd w:val="clear" w:color="auto" w:fill="D2D2D2"/>
          </w:tcPr>
          <w:p>
            <w:pPr/>
          </w:p>
        </w:tc>
        <w:tc>
          <w:tcPr>
            <w:tcW w:w="1430" w:type="dxa"/>
            <w:tcBorders>
              <w:top w:val="nil" w:sz="6" w:space="0" w:color="auto"/>
              <w:left w:val="single" w:sz="6" w:space="0" w:color="000000"/>
              <w:bottom w:val="single" w:sz="6" w:space="0" w:color="000000"/>
              <w:right w:val="single" w:sz="6" w:space="0" w:color="000000"/>
            </w:tcBorders>
            <w:shd w:val="clear" w:color="auto" w:fill="D2D2D2"/>
          </w:tcPr>
          <w:p>
            <w:pPr/>
          </w:p>
        </w:tc>
        <w:tc>
          <w:tcPr>
            <w:tcW w:w="566" w:type="dxa"/>
            <w:vMerge/>
            <w:tcBorders>
              <w:left w:val="single" w:sz="6" w:space="0" w:color="000000"/>
              <w:bottom w:val="single" w:sz="6" w:space="0" w:color="000000"/>
              <w:right w:val="single" w:sz="6" w:space="0" w:color="000000"/>
            </w:tcBorders>
            <w:shd w:val="clear" w:color="auto" w:fill="D2D2D2"/>
          </w:tcPr>
          <w:p>
            <w:pPr/>
          </w:p>
        </w:tc>
        <w:tc>
          <w:tcPr>
            <w:tcW w:w="425" w:type="dxa"/>
            <w:vMerge/>
            <w:tcBorders>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1418" w:type="dxa"/>
            <w:tcBorders>
              <w:top w:val="nil" w:sz="6" w:space="0" w:color="auto"/>
              <w:left w:val="single" w:sz="6" w:space="0" w:color="000000"/>
              <w:bottom w:val="single" w:sz="6" w:space="0" w:color="000000"/>
              <w:right w:val="single" w:sz="6" w:space="0" w:color="000000"/>
            </w:tcBorders>
            <w:shd w:val="clear" w:color="auto" w:fill="D2D2D2"/>
          </w:tcPr>
          <w:p>
            <w:pPr/>
          </w:p>
        </w:tc>
        <w:tc>
          <w:tcPr>
            <w:tcW w:w="568" w:type="dxa"/>
            <w:vMerge/>
            <w:tcBorders>
              <w:left w:val="single" w:sz="6" w:space="0" w:color="000000"/>
              <w:bottom w:val="single" w:sz="6" w:space="0" w:color="000000"/>
              <w:right w:val="single" w:sz="6" w:space="0" w:color="000000"/>
            </w:tcBorders>
            <w:shd w:val="clear" w:color="auto" w:fill="D2D2D2"/>
          </w:tcPr>
          <w:p>
            <w:pPr/>
          </w:p>
        </w:tc>
        <w:tc>
          <w:tcPr>
            <w:tcW w:w="708" w:type="dxa"/>
            <w:vMerge/>
            <w:tcBorders>
              <w:left w:val="single" w:sz="6" w:space="0" w:color="000000"/>
              <w:bottom w:val="single" w:sz="6" w:space="0" w:color="000000"/>
              <w:right w:val="single" w:sz="6" w:space="0" w:color="000000"/>
            </w:tcBorders>
            <w:shd w:val="clear" w:color="auto" w:fill="D2D2D2"/>
          </w:tcPr>
          <w:p>
            <w:pPr/>
          </w:p>
        </w:tc>
        <w:tc>
          <w:tcPr>
            <w:tcW w:w="568"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c>
          <w:tcPr>
            <w:tcW w:w="1560" w:type="dxa"/>
            <w:tcBorders>
              <w:top w:val="nil" w:sz="6" w:space="0" w:color="auto"/>
              <w:left w:val="single" w:sz="6" w:space="0" w:color="000000"/>
              <w:bottom w:val="single" w:sz="6" w:space="0" w:color="000000"/>
              <w:right w:val="single" w:sz="6" w:space="0" w:color="000000"/>
            </w:tcBorders>
            <w:shd w:val="clear" w:color="auto" w:fill="D2D2D2"/>
          </w:tcPr>
          <w:p>
            <w:pPr/>
          </w:p>
        </w:tc>
        <w:tc>
          <w:tcPr>
            <w:tcW w:w="1700"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94"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83"/>
              <w:jc w:val="left"/>
              <w:rPr>
                <w:rFonts w:ascii="宋体" w:hAnsi="宋体" w:cs="宋体" w:eastAsia="宋体" w:hint="default"/>
                <w:sz w:val="18"/>
                <w:szCs w:val="18"/>
              </w:rPr>
            </w:pPr>
            <w:r>
              <w:rPr>
                <w:rFonts w:ascii="宋体" w:hAnsi="宋体" w:cs="宋体" w:eastAsia="宋体" w:hint="default"/>
                <w:sz w:val="18"/>
                <w:szCs w:val="18"/>
              </w:rPr>
              <w:t>一、上年 期末余额</w:t>
            </w:r>
          </w:p>
        </w:tc>
        <w:tc>
          <w:tcPr>
            <w:tcW w:w="14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161,221,848.00</w:t>
            </w: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919,239,030.77</w:t>
            </w:r>
          </w:p>
        </w:tc>
        <w:tc>
          <w:tcPr>
            <w:tcW w:w="568" w:type="dxa"/>
            <w:tcBorders>
              <w:top w:val="single" w:sz="51" w:space="0" w:color="D2D2D2"/>
              <w:left w:val="single" w:sz="6" w:space="0" w:color="000000"/>
              <w:bottom w:val="single" w:sz="6" w:space="0" w:color="000000"/>
              <w:right w:val="single" w:sz="6" w:space="0" w:color="000000"/>
            </w:tcBorders>
          </w:tcPr>
          <w:p>
            <w:pPr/>
          </w:p>
        </w:tc>
        <w:tc>
          <w:tcPr>
            <w:tcW w:w="708" w:type="dxa"/>
            <w:tcBorders>
              <w:top w:val="single" w:sz="51" w:space="0" w:color="D2D2D2"/>
              <w:left w:val="single" w:sz="6" w:space="0" w:color="000000"/>
              <w:bottom w:val="single" w:sz="6" w:space="0" w:color="000000"/>
              <w:right w:val="single" w:sz="6" w:space="0" w:color="000000"/>
            </w:tcBorders>
          </w:tcPr>
          <w:p>
            <w:pPr/>
          </w:p>
        </w:tc>
        <w:tc>
          <w:tcPr>
            <w:tcW w:w="568" w:type="dxa"/>
            <w:tcBorders>
              <w:top w:val="single" w:sz="51" w:space="0" w:color="D2D2D2"/>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 w:right="0"/>
              <w:jc w:val="center"/>
              <w:rPr>
                <w:rFonts w:ascii="宋体" w:hAnsi="宋体" w:cs="宋体" w:eastAsia="宋体" w:hint="default"/>
                <w:sz w:val="18"/>
                <w:szCs w:val="18"/>
              </w:rPr>
            </w:pPr>
            <w:r>
              <w:rPr>
                <w:rFonts w:ascii="宋体"/>
                <w:sz w:val="18"/>
              </w:rPr>
              <w:t>20,423,426.70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131,809,340.18</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10"/>
              <w:jc w:val="right"/>
              <w:rPr>
                <w:rFonts w:ascii="宋体" w:hAnsi="宋体" w:cs="宋体" w:eastAsia="宋体" w:hint="default"/>
                <w:sz w:val="18"/>
                <w:szCs w:val="18"/>
              </w:rPr>
            </w:pPr>
            <w:r>
              <w:rPr>
                <w:rFonts w:ascii="宋体"/>
                <w:sz w:val="18"/>
              </w:rPr>
              <w:t>1,232,693,645.65</w:t>
            </w:r>
          </w:p>
        </w:tc>
      </w:tr>
      <w:tr>
        <w:trPr>
          <w:trHeight w:val="736"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6" w:right="83" w:firstLine="360"/>
              <w:jc w:val="both"/>
              <w:rPr>
                <w:rFonts w:ascii="宋体" w:hAnsi="宋体" w:cs="宋体" w:eastAsia="宋体" w:hint="default"/>
                <w:sz w:val="18"/>
                <w:szCs w:val="18"/>
              </w:rPr>
            </w:pPr>
            <w:r>
              <w:rPr>
                <w:rFonts w:ascii="宋体" w:hAnsi="宋体" w:cs="宋体" w:eastAsia="宋体" w:hint="default"/>
                <w:sz w:val="18"/>
                <w:szCs w:val="18"/>
              </w:rPr>
              <w:t>加： 会计政策 变更</w:t>
            </w:r>
          </w:p>
        </w:tc>
        <w:tc>
          <w:tcPr>
            <w:tcW w:w="1430" w:type="dxa"/>
            <w:tcBorders>
              <w:top w:val="single" w:sz="6" w:space="0" w:color="000000"/>
              <w:left w:val="single" w:sz="14" w:space="0" w:color="D2D2D2"/>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6" w:right="83"/>
              <w:jc w:val="left"/>
              <w:rPr>
                <w:rFonts w:ascii="宋体" w:hAnsi="宋体" w:cs="宋体" w:eastAsia="宋体" w:hint="default"/>
                <w:sz w:val="18"/>
                <w:szCs w:val="18"/>
              </w:rPr>
            </w:pPr>
            <w:r>
              <w:rPr>
                <w:rFonts w:ascii="宋体" w:hAnsi="宋体" w:cs="宋体" w:eastAsia="宋体" w:hint="default"/>
                <w:sz w:val="18"/>
                <w:szCs w:val="18"/>
              </w:rPr>
              <w:t>前期差错 更正</w:t>
            </w:r>
          </w:p>
        </w:tc>
        <w:tc>
          <w:tcPr>
            <w:tcW w:w="1430" w:type="dxa"/>
            <w:tcBorders>
              <w:top w:val="single" w:sz="6" w:space="0" w:color="000000"/>
              <w:left w:val="single" w:sz="14" w:space="0" w:color="D2D2D2"/>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496"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0" w:type="dxa"/>
            <w:tcBorders>
              <w:top w:val="single" w:sz="6" w:space="0" w:color="000000"/>
              <w:left w:val="single" w:sz="14" w:space="0" w:color="D2D2D2"/>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495"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83"/>
              <w:jc w:val="left"/>
              <w:rPr>
                <w:rFonts w:ascii="宋体" w:hAnsi="宋体" w:cs="宋体" w:eastAsia="宋体" w:hint="default"/>
                <w:sz w:val="18"/>
                <w:szCs w:val="18"/>
              </w:rPr>
            </w:pPr>
            <w:r>
              <w:rPr>
                <w:rFonts w:ascii="宋体" w:hAnsi="宋体" w:cs="宋体" w:eastAsia="宋体" w:hint="default"/>
                <w:sz w:val="18"/>
                <w:szCs w:val="18"/>
              </w:rPr>
              <w:t>二、本年 期初余额</w:t>
            </w:r>
          </w:p>
        </w:tc>
        <w:tc>
          <w:tcPr>
            <w:tcW w:w="14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2"/>
              <w:ind w:right="18"/>
              <w:jc w:val="right"/>
              <w:rPr>
                <w:rFonts w:ascii="宋体" w:hAnsi="宋体" w:cs="宋体" w:eastAsia="宋体" w:hint="default"/>
                <w:sz w:val="18"/>
                <w:szCs w:val="18"/>
              </w:rPr>
            </w:pPr>
            <w:r>
              <w:rPr>
                <w:rFonts w:ascii="宋体"/>
                <w:sz w:val="18"/>
              </w:rPr>
              <w:t>161,221,848.00</w:t>
            </w: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宋体" w:hAnsi="宋体" w:cs="宋体" w:eastAsia="宋体" w:hint="default"/>
                <w:sz w:val="18"/>
                <w:szCs w:val="18"/>
              </w:rPr>
            </w:pPr>
            <w:r>
              <w:rPr>
                <w:rFonts w:ascii="宋体"/>
                <w:sz w:val="18"/>
              </w:rPr>
              <w:t>919,239,030.77</w:t>
            </w: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 w:right="0"/>
              <w:jc w:val="center"/>
              <w:rPr>
                <w:rFonts w:ascii="宋体" w:hAnsi="宋体" w:cs="宋体" w:eastAsia="宋体" w:hint="default"/>
                <w:sz w:val="18"/>
                <w:szCs w:val="18"/>
              </w:rPr>
            </w:pPr>
            <w:r>
              <w:rPr>
                <w:rFonts w:ascii="宋体"/>
                <w:sz w:val="18"/>
              </w:rPr>
              <w:t>20,423,426.70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宋体" w:hAnsi="宋体" w:cs="宋体" w:eastAsia="宋体" w:hint="default"/>
                <w:sz w:val="18"/>
                <w:szCs w:val="18"/>
              </w:rPr>
            </w:pPr>
            <w:r>
              <w:rPr>
                <w:rFonts w:ascii="宋体"/>
                <w:sz w:val="18"/>
              </w:rPr>
              <w:t>131,809,340.18</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10"/>
              <w:jc w:val="right"/>
              <w:rPr>
                <w:rFonts w:ascii="宋体" w:hAnsi="宋体" w:cs="宋体" w:eastAsia="宋体" w:hint="default"/>
                <w:sz w:val="18"/>
                <w:szCs w:val="18"/>
              </w:rPr>
            </w:pPr>
            <w:r>
              <w:rPr>
                <w:rFonts w:ascii="宋体"/>
                <w:sz w:val="18"/>
              </w:rPr>
              <w:t>1,232,693,645.65</w:t>
            </w:r>
          </w:p>
        </w:tc>
      </w:tr>
      <w:tr>
        <w:trPr>
          <w:trHeight w:val="743" w:hRule="exact"/>
        </w:trPr>
        <w:tc>
          <w:tcPr>
            <w:tcW w:w="83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exact" w:before="1"/>
              <w:ind w:left="6" w:right="83"/>
              <w:jc w:val="both"/>
              <w:rPr>
                <w:rFonts w:ascii="宋体" w:hAnsi="宋体" w:cs="宋体" w:eastAsia="宋体" w:hint="default"/>
                <w:sz w:val="18"/>
                <w:szCs w:val="18"/>
              </w:rPr>
            </w:pPr>
            <w:r>
              <w:rPr>
                <w:rFonts w:ascii="宋体" w:hAnsi="宋体" w:cs="宋体" w:eastAsia="宋体" w:hint="default"/>
                <w:sz w:val="18"/>
                <w:szCs w:val="18"/>
              </w:rPr>
              <w:t>三、本期 增减变动 金额（减</w:t>
            </w:r>
          </w:p>
        </w:tc>
        <w:tc>
          <w:tcPr>
            <w:tcW w:w="1430" w:type="dxa"/>
            <w:tcBorders>
              <w:top w:val="single" w:sz="6" w:space="0" w:color="000000"/>
              <w:left w:val="single" w:sz="14" w:space="0" w:color="D2D2D2"/>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-31,216.85</w:t>
            </w:r>
          </w:p>
        </w:tc>
        <w:tc>
          <w:tcPr>
            <w:tcW w:w="568" w:type="dxa"/>
            <w:tcBorders>
              <w:top w:val="single" w:sz="6" w:space="0" w:color="000000"/>
              <w:left w:val="single" w:sz="6"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-32,005,718.27</w:t>
            </w:r>
          </w:p>
        </w:tc>
        <w:tc>
          <w:tcPr>
            <w:tcW w:w="17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
              <w:jc w:val="right"/>
              <w:rPr>
                <w:rFonts w:ascii="宋体" w:hAnsi="宋体" w:cs="宋体" w:eastAsia="宋体" w:hint="default"/>
                <w:sz w:val="18"/>
                <w:szCs w:val="18"/>
              </w:rPr>
            </w:pPr>
            <w:r>
              <w:rPr>
                <w:rFonts w:ascii="宋体"/>
                <w:sz w:val="18"/>
              </w:rPr>
              <w:t>-32,036,935.12</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266" w:type="dxa"/>
        <w:tblLayout w:type="fixed"/>
        <w:tblCellMar>
          <w:top w:w="0" w:type="dxa"/>
          <w:left w:w="0" w:type="dxa"/>
          <w:bottom w:w="0" w:type="dxa"/>
          <w:right w:w="0" w:type="dxa"/>
        </w:tblCellMar>
        <w:tblLook w:val="01E0"/>
      </w:tblPr>
      <w:tblGrid>
        <w:gridCol w:w="851"/>
        <w:gridCol w:w="1420"/>
        <w:gridCol w:w="566"/>
        <w:gridCol w:w="425"/>
        <w:gridCol w:w="283"/>
        <w:gridCol w:w="1418"/>
        <w:gridCol w:w="568"/>
        <w:gridCol w:w="708"/>
        <w:gridCol w:w="568"/>
        <w:gridCol w:w="1276"/>
        <w:gridCol w:w="1560"/>
        <w:gridCol w:w="1700"/>
      </w:tblGrid>
      <w:tr>
        <w:trPr>
          <w:trHeight w:val="742" w:hRule="exact"/>
        </w:trPr>
        <w:tc>
          <w:tcPr>
            <w:tcW w:w="8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13" w:right="95"/>
              <w:jc w:val="left"/>
              <w:rPr>
                <w:rFonts w:ascii="宋体" w:hAnsi="宋体" w:cs="宋体" w:eastAsia="宋体" w:hint="default"/>
                <w:sz w:val="18"/>
                <w:szCs w:val="18"/>
              </w:rPr>
            </w:pPr>
            <w:r>
              <w:rPr>
                <w:rFonts w:ascii="宋体" w:hAnsi="宋体" w:cs="宋体" w:eastAsia="宋体" w:hint="default"/>
                <w:sz w:val="18"/>
                <w:szCs w:val="18"/>
              </w:rPr>
              <w:t>少以 “－”号 填列）</w:t>
            </w:r>
          </w:p>
        </w:tc>
        <w:tc>
          <w:tcPr>
            <w:tcW w:w="1420" w:type="dxa"/>
            <w:tcBorders>
              <w:top w:val="single" w:sz="12" w:space="0" w:color="000000"/>
              <w:left w:val="single" w:sz="6" w:space="0" w:color="000000"/>
              <w:bottom w:val="single" w:sz="6" w:space="0" w:color="000000"/>
              <w:right w:val="single" w:sz="6" w:space="0" w:color="000000"/>
            </w:tcBorders>
          </w:tcPr>
          <w:p>
            <w:pPr/>
          </w:p>
        </w:tc>
        <w:tc>
          <w:tcPr>
            <w:tcW w:w="566"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568" w:type="dxa"/>
            <w:tcBorders>
              <w:top w:val="single" w:sz="12" w:space="0" w:color="000000"/>
              <w:left w:val="single" w:sz="6" w:space="0" w:color="000000"/>
              <w:bottom w:val="single" w:sz="6" w:space="0" w:color="000000"/>
              <w:right w:val="single" w:sz="6" w:space="0" w:color="000000"/>
            </w:tcBorders>
          </w:tcPr>
          <w:p>
            <w:pPr/>
          </w:p>
        </w:tc>
        <w:tc>
          <w:tcPr>
            <w:tcW w:w="708" w:type="dxa"/>
            <w:tcBorders>
              <w:top w:val="single" w:sz="12" w:space="0" w:color="000000"/>
              <w:left w:val="single" w:sz="6" w:space="0" w:color="000000"/>
              <w:bottom w:val="single" w:sz="6" w:space="0" w:color="000000"/>
              <w:right w:val="single" w:sz="6" w:space="0" w:color="000000"/>
            </w:tcBorders>
          </w:tcPr>
          <w:p>
            <w:pPr/>
          </w:p>
        </w:tc>
        <w:tc>
          <w:tcPr>
            <w:tcW w:w="568" w:type="dxa"/>
            <w:tcBorders>
              <w:top w:val="single" w:sz="12" w:space="0" w:color="000000"/>
              <w:left w:val="single" w:sz="6" w:space="0" w:color="000000"/>
              <w:bottom w:val="single" w:sz="6" w:space="0" w:color="000000"/>
              <w:right w:val="single" w:sz="6" w:space="0" w:color="000000"/>
            </w:tcBorders>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1560" w:type="dxa"/>
            <w:tcBorders>
              <w:top w:val="single" w:sz="12" w:space="0" w:color="000000"/>
              <w:left w:val="single" w:sz="6" w:space="0" w:color="000000"/>
              <w:bottom w:val="single" w:sz="6" w:space="0" w:color="000000"/>
              <w:right w:val="single" w:sz="6" w:space="0" w:color="000000"/>
            </w:tcBorders>
          </w:tcPr>
          <w:p>
            <w:pPr/>
          </w:p>
        </w:tc>
        <w:tc>
          <w:tcPr>
            <w:tcW w:w="1700" w:type="dxa"/>
            <w:tcBorders>
              <w:top w:val="single" w:sz="12" w:space="0" w:color="000000"/>
              <w:left w:val="single" w:sz="6" w:space="0" w:color="000000"/>
              <w:bottom w:val="single" w:sz="6" w:space="0" w:color="000000"/>
              <w:right w:val="single" w:sz="12" w:space="0" w:color="000000"/>
            </w:tcBorders>
          </w:tcPr>
          <w:p>
            <w:pPr/>
          </w:p>
        </w:tc>
      </w:tr>
      <w:tr>
        <w:trPr>
          <w:trHeight w:val="73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95"/>
              <w:jc w:val="both"/>
              <w:rPr>
                <w:rFonts w:ascii="宋体" w:hAnsi="宋体" w:cs="宋体" w:eastAsia="宋体" w:hint="default"/>
                <w:sz w:val="18"/>
                <w:szCs w:val="18"/>
              </w:rPr>
            </w:pPr>
            <w:r>
              <w:rPr>
                <w:rFonts w:ascii="宋体" w:hAnsi="宋体" w:cs="宋体" w:eastAsia="宋体" w:hint="default"/>
                <w:sz w:val="18"/>
                <w:szCs w:val="18"/>
              </w:rPr>
              <w:t>（一）综 合收益总 额</w:t>
            </w:r>
          </w:p>
        </w:tc>
        <w:tc>
          <w:tcPr>
            <w:tcW w:w="142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8"/>
                <w:szCs w:val="18"/>
              </w:rPr>
            </w:pPr>
            <w:r>
              <w:rPr>
                <w:rFonts w:ascii="宋体"/>
                <w:sz w:val="18"/>
              </w:rPr>
              <w:t>-25,556,844.35</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8"/>
                <w:szCs w:val="18"/>
              </w:rPr>
            </w:pPr>
            <w:r>
              <w:rPr>
                <w:rFonts w:ascii="宋体"/>
                <w:sz w:val="18"/>
              </w:rPr>
              <w:t>-25,556,844.35</w:t>
            </w:r>
          </w:p>
        </w:tc>
      </w:tr>
      <w:tr>
        <w:trPr>
          <w:trHeight w:val="97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13" w:right="95"/>
              <w:jc w:val="both"/>
              <w:rPr>
                <w:rFonts w:ascii="宋体" w:hAnsi="宋体" w:cs="宋体" w:eastAsia="宋体" w:hint="default"/>
                <w:sz w:val="18"/>
                <w:szCs w:val="18"/>
              </w:rPr>
            </w:pPr>
            <w:r>
              <w:rPr>
                <w:rFonts w:ascii="宋体" w:hAnsi="宋体" w:cs="宋体" w:eastAsia="宋体" w:hint="default"/>
                <w:sz w:val="18"/>
                <w:szCs w:val="18"/>
              </w:rPr>
              <w:t>（二）所 有者投入 和减少资 本</w:t>
            </w:r>
          </w:p>
        </w:tc>
        <w:tc>
          <w:tcPr>
            <w:tcW w:w="142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73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．股东投</w:t>
            </w:r>
            <w:r>
              <w:rPr>
                <w:rFonts w:ascii="宋体" w:hAnsi="宋体" w:cs="宋体" w:eastAsia="宋体" w:hint="default"/>
                <w:sz w:val="18"/>
                <w:szCs w:val="18"/>
              </w:rPr>
              <w:t> 入的普通 股</w:t>
            </w:r>
          </w:p>
        </w:tc>
        <w:tc>
          <w:tcPr>
            <w:tcW w:w="142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97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w:t>
            </w:r>
            <w:r>
              <w:rPr>
                <w:rFonts w:ascii="宋体" w:hAnsi="宋体" w:cs="宋体" w:eastAsia="宋体" w:hint="default"/>
                <w:sz w:val="18"/>
                <w:szCs w:val="18"/>
              </w:rPr>
              <w:t> 益工具持 有者投入 资本</w:t>
            </w:r>
          </w:p>
        </w:tc>
        <w:tc>
          <w:tcPr>
            <w:tcW w:w="142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97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18"/>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w:t>
            </w:r>
            <w:r>
              <w:rPr>
                <w:rFonts w:ascii="宋体" w:hAnsi="宋体" w:cs="宋体" w:eastAsia="宋体" w:hint="default"/>
                <w:sz w:val="18"/>
                <w:szCs w:val="18"/>
              </w:rPr>
              <w:t> 付计入所 有者权益 的金额</w:t>
            </w:r>
          </w:p>
        </w:tc>
        <w:tc>
          <w:tcPr>
            <w:tcW w:w="142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17" w:lineRule="exact"/>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2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49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95"/>
              <w:jc w:val="left"/>
              <w:rPr>
                <w:rFonts w:ascii="宋体" w:hAnsi="宋体" w:cs="宋体" w:eastAsia="宋体" w:hint="default"/>
                <w:sz w:val="18"/>
                <w:szCs w:val="18"/>
              </w:rPr>
            </w:pPr>
            <w:r>
              <w:rPr>
                <w:rFonts w:ascii="宋体" w:hAnsi="宋体" w:cs="宋体" w:eastAsia="宋体" w:hint="default"/>
                <w:sz w:val="18"/>
                <w:szCs w:val="18"/>
              </w:rPr>
              <w:t>（三）利 润分配</w:t>
            </w:r>
          </w:p>
        </w:tc>
        <w:tc>
          <w:tcPr>
            <w:tcW w:w="142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8"/>
              <w:jc w:val="right"/>
              <w:rPr>
                <w:rFonts w:ascii="宋体" w:hAnsi="宋体" w:cs="宋体" w:eastAsia="宋体" w:hint="default"/>
                <w:sz w:val="18"/>
                <w:szCs w:val="18"/>
              </w:rPr>
            </w:pPr>
            <w:r>
              <w:rPr>
                <w:rFonts w:ascii="宋体"/>
                <w:sz w:val="18"/>
              </w:rPr>
              <w:t>-6,448,873.92</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10"/>
              <w:jc w:val="right"/>
              <w:rPr>
                <w:rFonts w:ascii="宋体" w:hAnsi="宋体" w:cs="宋体" w:eastAsia="宋体" w:hint="default"/>
                <w:sz w:val="18"/>
                <w:szCs w:val="18"/>
              </w:rPr>
            </w:pPr>
            <w:r>
              <w:rPr>
                <w:rFonts w:ascii="宋体"/>
                <w:sz w:val="18"/>
              </w:rPr>
              <w:t>-6,448,873.92</w:t>
            </w:r>
          </w:p>
        </w:tc>
      </w:tr>
      <w:tr>
        <w:trPr>
          <w:trHeight w:val="49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．提取盈</w:t>
            </w:r>
            <w:r>
              <w:rPr>
                <w:rFonts w:ascii="宋体" w:hAnsi="宋体" w:cs="宋体" w:eastAsia="宋体" w:hint="default"/>
                <w:sz w:val="18"/>
                <w:szCs w:val="18"/>
              </w:rPr>
              <w:t> 余公积</w:t>
            </w:r>
          </w:p>
        </w:tc>
        <w:tc>
          <w:tcPr>
            <w:tcW w:w="142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97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．对所有</w:t>
            </w:r>
            <w:r>
              <w:rPr>
                <w:rFonts w:ascii="宋体" w:hAnsi="宋体" w:cs="宋体" w:eastAsia="宋体" w:hint="default"/>
                <w:sz w:val="18"/>
                <w:szCs w:val="18"/>
              </w:rPr>
              <w:t> 者（或股 东）的分</w:t>
            </w:r>
          </w:p>
          <w:p>
            <w:pPr>
              <w:pStyle w:val="TableParagraph"/>
              <w:spacing w:line="217" w:lineRule="exact"/>
              <w:ind w:left="1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42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8"/>
              <w:jc w:val="right"/>
              <w:rPr>
                <w:rFonts w:ascii="宋体" w:hAnsi="宋体" w:cs="宋体" w:eastAsia="宋体" w:hint="default"/>
                <w:sz w:val="18"/>
                <w:szCs w:val="18"/>
              </w:rPr>
            </w:pPr>
            <w:r>
              <w:rPr>
                <w:rFonts w:ascii="宋体"/>
                <w:sz w:val="18"/>
              </w:rPr>
              <w:t>-6,448,873.92</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
              <w:jc w:val="right"/>
              <w:rPr>
                <w:rFonts w:ascii="宋体" w:hAnsi="宋体" w:cs="宋体" w:eastAsia="宋体" w:hint="default"/>
                <w:sz w:val="18"/>
                <w:szCs w:val="18"/>
              </w:rPr>
            </w:pPr>
            <w:r>
              <w:rPr>
                <w:rFonts w:ascii="宋体"/>
                <w:sz w:val="18"/>
              </w:rPr>
              <w:t>-6,448,873.92</w:t>
            </w:r>
          </w:p>
        </w:tc>
      </w:tr>
      <w:tr>
        <w:trPr>
          <w:trHeight w:val="25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17" w:lineRule="exact"/>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2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73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95"/>
              <w:jc w:val="both"/>
              <w:rPr>
                <w:rFonts w:ascii="宋体" w:hAnsi="宋体" w:cs="宋体" w:eastAsia="宋体" w:hint="default"/>
                <w:sz w:val="18"/>
                <w:szCs w:val="18"/>
              </w:rPr>
            </w:pPr>
            <w:r>
              <w:rPr>
                <w:rFonts w:ascii="宋体" w:hAnsi="宋体" w:cs="宋体" w:eastAsia="宋体" w:hint="default"/>
                <w:sz w:val="18"/>
                <w:szCs w:val="18"/>
              </w:rPr>
              <w:t>（四）所 有者权益 内部结转</w:t>
            </w:r>
          </w:p>
        </w:tc>
        <w:tc>
          <w:tcPr>
            <w:tcW w:w="142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97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w:t>
            </w:r>
            <w:r>
              <w:rPr>
                <w:rFonts w:ascii="宋体" w:hAnsi="宋体" w:cs="宋体" w:eastAsia="宋体" w:hint="default"/>
                <w:sz w:val="18"/>
                <w:szCs w:val="18"/>
              </w:rPr>
              <w:t> 积转增资 本（或股 本）</w:t>
            </w:r>
          </w:p>
        </w:tc>
        <w:tc>
          <w:tcPr>
            <w:tcW w:w="142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97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w:t>
            </w:r>
            <w:r>
              <w:rPr>
                <w:rFonts w:ascii="宋体" w:hAnsi="宋体" w:cs="宋体" w:eastAsia="宋体" w:hint="default"/>
                <w:sz w:val="18"/>
                <w:szCs w:val="18"/>
              </w:rPr>
              <w:t> 积转增资 本（或股 本）</w:t>
            </w:r>
          </w:p>
        </w:tc>
        <w:tc>
          <w:tcPr>
            <w:tcW w:w="142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13" w:right="18"/>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．盈余公</w:t>
            </w:r>
            <w:r>
              <w:rPr>
                <w:rFonts w:ascii="宋体" w:hAnsi="宋体" w:cs="宋体" w:eastAsia="宋体" w:hint="default"/>
                <w:sz w:val="18"/>
                <w:szCs w:val="18"/>
              </w:rPr>
              <w:t> 积弥补亏 损</w:t>
            </w:r>
          </w:p>
        </w:tc>
        <w:tc>
          <w:tcPr>
            <w:tcW w:w="142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25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19" w:lineRule="exact"/>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2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13" w:right="95"/>
              <w:jc w:val="left"/>
              <w:rPr>
                <w:rFonts w:ascii="宋体" w:hAnsi="宋体" w:cs="宋体" w:eastAsia="宋体" w:hint="default"/>
                <w:sz w:val="18"/>
                <w:szCs w:val="18"/>
              </w:rPr>
            </w:pPr>
            <w:r>
              <w:rPr>
                <w:rFonts w:ascii="宋体" w:hAnsi="宋体" w:cs="宋体" w:eastAsia="宋体" w:hint="default"/>
                <w:sz w:val="18"/>
                <w:szCs w:val="18"/>
              </w:rPr>
              <w:t>（五）专 项储备</w:t>
            </w:r>
          </w:p>
        </w:tc>
        <w:tc>
          <w:tcPr>
            <w:tcW w:w="142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49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．本期提</w:t>
            </w:r>
            <w:r>
              <w:rPr>
                <w:rFonts w:ascii="宋体" w:hAnsi="宋体" w:cs="宋体" w:eastAsia="宋体" w:hint="default"/>
                <w:sz w:val="18"/>
                <w:szCs w:val="18"/>
              </w:rPr>
              <w:t> 取</w:t>
            </w:r>
          </w:p>
        </w:tc>
        <w:tc>
          <w:tcPr>
            <w:tcW w:w="142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495"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17" w:lineRule="exact"/>
              <w:ind w:left="1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．本期使</w:t>
            </w:r>
          </w:p>
          <w:p>
            <w:pPr>
              <w:pStyle w:val="TableParagraph"/>
              <w:spacing w:line="240" w:lineRule="auto" w:before="5"/>
              <w:ind w:left="13"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42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49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13" w:right="95"/>
              <w:jc w:val="left"/>
              <w:rPr>
                <w:rFonts w:ascii="宋体" w:hAnsi="宋体" w:cs="宋体" w:eastAsia="宋体" w:hint="default"/>
                <w:sz w:val="18"/>
                <w:szCs w:val="18"/>
              </w:rPr>
            </w:pPr>
            <w:r>
              <w:rPr>
                <w:rFonts w:ascii="宋体" w:hAnsi="宋体" w:cs="宋体" w:eastAsia="宋体" w:hint="default"/>
                <w:sz w:val="18"/>
                <w:szCs w:val="18"/>
              </w:rPr>
              <w:t>（六）其 他</w:t>
            </w:r>
          </w:p>
        </w:tc>
        <w:tc>
          <w:tcPr>
            <w:tcW w:w="142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8"/>
              <w:jc w:val="right"/>
              <w:rPr>
                <w:rFonts w:ascii="宋体" w:hAnsi="宋体" w:cs="宋体" w:eastAsia="宋体" w:hint="default"/>
                <w:sz w:val="18"/>
                <w:szCs w:val="18"/>
              </w:rPr>
            </w:pPr>
            <w:r>
              <w:rPr>
                <w:rFonts w:ascii="宋体"/>
                <w:sz w:val="18"/>
              </w:rPr>
              <w:t>-31,216.85</w:t>
            </w: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10"/>
              <w:jc w:val="right"/>
              <w:rPr>
                <w:rFonts w:ascii="宋体" w:hAnsi="宋体" w:cs="宋体" w:eastAsia="宋体" w:hint="default"/>
                <w:sz w:val="18"/>
                <w:szCs w:val="18"/>
              </w:rPr>
            </w:pPr>
            <w:r>
              <w:rPr>
                <w:rFonts w:ascii="宋体"/>
                <w:sz w:val="18"/>
              </w:rPr>
              <w:t>-31,216.85</w:t>
            </w:r>
          </w:p>
        </w:tc>
      </w:tr>
      <w:tr>
        <w:trPr>
          <w:trHeight w:val="502" w:hRule="exact"/>
        </w:trPr>
        <w:tc>
          <w:tcPr>
            <w:tcW w:w="8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exact"/>
              <w:ind w:left="13" w:right="95"/>
              <w:jc w:val="left"/>
              <w:rPr>
                <w:rFonts w:ascii="宋体" w:hAnsi="宋体" w:cs="宋体" w:eastAsia="宋体" w:hint="default"/>
                <w:sz w:val="18"/>
                <w:szCs w:val="18"/>
              </w:rPr>
            </w:pPr>
            <w:r>
              <w:rPr>
                <w:rFonts w:ascii="宋体" w:hAnsi="宋体" w:cs="宋体" w:eastAsia="宋体" w:hint="default"/>
                <w:sz w:val="18"/>
                <w:szCs w:val="18"/>
              </w:rPr>
              <w:t>四、本期 期末余额</w:t>
            </w:r>
          </w:p>
        </w:tc>
        <w:tc>
          <w:tcPr>
            <w:tcW w:w="14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24" w:right="0"/>
              <w:jc w:val="left"/>
              <w:rPr>
                <w:rFonts w:ascii="宋体" w:hAnsi="宋体" w:cs="宋体" w:eastAsia="宋体" w:hint="default"/>
                <w:sz w:val="18"/>
                <w:szCs w:val="18"/>
              </w:rPr>
            </w:pPr>
            <w:r>
              <w:rPr>
                <w:rFonts w:ascii="宋体"/>
                <w:sz w:val="18"/>
              </w:rPr>
              <w:t>161,221,848.00</w:t>
            </w:r>
          </w:p>
        </w:tc>
        <w:tc>
          <w:tcPr>
            <w:tcW w:w="566"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919,207,813.92</w:t>
            </w:r>
          </w:p>
        </w:tc>
        <w:tc>
          <w:tcPr>
            <w:tcW w:w="568" w:type="dxa"/>
            <w:tcBorders>
              <w:top w:val="single" w:sz="6" w:space="0" w:color="000000"/>
              <w:left w:val="single" w:sz="6"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70" w:right="0"/>
              <w:jc w:val="left"/>
              <w:rPr>
                <w:rFonts w:ascii="宋体" w:hAnsi="宋体" w:cs="宋体" w:eastAsia="宋体" w:hint="default"/>
                <w:sz w:val="18"/>
                <w:szCs w:val="18"/>
              </w:rPr>
            </w:pPr>
            <w:r>
              <w:rPr>
                <w:rFonts w:ascii="宋体"/>
                <w:sz w:val="18"/>
              </w:rPr>
              <w:t>20,423,426.70</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99,803,621.91</w:t>
            </w:r>
          </w:p>
        </w:tc>
        <w:tc>
          <w:tcPr>
            <w:tcW w:w="17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1"/>
              <w:ind w:right="10"/>
              <w:jc w:val="right"/>
              <w:rPr>
                <w:rFonts w:ascii="宋体" w:hAnsi="宋体" w:cs="宋体" w:eastAsia="宋体" w:hint="default"/>
                <w:sz w:val="18"/>
                <w:szCs w:val="18"/>
              </w:rPr>
            </w:pPr>
            <w:r>
              <w:rPr>
                <w:rFonts w:ascii="宋体"/>
                <w:sz w:val="18"/>
              </w:rPr>
              <w:t>1,200,656,710.53</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302" w:type="dxa"/>
        <w:tblLayout w:type="fixed"/>
        <w:tblCellMar>
          <w:top w:w="0" w:type="dxa"/>
          <w:left w:w="0" w:type="dxa"/>
          <w:bottom w:w="0" w:type="dxa"/>
          <w:right w:w="0" w:type="dxa"/>
        </w:tblCellMar>
        <w:tblLook w:val="01E0"/>
      </w:tblPr>
      <w:tblGrid>
        <w:gridCol w:w="835"/>
        <w:gridCol w:w="1429"/>
        <w:gridCol w:w="566"/>
        <w:gridCol w:w="568"/>
        <w:gridCol w:w="283"/>
        <w:gridCol w:w="1418"/>
        <w:gridCol w:w="568"/>
        <w:gridCol w:w="709"/>
        <w:gridCol w:w="425"/>
        <w:gridCol w:w="1276"/>
        <w:gridCol w:w="1560"/>
        <w:gridCol w:w="1700"/>
      </w:tblGrid>
      <w:tr>
        <w:trPr>
          <w:trHeight w:val="262" w:hRule="exact"/>
        </w:trPr>
        <w:tc>
          <w:tcPr>
            <w:tcW w:w="835" w:type="dxa"/>
            <w:vMerge w:val="restart"/>
            <w:tcBorders>
              <w:top w:val="single" w:sz="12" w:space="0" w:color="000000"/>
              <w:left w:val="single" w:sz="12" w:space="0" w:color="000000"/>
              <w:right w:val="single" w:sz="6" w:space="0" w:color="000000"/>
            </w:tcBorders>
            <w:shd w:val="clear" w:color="auto" w:fill="D2D2D2"/>
          </w:tcPr>
          <w:p>
            <w:pPr/>
          </w:p>
        </w:tc>
        <w:tc>
          <w:tcPr>
            <w:tcW w:w="10502" w:type="dxa"/>
            <w:gridSpan w:val="11"/>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17" w:lineRule="exact"/>
              <w:ind w:right="915"/>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31" w:hRule="exact"/>
        </w:trPr>
        <w:tc>
          <w:tcPr>
            <w:tcW w:w="835" w:type="dxa"/>
            <w:vMerge/>
            <w:tcBorders>
              <w:left w:val="single" w:sz="12" w:space="0" w:color="000000"/>
              <w:bottom w:val="nil" w:sz="6" w:space="0" w:color="auto"/>
              <w:right w:val="single" w:sz="6" w:space="0" w:color="000000"/>
            </w:tcBorders>
            <w:shd w:val="clear" w:color="auto" w:fill="D2D2D2"/>
          </w:tcPr>
          <w:p>
            <w:pPr/>
          </w:p>
        </w:tc>
        <w:tc>
          <w:tcPr>
            <w:tcW w:w="1429" w:type="dxa"/>
            <w:vMerge w:val="restart"/>
            <w:tcBorders>
              <w:top w:val="single" w:sz="6" w:space="0" w:color="000000"/>
              <w:left w:val="single" w:sz="6" w:space="0" w:color="000000"/>
              <w:right w:val="single" w:sz="6" w:space="0" w:color="000000"/>
            </w:tcBorders>
            <w:shd w:val="clear" w:color="auto" w:fill="D2D2D2"/>
          </w:tcPr>
          <w:p>
            <w:pPr/>
          </w:p>
        </w:tc>
        <w:tc>
          <w:tcPr>
            <w:tcW w:w="141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17" w:lineRule="exact"/>
              <w:ind w:left="1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6" w:space="0" w:color="000000"/>
              <w:left w:val="single" w:sz="6" w:space="0" w:color="000000"/>
              <w:right w:val="single" w:sz="6" w:space="0" w:color="000000"/>
            </w:tcBorders>
            <w:shd w:val="clear" w:color="auto" w:fill="D2D2D2"/>
          </w:tcPr>
          <w:p>
            <w:pPr/>
          </w:p>
        </w:tc>
        <w:tc>
          <w:tcPr>
            <w:tcW w:w="568" w:type="dxa"/>
            <w:tcBorders>
              <w:top w:val="single" w:sz="6" w:space="0" w:color="000000"/>
              <w:left w:val="single" w:sz="6" w:space="0" w:color="000000"/>
              <w:bottom w:val="nil" w:sz="6" w:space="0" w:color="auto"/>
              <w:right w:val="single" w:sz="6" w:space="0" w:color="000000"/>
            </w:tcBorders>
            <w:shd w:val="clear" w:color="auto" w:fill="D2D2D2"/>
          </w:tcPr>
          <w:p>
            <w:pPr/>
          </w:p>
        </w:tc>
        <w:tc>
          <w:tcPr>
            <w:tcW w:w="709" w:type="dxa"/>
            <w:tcBorders>
              <w:top w:val="single" w:sz="6" w:space="0" w:color="000000"/>
              <w:left w:val="single" w:sz="6" w:space="0" w:color="000000"/>
              <w:bottom w:val="nil" w:sz="6" w:space="0" w:color="auto"/>
              <w:right w:val="single" w:sz="6" w:space="0" w:color="000000"/>
            </w:tcBorders>
            <w:shd w:val="clear" w:color="auto" w:fill="D2D2D2"/>
          </w:tcPr>
          <w:p>
            <w:pPr/>
          </w:p>
        </w:tc>
        <w:tc>
          <w:tcPr>
            <w:tcW w:w="425"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560" w:type="dxa"/>
            <w:vMerge w:val="restart"/>
            <w:tcBorders>
              <w:top w:val="single" w:sz="6" w:space="0" w:color="000000"/>
              <w:left w:val="single" w:sz="6" w:space="0" w:color="000000"/>
              <w:right w:val="single" w:sz="6" w:space="0" w:color="000000"/>
            </w:tcBorders>
            <w:shd w:val="clear" w:color="auto" w:fill="D2D2D2"/>
          </w:tcPr>
          <w:p>
            <w:pPr/>
          </w:p>
        </w:tc>
        <w:tc>
          <w:tcPr>
            <w:tcW w:w="1700" w:type="dxa"/>
            <w:vMerge w:val="restart"/>
            <w:tcBorders>
              <w:top w:val="single" w:sz="6" w:space="0" w:color="000000"/>
              <w:left w:val="single" w:sz="6" w:space="0" w:color="000000"/>
              <w:right w:val="single" w:sz="12" w:space="0" w:color="000000"/>
            </w:tcBorders>
            <w:shd w:val="clear" w:color="auto" w:fill="D2D2D2"/>
          </w:tcPr>
          <w:p>
            <w:pPr/>
          </w:p>
        </w:tc>
      </w:tr>
      <w:tr>
        <w:trPr>
          <w:trHeight w:val="122" w:hRule="exact"/>
        </w:trPr>
        <w:tc>
          <w:tcPr>
            <w:tcW w:w="835" w:type="dxa"/>
            <w:vMerge w:val="restart"/>
            <w:tcBorders>
              <w:top w:val="nil" w:sz="6" w:space="0" w:color="auto"/>
              <w:left w:val="single" w:sz="12" w:space="0" w:color="000000"/>
              <w:right w:val="single" w:sz="6" w:space="0" w:color="000000"/>
            </w:tcBorders>
            <w:shd w:val="clear" w:color="auto" w:fill="D2D2D2"/>
          </w:tcPr>
          <w:p>
            <w:pPr>
              <w:pStyle w:val="TableParagraph"/>
              <w:spacing w:line="214" w:lineRule="exact"/>
              <w:ind w:left="22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29" w:type="dxa"/>
            <w:vMerge/>
            <w:tcBorders>
              <w:left w:val="single" w:sz="6" w:space="0" w:color="000000"/>
              <w:bottom w:val="nil" w:sz="6" w:space="0" w:color="auto"/>
              <w:right w:val="single" w:sz="6" w:space="0" w:color="000000"/>
            </w:tcBorders>
            <w:shd w:val="clear" w:color="auto" w:fill="D2D2D2"/>
          </w:tcPr>
          <w:p>
            <w:pPr/>
          </w:p>
        </w:tc>
        <w:tc>
          <w:tcPr>
            <w:tcW w:w="1417" w:type="dxa"/>
            <w:gridSpan w:val="3"/>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56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exact" w:before="3"/>
              <w:ind w:left="97" w:right="18"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exact" w:before="3"/>
              <w:ind w:left="76"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exact" w:before="3"/>
              <w:ind w:left="23"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6" w:type="dxa"/>
            <w:vMerge/>
            <w:tcBorders>
              <w:left w:val="single" w:sz="6" w:space="0" w:color="000000"/>
              <w:bottom w:val="nil" w:sz="6" w:space="0" w:color="auto"/>
              <w:right w:val="single" w:sz="6" w:space="0" w:color="000000"/>
            </w:tcBorders>
            <w:shd w:val="clear" w:color="auto" w:fill="D2D2D2"/>
          </w:tcPr>
          <w:p>
            <w:pPr/>
          </w:p>
        </w:tc>
        <w:tc>
          <w:tcPr>
            <w:tcW w:w="1560" w:type="dxa"/>
            <w:vMerge/>
            <w:tcBorders>
              <w:left w:val="single" w:sz="6" w:space="0" w:color="000000"/>
              <w:bottom w:val="nil" w:sz="6" w:space="0" w:color="auto"/>
              <w:right w:val="single" w:sz="6" w:space="0" w:color="000000"/>
            </w:tcBorders>
            <w:shd w:val="clear" w:color="auto" w:fill="D2D2D2"/>
          </w:tcPr>
          <w:p>
            <w:pPr/>
          </w:p>
        </w:tc>
        <w:tc>
          <w:tcPr>
            <w:tcW w:w="1700" w:type="dxa"/>
            <w:vMerge/>
            <w:tcBorders>
              <w:left w:val="single" w:sz="6" w:space="0" w:color="000000"/>
              <w:bottom w:val="nil" w:sz="6" w:space="0" w:color="auto"/>
              <w:right w:val="single" w:sz="12" w:space="0" w:color="000000"/>
            </w:tcBorders>
            <w:shd w:val="clear" w:color="auto" w:fill="D2D2D2"/>
          </w:tcPr>
          <w:p>
            <w:pPr/>
          </w:p>
        </w:tc>
      </w:tr>
      <w:tr>
        <w:trPr>
          <w:trHeight w:val="115" w:hRule="exact"/>
        </w:trPr>
        <w:tc>
          <w:tcPr>
            <w:tcW w:w="835" w:type="dxa"/>
            <w:vMerge/>
            <w:tcBorders>
              <w:left w:val="single" w:sz="12" w:space="0" w:color="000000"/>
              <w:bottom w:val="nil" w:sz="6" w:space="0" w:color="auto"/>
              <w:right w:val="single" w:sz="6" w:space="0" w:color="000000"/>
            </w:tcBorders>
            <w:shd w:val="clear" w:color="auto" w:fill="D2D2D2"/>
          </w:tcPr>
          <w:p>
            <w:pPr/>
          </w:p>
        </w:tc>
        <w:tc>
          <w:tcPr>
            <w:tcW w:w="1429" w:type="dxa"/>
            <w:vMerge w:val="restart"/>
            <w:tcBorders>
              <w:top w:val="nil" w:sz="6" w:space="0" w:color="auto"/>
              <w:left w:val="single" w:sz="6" w:space="0" w:color="000000"/>
              <w:right w:val="single" w:sz="6" w:space="0" w:color="000000"/>
            </w:tcBorders>
            <w:shd w:val="clear" w:color="auto" w:fill="D2D2D2"/>
          </w:tcPr>
          <w:p>
            <w:pPr>
              <w:pStyle w:val="TableParagraph"/>
              <w:spacing w:line="220" w:lineRule="exact"/>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exact" w:before="3"/>
              <w:ind w:left="186" w:right="9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exact" w:before="3"/>
              <w:ind w:left="187" w:right="9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28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exact" w:before="3"/>
              <w:ind w:left="43" w:right="43"/>
              <w:jc w:val="left"/>
              <w:rPr>
                <w:rFonts w:ascii="宋体" w:hAnsi="宋体" w:cs="宋体" w:eastAsia="宋体" w:hint="default"/>
                <w:sz w:val="18"/>
                <w:szCs w:val="18"/>
              </w:rPr>
            </w:pPr>
            <w:r>
              <w:rPr>
                <w:rFonts w:ascii="宋体" w:hAnsi="宋体" w:cs="宋体" w:eastAsia="宋体" w:hint="default"/>
                <w:sz w:val="18"/>
                <w:szCs w:val="18"/>
              </w:rPr>
              <w:t>其 他</w:t>
            </w:r>
          </w:p>
        </w:tc>
        <w:tc>
          <w:tcPr>
            <w:tcW w:w="1418" w:type="dxa"/>
            <w:vMerge w:val="restart"/>
            <w:tcBorders>
              <w:top w:val="nil" w:sz="6" w:space="0" w:color="auto"/>
              <w:left w:val="single" w:sz="6" w:space="0" w:color="000000"/>
              <w:right w:val="single" w:sz="6" w:space="0" w:color="000000"/>
            </w:tcBorders>
            <w:shd w:val="clear" w:color="auto" w:fill="D2D2D2"/>
          </w:tcPr>
          <w:p>
            <w:pPr>
              <w:pStyle w:val="TableParagraph"/>
              <w:spacing w:line="220" w:lineRule="exact"/>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tcBorders>
              <w:left w:val="single" w:sz="6" w:space="0" w:color="000000"/>
              <w:right w:val="single" w:sz="6" w:space="0" w:color="000000"/>
            </w:tcBorders>
            <w:shd w:val="clear" w:color="auto" w:fill="D2D2D2"/>
          </w:tcPr>
          <w:p>
            <w:pPr/>
          </w:p>
        </w:tc>
        <w:tc>
          <w:tcPr>
            <w:tcW w:w="709" w:type="dxa"/>
            <w:vMerge/>
            <w:tcBorders>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20" w:lineRule="exact"/>
              <w:ind w:left="26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vMerge w:val="restart"/>
            <w:tcBorders>
              <w:top w:val="nil" w:sz="6" w:space="0" w:color="auto"/>
              <w:left w:val="single" w:sz="6" w:space="0" w:color="000000"/>
              <w:right w:val="single" w:sz="6" w:space="0" w:color="000000"/>
            </w:tcBorders>
            <w:shd w:val="clear" w:color="auto" w:fill="D2D2D2"/>
          </w:tcPr>
          <w:p>
            <w:pPr>
              <w:pStyle w:val="TableParagraph"/>
              <w:spacing w:line="220" w:lineRule="exact"/>
              <w:ind w:left="3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0" w:type="dxa"/>
            <w:vMerge w:val="restart"/>
            <w:tcBorders>
              <w:top w:val="nil" w:sz="6" w:space="0" w:color="auto"/>
              <w:left w:val="single" w:sz="6" w:space="0" w:color="000000"/>
              <w:right w:val="single" w:sz="12" w:space="0" w:color="000000"/>
            </w:tcBorders>
            <w:shd w:val="clear" w:color="auto" w:fill="D2D2D2"/>
          </w:tcPr>
          <w:p>
            <w:pPr>
              <w:pStyle w:val="TableParagraph"/>
              <w:spacing w:line="220" w:lineRule="exact"/>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28" w:hRule="exact"/>
        </w:trPr>
        <w:tc>
          <w:tcPr>
            <w:tcW w:w="835" w:type="dxa"/>
            <w:vMerge w:val="restart"/>
            <w:tcBorders>
              <w:top w:val="nil" w:sz="6" w:space="0" w:color="auto"/>
              <w:left w:val="single" w:sz="12" w:space="0" w:color="000000"/>
              <w:right w:val="single" w:sz="6" w:space="0" w:color="000000"/>
            </w:tcBorders>
            <w:shd w:val="clear" w:color="auto" w:fill="D2D2D2"/>
          </w:tcPr>
          <w:p>
            <w:pPr/>
          </w:p>
        </w:tc>
        <w:tc>
          <w:tcPr>
            <w:tcW w:w="1429" w:type="dxa"/>
            <w:vMerge/>
            <w:tcBorders>
              <w:left w:val="single" w:sz="6" w:space="0" w:color="000000"/>
              <w:bottom w:val="nil" w:sz="6" w:space="0" w:color="auto"/>
              <w:right w:val="single" w:sz="6" w:space="0" w:color="000000"/>
            </w:tcBorders>
            <w:shd w:val="clear" w:color="auto" w:fill="D2D2D2"/>
          </w:tcPr>
          <w:p>
            <w:pPr/>
          </w:p>
        </w:tc>
        <w:tc>
          <w:tcPr>
            <w:tcW w:w="566" w:type="dxa"/>
            <w:vMerge/>
            <w:tcBorders>
              <w:left w:val="single" w:sz="6" w:space="0" w:color="000000"/>
              <w:right w:val="single" w:sz="6" w:space="0" w:color="000000"/>
            </w:tcBorders>
            <w:shd w:val="clear" w:color="auto" w:fill="D2D2D2"/>
          </w:tcPr>
          <w:p>
            <w:pPr/>
          </w:p>
        </w:tc>
        <w:tc>
          <w:tcPr>
            <w:tcW w:w="568"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568" w:type="dxa"/>
            <w:vMerge/>
            <w:tcBorders>
              <w:left w:val="single" w:sz="6" w:space="0" w:color="000000"/>
              <w:right w:val="single" w:sz="6" w:space="0" w:color="000000"/>
            </w:tcBorders>
            <w:shd w:val="clear" w:color="auto" w:fill="D2D2D2"/>
          </w:tcPr>
          <w:p>
            <w:pPr/>
          </w:p>
        </w:tc>
        <w:tc>
          <w:tcPr>
            <w:tcW w:w="709" w:type="dxa"/>
            <w:vMerge/>
            <w:tcBorders>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560" w:type="dxa"/>
            <w:vMerge/>
            <w:tcBorders>
              <w:left w:val="single" w:sz="6" w:space="0" w:color="000000"/>
              <w:bottom w:val="nil" w:sz="6" w:space="0" w:color="auto"/>
              <w:right w:val="single" w:sz="6" w:space="0" w:color="000000"/>
            </w:tcBorders>
            <w:shd w:val="clear" w:color="auto" w:fill="D2D2D2"/>
          </w:tcPr>
          <w:p>
            <w:pPr/>
          </w:p>
        </w:tc>
        <w:tc>
          <w:tcPr>
            <w:tcW w:w="1700" w:type="dxa"/>
            <w:vMerge/>
            <w:tcBorders>
              <w:left w:val="single" w:sz="6" w:space="0" w:color="000000"/>
              <w:bottom w:val="nil" w:sz="6" w:space="0" w:color="auto"/>
              <w:right w:val="single" w:sz="12" w:space="0" w:color="000000"/>
            </w:tcBorders>
            <w:shd w:val="clear" w:color="auto" w:fill="D2D2D2"/>
          </w:tcPr>
          <w:p>
            <w:pPr/>
          </w:p>
        </w:tc>
      </w:tr>
      <w:tr>
        <w:trPr>
          <w:trHeight w:val="256" w:hRule="exact"/>
        </w:trPr>
        <w:tc>
          <w:tcPr>
            <w:tcW w:w="835" w:type="dxa"/>
            <w:vMerge/>
            <w:tcBorders>
              <w:left w:val="single" w:sz="12" w:space="0" w:color="000000"/>
              <w:bottom w:val="single" w:sz="6" w:space="0" w:color="000000"/>
              <w:right w:val="single" w:sz="6" w:space="0" w:color="000000"/>
            </w:tcBorders>
            <w:shd w:val="clear" w:color="auto" w:fill="D2D2D2"/>
          </w:tcPr>
          <w:p>
            <w:pPr/>
          </w:p>
        </w:tc>
        <w:tc>
          <w:tcPr>
            <w:tcW w:w="1429" w:type="dxa"/>
            <w:tcBorders>
              <w:top w:val="nil" w:sz="6" w:space="0" w:color="auto"/>
              <w:left w:val="single" w:sz="6" w:space="0" w:color="000000"/>
              <w:bottom w:val="single" w:sz="6" w:space="0" w:color="000000"/>
              <w:right w:val="single" w:sz="6" w:space="0" w:color="000000"/>
            </w:tcBorders>
            <w:shd w:val="clear" w:color="auto" w:fill="D2D2D2"/>
          </w:tcPr>
          <w:p>
            <w:pPr/>
          </w:p>
        </w:tc>
        <w:tc>
          <w:tcPr>
            <w:tcW w:w="566" w:type="dxa"/>
            <w:vMerge/>
            <w:tcBorders>
              <w:left w:val="single" w:sz="6" w:space="0" w:color="000000"/>
              <w:bottom w:val="single" w:sz="6" w:space="0" w:color="000000"/>
              <w:right w:val="single" w:sz="6" w:space="0" w:color="000000"/>
            </w:tcBorders>
            <w:shd w:val="clear" w:color="auto" w:fill="D2D2D2"/>
          </w:tcPr>
          <w:p>
            <w:pPr/>
          </w:p>
        </w:tc>
        <w:tc>
          <w:tcPr>
            <w:tcW w:w="568" w:type="dxa"/>
            <w:vMerge/>
            <w:tcBorders>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1418" w:type="dxa"/>
            <w:tcBorders>
              <w:top w:val="nil" w:sz="6" w:space="0" w:color="auto"/>
              <w:left w:val="single" w:sz="6" w:space="0" w:color="000000"/>
              <w:bottom w:val="single" w:sz="6" w:space="0" w:color="000000"/>
              <w:right w:val="single" w:sz="6" w:space="0" w:color="000000"/>
            </w:tcBorders>
            <w:shd w:val="clear" w:color="auto" w:fill="D2D2D2"/>
          </w:tcPr>
          <w:p>
            <w:pPr/>
          </w:p>
        </w:tc>
        <w:tc>
          <w:tcPr>
            <w:tcW w:w="568" w:type="dxa"/>
            <w:vMerge/>
            <w:tcBorders>
              <w:left w:val="single" w:sz="6" w:space="0" w:color="000000"/>
              <w:bottom w:val="single" w:sz="6" w:space="0" w:color="000000"/>
              <w:right w:val="single" w:sz="6" w:space="0" w:color="000000"/>
            </w:tcBorders>
            <w:shd w:val="clear" w:color="auto" w:fill="D2D2D2"/>
          </w:tcPr>
          <w:p>
            <w:pPr/>
          </w:p>
        </w:tc>
        <w:tc>
          <w:tcPr>
            <w:tcW w:w="709" w:type="dxa"/>
            <w:vMerge/>
            <w:tcBorders>
              <w:left w:val="single" w:sz="6" w:space="0" w:color="000000"/>
              <w:bottom w:val="single" w:sz="6" w:space="0" w:color="000000"/>
              <w:right w:val="single" w:sz="6" w:space="0" w:color="000000"/>
            </w:tcBorders>
            <w:shd w:val="clear" w:color="auto" w:fill="D2D2D2"/>
          </w:tcPr>
          <w:p>
            <w:pPr/>
          </w:p>
        </w:tc>
        <w:tc>
          <w:tcPr>
            <w:tcW w:w="425"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c>
          <w:tcPr>
            <w:tcW w:w="1560" w:type="dxa"/>
            <w:tcBorders>
              <w:top w:val="nil" w:sz="6" w:space="0" w:color="auto"/>
              <w:left w:val="single" w:sz="6" w:space="0" w:color="000000"/>
              <w:bottom w:val="single" w:sz="6" w:space="0" w:color="000000"/>
              <w:right w:val="single" w:sz="6" w:space="0" w:color="000000"/>
            </w:tcBorders>
            <w:shd w:val="clear" w:color="auto" w:fill="D2D2D2"/>
          </w:tcPr>
          <w:p>
            <w:pPr/>
          </w:p>
        </w:tc>
        <w:tc>
          <w:tcPr>
            <w:tcW w:w="1700"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94"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83"/>
              <w:jc w:val="left"/>
              <w:rPr>
                <w:rFonts w:ascii="宋体" w:hAnsi="宋体" w:cs="宋体" w:eastAsia="宋体" w:hint="default"/>
                <w:sz w:val="18"/>
                <w:szCs w:val="18"/>
              </w:rPr>
            </w:pPr>
            <w:r>
              <w:rPr>
                <w:rFonts w:ascii="宋体" w:hAnsi="宋体" w:cs="宋体" w:eastAsia="宋体" w:hint="default"/>
                <w:sz w:val="18"/>
                <w:szCs w:val="18"/>
              </w:rPr>
              <w:t>一、上年 期末余额</w:t>
            </w:r>
          </w:p>
        </w:tc>
        <w:tc>
          <w:tcPr>
            <w:tcW w:w="142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130,005,000.00</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363,528,902.61</w:t>
            </w:r>
          </w:p>
        </w:tc>
        <w:tc>
          <w:tcPr>
            <w:tcW w:w="568" w:type="dxa"/>
            <w:tcBorders>
              <w:top w:val="single" w:sz="51" w:space="0" w:color="D2D2D2"/>
              <w:left w:val="single" w:sz="6" w:space="0" w:color="000000"/>
              <w:bottom w:val="single" w:sz="6" w:space="0" w:color="000000"/>
              <w:right w:val="single" w:sz="6" w:space="0" w:color="000000"/>
            </w:tcBorders>
          </w:tcPr>
          <w:p>
            <w:pPr/>
          </w:p>
        </w:tc>
        <w:tc>
          <w:tcPr>
            <w:tcW w:w="709" w:type="dxa"/>
            <w:tcBorders>
              <w:top w:val="single" w:sz="51" w:space="0" w:color="D2D2D2"/>
              <w:left w:val="single" w:sz="6" w:space="0" w:color="000000"/>
              <w:bottom w:val="single" w:sz="6" w:space="0" w:color="000000"/>
              <w:right w:val="single" w:sz="6" w:space="0" w:color="000000"/>
            </w:tcBorders>
          </w:tcPr>
          <w:p>
            <w:pPr/>
          </w:p>
        </w:tc>
        <w:tc>
          <w:tcPr>
            <w:tcW w:w="425" w:type="dxa"/>
            <w:tcBorders>
              <w:top w:val="single" w:sz="51" w:space="0" w:color="D2D2D2"/>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17,728,817.66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120,558,358.81</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10"/>
              <w:jc w:val="right"/>
              <w:rPr>
                <w:rFonts w:ascii="宋体" w:hAnsi="宋体" w:cs="宋体" w:eastAsia="宋体" w:hint="default"/>
                <w:sz w:val="18"/>
                <w:szCs w:val="18"/>
              </w:rPr>
            </w:pPr>
            <w:r>
              <w:rPr>
                <w:rFonts w:ascii="宋体"/>
                <w:sz w:val="18"/>
              </w:rPr>
              <w:t>631,821,079.08</w:t>
            </w:r>
          </w:p>
        </w:tc>
      </w:tr>
      <w:tr>
        <w:trPr>
          <w:trHeight w:val="736"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6" w:right="83" w:firstLine="360"/>
              <w:jc w:val="both"/>
              <w:rPr>
                <w:rFonts w:ascii="宋体" w:hAnsi="宋体" w:cs="宋体" w:eastAsia="宋体" w:hint="default"/>
                <w:sz w:val="18"/>
                <w:szCs w:val="18"/>
              </w:rPr>
            </w:pPr>
            <w:r>
              <w:rPr>
                <w:rFonts w:ascii="宋体" w:hAnsi="宋体" w:cs="宋体" w:eastAsia="宋体" w:hint="default"/>
                <w:sz w:val="18"/>
                <w:szCs w:val="18"/>
              </w:rPr>
              <w:t>加： 会计政策 变更</w:t>
            </w:r>
          </w:p>
        </w:tc>
        <w:tc>
          <w:tcPr>
            <w:tcW w:w="1429" w:type="dxa"/>
            <w:tcBorders>
              <w:top w:val="single" w:sz="6" w:space="0" w:color="000000"/>
              <w:left w:val="single" w:sz="14" w:space="0" w:color="D2D2D2"/>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6" w:right="83"/>
              <w:jc w:val="left"/>
              <w:rPr>
                <w:rFonts w:ascii="宋体" w:hAnsi="宋体" w:cs="宋体" w:eastAsia="宋体" w:hint="default"/>
                <w:sz w:val="18"/>
                <w:szCs w:val="18"/>
              </w:rPr>
            </w:pPr>
            <w:r>
              <w:rPr>
                <w:rFonts w:ascii="宋体" w:hAnsi="宋体" w:cs="宋体" w:eastAsia="宋体" w:hint="default"/>
                <w:sz w:val="18"/>
                <w:szCs w:val="18"/>
              </w:rPr>
              <w:t>前期差错 更正</w:t>
            </w:r>
          </w:p>
        </w:tc>
        <w:tc>
          <w:tcPr>
            <w:tcW w:w="1429" w:type="dxa"/>
            <w:tcBorders>
              <w:top w:val="single" w:sz="6" w:space="0" w:color="000000"/>
              <w:left w:val="single" w:sz="14" w:space="0" w:color="D2D2D2"/>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496"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6" w:space="0" w:color="000000"/>
              <w:left w:val="single" w:sz="14" w:space="0" w:color="D2D2D2"/>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83"/>
              <w:jc w:val="left"/>
              <w:rPr>
                <w:rFonts w:ascii="宋体" w:hAnsi="宋体" w:cs="宋体" w:eastAsia="宋体" w:hint="default"/>
                <w:sz w:val="18"/>
                <w:szCs w:val="18"/>
              </w:rPr>
            </w:pPr>
            <w:r>
              <w:rPr>
                <w:rFonts w:ascii="宋体" w:hAnsi="宋体" w:cs="宋体" w:eastAsia="宋体" w:hint="default"/>
                <w:sz w:val="18"/>
                <w:szCs w:val="18"/>
              </w:rPr>
              <w:t>二、本年 期初余额</w:t>
            </w:r>
          </w:p>
        </w:tc>
        <w:tc>
          <w:tcPr>
            <w:tcW w:w="142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130,005,000.00</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363,528,902.61</w:t>
            </w: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17,728,817.66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120,558,358.81</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10"/>
              <w:jc w:val="right"/>
              <w:rPr>
                <w:rFonts w:ascii="宋体" w:hAnsi="宋体" w:cs="宋体" w:eastAsia="宋体" w:hint="default"/>
                <w:sz w:val="18"/>
                <w:szCs w:val="18"/>
              </w:rPr>
            </w:pPr>
            <w:r>
              <w:rPr>
                <w:rFonts w:ascii="宋体"/>
                <w:sz w:val="18"/>
              </w:rPr>
              <w:t>631,821,079.08</w:t>
            </w:r>
          </w:p>
        </w:tc>
      </w:tr>
      <w:tr>
        <w:trPr>
          <w:trHeight w:val="1456"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6" w:right="83"/>
              <w:jc w:val="left"/>
              <w:rPr>
                <w:rFonts w:ascii="宋体" w:hAnsi="宋体" w:cs="宋体" w:eastAsia="宋体" w:hint="default"/>
                <w:sz w:val="18"/>
                <w:szCs w:val="18"/>
              </w:rPr>
            </w:pPr>
            <w:r>
              <w:rPr>
                <w:rFonts w:ascii="宋体" w:hAnsi="宋体" w:cs="宋体" w:eastAsia="宋体" w:hint="default"/>
                <w:sz w:val="18"/>
                <w:szCs w:val="18"/>
              </w:rPr>
              <w:t>三、本期 增减变动 金额（减 少以 “－”号 填列）</w:t>
            </w:r>
          </w:p>
        </w:tc>
        <w:tc>
          <w:tcPr>
            <w:tcW w:w="142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31,216,848.00</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555,710,128.16</w:t>
            </w: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2,694,609.04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11,250,981.37</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
              <w:jc w:val="right"/>
              <w:rPr>
                <w:rFonts w:ascii="宋体" w:hAnsi="宋体" w:cs="宋体" w:eastAsia="宋体" w:hint="default"/>
                <w:sz w:val="18"/>
                <w:szCs w:val="18"/>
              </w:rPr>
            </w:pPr>
            <w:r>
              <w:rPr>
                <w:rFonts w:ascii="宋体"/>
                <w:sz w:val="18"/>
              </w:rPr>
              <w:t>600,872,566.57</w:t>
            </w:r>
          </w:p>
        </w:tc>
      </w:tr>
      <w:tr>
        <w:trPr>
          <w:trHeight w:val="734"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83"/>
              <w:jc w:val="both"/>
              <w:rPr>
                <w:rFonts w:ascii="宋体" w:hAnsi="宋体" w:cs="宋体" w:eastAsia="宋体" w:hint="default"/>
                <w:sz w:val="18"/>
                <w:szCs w:val="18"/>
              </w:rPr>
            </w:pPr>
            <w:r>
              <w:rPr>
                <w:rFonts w:ascii="宋体" w:hAnsi="宋体" w:cs="宋体" w:eastAsia="宋体" w:hint="default"/>
                <w:sz w:val="18"/>
                <w:szCs w:val="18"/>
              </w:rPr>
              <w:t>（一）综 合收益总 额</w:t>
            </w:r>
          </w:p>
        </w:tc>
        <w:tc>
          <w:tcPr>
            <w:tcW w:w="1429" w:type="dxa"/>
            <w:tcBorders>
              <w:top w:val="single" w:sz="6" w:space="0" w:color="000000"/>
              <w:left w:val="single" w:sz="14" w:space="0" w:color="D2D2D2"/>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26,946,090.41</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
              <w:jc w:val="right"/>
              <w:rPr>
                <w:rFonts w:ascii="宋体" w:hAnsi="宋体" w:cs="宋体" w:eastAsia="宋体" w:hint="default"/>
                <w:sz w:val="18"/>
                <w:szCs w:val="18"/>
              </w:rPr>
            </w:pPr>
            <w:r>
              <w:rPr>
                <w:rFonts w:ascii="宋体"/>
                <w:sz w:val="18"/>
              </w:rPr>
              <w:t>26,946,090.41</w:t>
            </w:r>
          </w:p>
        </w:tc>
      </w:tr>
      <w:tr>
        <w:trPr>
          <w:trHeight w:val="976"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6" w:right="83"/>
              <w:jc w:val="both"/>
              <w:rPr>
                <w:rFonts w:ascii="宋体" w:hAnsi="宋体" w:cs="宋体" w:eastAsia="宋体" w:hint="default"/>
                <w:sz w:val="18"/>
                <w:szCs w:val="18"/>
              </w:rPr>
            </w:pPr>
            <w:r>
              <w:rPr>
                <w:rFonts w:ascii="宋体" w:hAnsi="宋体" w:cs="宋体" w:eastAsia="宋体" w:hint="default"/>
                <w:sz w:val="18"/>
                <w:szCs w:val="18"/>
              </w:rPr>
              <w:t>（二）所 有者投入 和减少资 本</w:t>
            </w:r>
          </w:p>
        </w:tc>
        <w:tc>
          <w:tcPr>
            <w:tcW w:w="142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31,216,848.00</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555,710,128.16</w:t>
            </w: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
              <w:jc w:val="right"/>
              <w:rPr>
                <w:rFonts w:ascii="宋体" w:hAnsi="宋体" w:cs="宋体" w:eastAsia="宋体" w:hint="default"/>
                <w:sz w:val="18"/>
                <w:szCs w:val="18"/>
              </w:rPr>
            </w:pPr>
            <w:r>
              <w:rPr>
                <w:rFonts w:ascii="宋体"/>
                <w:sz w:val="18"/>
              </w:rPr>
              <w:t>586,926,976.16</w:t>
            </w:r>
          </w:p>
        </w:tc>
      </w:tr>
      <w:tr>
        <w:trPr>
          <w:trHeight w:val="734"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．股东投</w:t>
            </w:r>
            <w:r>
              <w:rPr>
                <w:rFonts w:ascii="宋体" w:hAnsi="宋体" w:cs="宋体" w:eastAsia="宋体" w:hint="default"/>
                <w:sz w:val="18"/>
                <w:szCs w:val="18"/>
              </w:rPr>
              <w:t> 入的普通 股</w:t>
            </w:r>
          </w:p>
        </w:tc>
        <w:tc>
          <w:tcPr>
            <w:tcW w:w="142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31,216,848.00</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555,710,128.16</w:t>
            </w: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
              <w:jc w:val="right"/>
              <w:rPr>
                <w:rFonts w:ascii="宋体" w:hAnsi="宋体" w:cs="宋体" w:eastAsia="宋体" w:hint="default"/>
                <w:sz w:val="18"/>
                <w:szCs w:val="18"/>
              </w:rPr>
            </w:pPr>
            <w:r>
              <w:rPr>
                <w:rFonts w:ascii="宋体"/>
                <w:sz w:val="18"/>
              </w:rPr>
              <w:t>586,926,976.16</w:t>
            </w:r>
          </w:p>
        </w:tc>
      </w:tr>
      <w:tr>
        <w:trPr>
          <w:trHeight w:val="976"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6" w:right="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w:t>
            </w:r>
            <w:r>
              <w:rPr>
                <w:rFonts w:ascii="宋体" w:hAnsi="宋体" w:cs="宋体" w:eastAsia="宋体" w:hint="default"/>
                <w:sz w:val="18"/>
                <w:szCs w:val="18"/>
              </w:rPr>
              <w:t> 益工具持 有者投入 资本</w:t>
            </w:r>
          </w:p>
        </w:tc>
        <w:tc>
          <w:tcPr>
            <w:tcW w:w="1429" w:type="dxa"/>
            <w:tcBorders>
              <w:top w:val="single" w:sz="6" w:space="0" w:color="000000"/>
              <w:left w:val="single" w:sz="14" w:space="0" w:color="D2D2D2"/>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974"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8"/>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w:t>
            </w:r>
            <w:r>
              <w:rPr>
                <w:rFonts w:ascii="宋体" w:hAnsi="宋体" w:cs="宋体" w:eastAsia="宋体" w:hint="default"/>
                <w:sz w:val="18"/>
                <w:szCs w:val="18"/>
              </w:rPr>
              <w:t> 付计入所 有者权益 的金额</w:t>
            </w:r>
          </w:p>
        </w:tc>
        <w:tc>
          <w:tcPr>
            <w:tcW w:w="1429" w:type="dxa"/>
            <w:tcBorders>
              <w:top w:val="single" w:sz="6" w:space="0" w:color="000000"/>
              <w:left w:val="single" w:sz="14" w:space="0" w:color="D2D2D2"/>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256"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19" w:lineRule="exact"/>
              <w:ind w:left="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29" w:type="dxa"/>
            <w:tcBorders>
              <w:top w:val="single" w:sz="6" w:space="0" w:color="000000"/>
              <w:left w:val="single" w:sz="14" w:space="0" w:color="D2D2D2"/>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83"/>
              <w:jc w:val="left"/>
              <w:rPr>
                <w:rFonts w:ascii="宋体" w:hAnsi="宋体" w:cs="宋体" w:eastAsia="宋体" w:hint="default"/>
                <w:sz w:val="18"/>
                <w:szCs w:val="18"/>
              </w:rPr>
            </w:pPr>
            <w:r>
              <w:rPr>
                <w:rFonts w:ascii="宋体" w:hAnsi="宋体" w:cs="宋体" w:eastAsia="宋体" w:hint="default"/>
                <w:sz w:val="18"/>
                <w:szCs w:val="18"/>
              </w:rPr>
              <w:t>（三）利 润分配</w:t>
            </w:r>
          </w:p>
        </w:tc>
        <w:tc>
          <w:tcPr>
            <w:tcW w:w="1429" w:type="dxa"/>
            <w:tcBorders>
              <w:top w:val="single" w:sz="6" w:space="0" w:color="000000"/>
              <w:left w:val="single" w:sz="14" w:space="0" w:color="D2D2D2"/>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2,694,609.04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
              <w:jc w:val="right"/>
              <w:rPr>
                <w:rFonts w:ascii="宋体" w:hAnsi="宋体" w:cs="宋体" w:eastAsia="宋体" w:hint="default"/>
                <w:sz w:val="18"/>
                <w:szCs w:val="18"/>
              </w:rPr>
            </w:pPr>
            <w:r>
              <w:rPr>
                <w:rFonts w:ascii="宋体"/>
                <w:sz w:val="18"/>
              </w:rPr>
              <w:t>-15,695,109.04</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11"/>
              <w:jc w:val="right"/>
              <w:rPr>
                <w:rFonts w:ascii="宋体" w:hAnsi="宋体" w:cs="宋体" w:eastAsia="宋体" w:hint="default"/>
                <w:sz w:val="18"/>
                <w:szCs w:val="18"/>
              </w:rPr>
            </w:pPr>
            <w:r>
              <w:rPr>
                <w:rFonts w:ascii="宋体"/>
                <w:sz w:val="18"/>
              </w:rPr>
              <w:t>-13,000,500.00</w:t>
            </w:r>
          </w:p>
        </w:tc>
      </w:tr>
      <w:tr>
        <w:trPr>
          <w:trHeight w:val="496"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6" w:right="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．提取盈</w:t>
            </w:r>
            <w:r>
              <w:rPr>
                <w:rFonts w:ascii="宋体" w:hAnsi="宋体" w:cs="宋体" w:eastAsia="宋体" w:hint="default"/>
                <w:sz w:val="18"/>
                <w:szCs w:val="18"/>
              </w:rPr>
              <w:t> 余公积</w:t>
            </w:r>
          </w:p>
        </w:tc>
        <w:tc>
          <w:tcPr>
            <w:tcW w:w="1429" w:type="dxa"/>
            <w:tcBorders>
              <w:top w:val="single" w:sz="6" w:space="0" w:color="000000"/>
              <w:left w:val="single" w:sz="14" w:space="0" w:color="D2D2D2"/>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8"/>
              <w:jc w:val="right"/>
              <w:rPr>
                <w:rFonts w:ascii="宋体" w:hAnsi="宋体" w:cs="宋体" w:eastAsia="宋体" w:hint="default"/>
                <w:sz w:val="18"/>
                <w:szCs w:val="18"/>
              </w:rPr>
            </w:pPr>
            <w:r>
              <w:rPr>
                <w:rFonts w:ascii="宋体"/>
                <w:sz w:val="18"/>
              </w:rPr>
              <w:t>2,694,609.04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8"/>
              <w:jc w:val="right"/>
              <w:rPr>
                <w:rFonts w:ascii="宋体" w:hAnsi="宋体" w:cs="宋体" w:eastAsia="宋体" w:hint="default"/>
                <w:sz w:val="18"/>
                <w:szCs w:val="18"/>
              </w:rPr>
            </w:pPr>
            <w:r>
              <w:rPr>
                <w:rFonts w:ascii="宋体"/>
                <w:sz w:val="18"/>
              </w:rPr>
              <w:t>-2,694,609.04</w:t>
            </w: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975"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．对所有</w:t>
            </w:r>
            <w:r>
              <w:rPr>
                <w:rFonts w:ascii="宋体" w:hAnsi="宋体" w:cs="宋体" w:eastAsia="宋体" w:hint="default"/>
                <w:sz w:val="18"/>
                <w:szCs w:val="18"/>
              </w:rPr>
              <w:t> 者（或股 东）的分</w:t>
            </w:r>
          </w:p>
          <w:p>
            <w:pPr>
              <w:pStyle w:val="TableParagraph"/>
              <w:spacing w:line="218" w:lineRule="exact"/>
              <w:ind w:left="6"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429" w:type="dxa"/>
            <w:tcBorders>
              <w:top w:val="single" w:sz="6" w:space="0" w:color="000000"/>
              <w:left w:val="single" w:sz="14" w:space="0" w:color="D2D2D2"/>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-13,000,500.00</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
              <w:jc w:val="right"/>
              <w:rPr>
                <w:rFonts w:ascii="宋体" w:hAnsi="宋体" w:cs="宋体" w:eastAsia="宋体" w:hint="default"/>
                <w:sz w:val="18"/>
                <w:szCs w:val="18"/>
              </w:rPr>
            </w:pPr>
            <w:r>
              <w:rPr>
                <w:rFonts w:ascii="宋体"/>
                <w:sz w:val="18"/>
              </w:rPr>
              <w:t>-13,000,500.00</w:t>
            </w:r>
          </w:p>
        </w:tc>
      </w:tr>
      <w:tr>
        <w:trPr>
          <w:trHeight w:val="256"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19" w:lineRule="exact"/>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29" w:type="dxa"/>
            <w:tcBorders>
              <w:top w:val="single" w:sz="6" w:space="0" w:color="000000"/>
              <w:left w:val="single" w:sz="14" w:space="0" w:color="D2D2D2"/>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742" w:hRule="exact"/>
        </w:trPr>
        <w:tc>
          <w:tcPr>
            <w:tcW w:w="83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exact"/>
              <w:ind w:left="6" w:right="83"/>
              <w:jc w:val="both"/>
              <w:rPr>
                <w:rFonts w:ascii="宋体" w:hAnsi="宋体" w:cs="宋体" w:eastAsia="宋体" w:hint="default"/>
                <w:sz w:val="18"/>
                <w:szCs w:val="18"/>
              </w:rPr>
            </w:pPr>
            <w:r>
              <w:rPr>
                <w:rFonts w:ascii="宋体" w:hAnsi="宋体" w:cs="宋体" w:eastAsia="宋体" w:hint="default"/>
                <w:sz w:val="18"/>
                <w:szCs w:val="18"/>
              </w:rPr>
              <w:t>（四）所 有者权益 内部结转</w:t>
            </w:r>
          </w:p>
        </w:tc>
        <w:tc>
          <w:tcPr>
            <w:tcW w:w="1429" w:type="dxa"/>
            <w:tcBorders>
              <w:top w:val="single" w:sz="6" w:space="0" w:color="000000"/>
              <w:left w:val="single" w:sz="14" w:space="0" w:color="D2D2D2"/>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709"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
        </w:tc>
        <w:tc>
          <w:tcPr>
            <w:tcW w:w="1700"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302" w:type="dxa"/>
        <w:tblLayout w:type="fixed"/>
        <w:tblCellMar>
          <w:top w:w="0" w:type="dxa"/>
          <w:left w:w="0" w:type="dxa"/>
          <w:bottom w:w="0" w:type="dxa"/>
          <w:right w:w="0" w:type="dxa"/>
        </w:tblCellMar>
        <w:tblLook w:val="01E0"/>
      </w:tblPr>
      <w:tblGrid>
        <w:gridCol w:w="845"/>
        <w:gridCol w:w="1419"/>
        <w:gridCol w:w="566"/>
        <w:gridCol w:w="568"/>
        <w:gridCol w:w="283"/>
        <w:gridCol w:w="1418"/>
        <w:gridCol w:w="568"/>
        <w:gridCol w:w="709"/>
        <w:gridCol w:w="425"/>
        <w:gridCol w:w="1276"/>
        <w:gridCol w:w="1560"/>
        <w:gridCol w:w="1700"/>
      </w:tblGrid>
      <w:tr>
        <w:trPr>
          <w:trHeight w:val="982" w:hRule="exact"/>
        </w:trPr>
        <w:tc>
          <w:tcPr>
            <w:tcW w:w="84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w:t>
            </w:r>
            <w:r>
              <w:rPr>
                <w:rFonts w:ascii="宋体" w:hAnsi="宋体" w:cs="宋体" w:eastAsia="宋体" w:hint="default"/>
                <w:sz w:val="18"/>
                <w:szCs w:val="18"/>
              </w:rPr>
              <w:t> 积转增资 本（或股 本）</w:t>
            </w:r>
          </w:p>
        </w:tc>
        <w:tc>
          <w:tcPr>
            <w:tcW w:w="1419" w:type="dxa"/>
            <w:tcBorders>
              <w:top w:val="single" w:sz="12" w:space="0" w:color="000000"/>
              <w:left w:val="single" w:sz="6" w:space="0" w:color="000000"/>
              <w:bottom w:val="single" w:sz="6" w:space="0" w:color="000000"/>
              <w:right w:val="single" w:sz="6" w:space="0" w:color="000000"/>
            </w:tcBorders>
          </w:tcPr>
          <w:p>
            <w:pPr/>
          </w:p>
        </w:tc>
        <w:tc>
          <w:tcPr>
            <w:tcW w:w="566" w:type="dxa"/>
            <w:tcBorders>
              <w:top w:val="single" w:sz="12" w:space="0" w:color="000000"/>
              <w:left w:val="single" w:sz="6" w:space="0" w:color="000000"/>
              <w:bottom w:val="single" w:sz="6" w:space="0" w:color="000000"/>
              <w:right w:val="single" w:sz="6" w:space="0" w:color="000000"/>
            </w:tcBorders>
          </w:tcPr>
          <w:p>
            <w:pPr/>
          </w:p>
        </w:tc>
        <w:tc>
          <w:tcPr>
            <w:tcW w:w="568"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568" w:type="dxa"/>
            <w:tcBorders>
              <w:top w:val="single" w:sz="12" w:space="0" w:color="000000"/>
              <w:left w:val="single" w:sz="6" w:space="0" w:color="000000"/>
              <w:bottom w:val="single" w:sz="6" w:space="0" w:color="000000"/>
              <w:right w:val="single" w:sz="6" w:space="0" w:color="000000"/>
            </w:tcBorders>
          </w:tcPr>
          <w:p>
            <w:pPr/>
          </w:p>
        </w:tc>
        <w:tc>
          <w:tcPr>
            <w:tcW w:w="709"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1560" w:type="dxa"/>
            <w:tcBorders>
              <w:top w:val="single" w:sz="12" w:space="0" w:color="000000"/>
              <w:left w:val="single" w:sz="6" w:space="0" w:color="000000"/>
              <w:bottom w:val="single" w:sz="6" w:space="0" w:color="000000"/>
              <w:right w:val="single" w:sz="6" w:space="0" w:color="000000"/>
            </w:tcBorders>
          </w:tcPr>
          <w:p>
            <w:pPr/>
          </w:p>
        </w:tc>
        <w:tc>
          <w:tcPr>
            <w:tcW w:w="1700" w:type="dxa"/>
            <w:tcBorders>
              <w:top w:val="single" w:sz="12" w:space="0" w:color="000000"/>
              <w:left w:val="single" w:sz="6" w:space="0" w:color="000000"/>
              <w:bottom w:val="single" w:sz="6" w:space="0" w:color="000000"/>
              <w:right w:val="single" w:sz="12" w:space="0" w:color="000000"/>
            </w:tcBorders>
          </w:tcPr>
          <w:p>
            <w:pPr/>
          </w:p>
        </w:tc>
      </w:tr>
      <w:tr>
        <w:trPr>
          <w:trHeight w:val="976" w:hRule="exact"/>
        </w:trPr>
        <w:tc>
          <w:tcPr>
            <w:tcW w:w="8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6"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w:t>
            </w:r>
            <w:r>
              <w:rPr>
                <w:rFonts w:ascii="宋体" w:hAnsi="宋体" w:cs="宋体" w:eastAsia="宋体" w:hint="default"/>
                <w:sz w:val="18"/>
                <w:szCs w:val="18"/>
              </w:rPr>
              <w:t> 积转增资</w:t>
            </w:r>
          </w:p>
          <w:p>
            <w:pPr>
              <w:pStyle w:val="TableParagraph"/>
              <w:spacing w:line="240" w:lineRule="exact"/>
              <w:ind w:left="6" w:right="95"/>
              <w:jc w:val="left"/>
              <w:rPr>
                <w:rFonts w:ascii="宋体" w:hAnsi="宋体" w:cs="宋体" w:eastAsia="宋体" w:hint="default"/>
                <w:sz w:val="18"/>
                <w:szCs w:val="18"/>
              </w:rPr>
            </w:pPr>
            <w:r>
              <w:rPr>
                <w:rFonts w:ascii="宋体" w:hAnsi="宋体" w:cs="宋体" w:eastAsia="宋体" w:hint="default"/>
                <w:sz w:val="18"/>
                <w:szCs w:val="18"/>
              </w:rPr>
              <w:t>本（或股 本）</w:t>
            </w:r>
          </w:p>
        </w:tc>
        <w:tc>
          <w:tcPr>
            <w:tcW w:w="141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734" w:hRule="exact"/>
        </w:trPr>
        <w:tc>
          <w:tcPr>
            <w:tcW w:w="8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18"/>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．盈余公</w:t>
            </w:r>
            <w:r>
              <w:rPr>
                <w:rFonts w:ascii="宋体" w:hAnsi="宋体" w:cs="宋体" w:eastAsia="宋体" w:hint="default"/>
                <w:sz w:val="18"/>
                <w:szCs w:val="18"/>
              </w:rPr>
              <w:t> 积弥补亏 损</w:t>
            </w:r>
          </w:p>
        </w:tc>
        <w:tc>
          <w:tcPr>
            <w:tcW w:w="141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256" w:hRule="exact"/>
        </w:trPr>
        <w:tc>
          <w:tcPr>
            <w:tcW w:w="8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19" w:lineRule="exact"/>
              <w:ind w:left="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8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95"/>
              <w:jc w:val="left"/>
              <w:rPr>
                <w:rFonts w:ascii="宋体" w:hAnsi="宋体" w:cs="宋体" w:eastAsia="宋体" w:hint="default"/>
                <w:sz w:val="18"/>
                <w:szCs w:val="18"/>
              </w:rPr>
            </w:pPr>
            <w:r>
              <w:rPr>
                <w:rFonts w:ascii="宋体" w:hAnsi="宋体" w:cs="宋体" w:eastAsia="宋体" w:hint="default"/>
                <w:sz w:val="18"/>
                <w:szCs w:val="18"/>
              </w:rPr>
              <w:t>（五）专 项储备</w:t>
            </w:r>
          </w:p>
        </w:tc>
        <w:tc>
          <w:tcPr>
            <w:tcW w:w="141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496" w:hRule="exact"/>
        </w:trPr>
        <w:tc>
          <w:tcPr>
            <w:tcW w:w="8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6"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．本期提</w:t>
            </w:r>
            <w:r>
              <w:rPr>
                <w:rFonts w:ascii="宋体" w:hAnsi="宋体" w:cs="宋体" w:eastAsia="宋体" w:hint="default"/>
                <w:sz w:val="18"/>
                <w:szCs w:val="18"/>
              </w:rPr>
              <w:t> 取</w:t>
            </w:r>
          </w:p>
        </w:tc>
        <w:tc>
          <w:tcPr>
            <w:tcW w:w="141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8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．本期使</w:t>
            </w:r>
            <w:r>
              <w:rPr>
                <w:rFonts w:ascii="宋体" w:hAnsi="宋体" w:cs="宋体" w:eastAsia="宋体" w:hint="default"/>
                <w:sz w:val="18"/>
                <w:szCs w:val="18"/>
              </w:rPr>
              <w:t> 用</w:t>
            </w:r>
          </w:p>
        </w:tc>
        <w:tc>
          <w:tcPr>
            <w:tcW w:w="141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496" w:hRule="exact"/>
        </w:trPr>
        <w:tc>
          <w:tcPr>
            <w:tcW w:w="8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6" w:right="95"/>
              <w:jc w:val="left"/>
              <w:rPr>
                <w:rFonts w:ascii="宋体" w:hAnsi="宋体" w:cs="宋体" w:eastAsia="宋体" w:hint="default"/>
                <w:sz w:val="18"/>
                <w:szCs w:val="18"/>
              </w:rPr>
            </w:pPr>
            <w:r>
              <w:rPr>
                <w:rFonts w:ascii="宋体" w:hAnsi="宋体" w:cs="宋体" w:eastAsia="宋体" w:hint="default"/>
                <w:sz w:val="18"/>
                <w:szCs w:val="18"/>
              </w:rPr>
              <w:t>（六）其 他</w:t>
            </w:r>
          </w:p>
        </w:tc>
        <w:tc>
          <w:tcPr>
            <w:tcW w:w="141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502" w:hRule="exact"/>
        </w:trPr>
        <w:tc>
          <w:tcPr>
            <w:tcW w:w="84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exact"/>
              <w:ind w:left="6" w:right="95"/>
              <w:jc w:val="left"/>
              <w:rPr>
                <w:rFonts w:ascii="宋体" w:hAnsi="宋体" w:cs="宋体" w:eastAsia="宋体" w:hint="default"/>
                <w:sz w:val="18"/>
                <w:szCs w:val="18"/>
              </w:rPr>
            </w:pPr>
            <w:r>
              <w:rPr>
                <w:rFonts w:ascii="宋体" w:hAnsi="宋体" w:cs="宋体" w:eastAsia="宋体" w:hint="default"/>
                <w:sz w:val="18"/>
                <w:szCs w:val="18"/>
              </w:rPr>
              <w:t>四、本期 期末余额</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23" w:right="0"/>
              <w:jc w:val="left"/>
              <w:rPr>
                <w:rFonts w:ascii="宋体" w:hAnsi="宋体" w:cs="宋体" w:eastAsia="宋体" w:hint="default"/>
                <w:sz w:val="18"/>
                <w:szCs w:val="18"/>
              </w:rPr>
            </w:pPr>
            <w:r>
              <w:rPr>
                <w:rFonts w:ascii="宋体"/>
                <w:sz w:val="18"/>
              </w:rPr>
              <w:t>161,221,848.00</w:t>
            </w:r>
          </w:p>
        </w:tc>
        <w:tc>
          <w:tcPr>
            <w:tcW w:w="566"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sz w:val="18"/>
              </w:rPr>
              <w:t>919,239,030.77</w:t>
            </w:r>
          </w:p>
        </w:tc>
        <w:tc>
          <w:tcPr>
            <w:tcW w:w="568" w:type="dxa"/>
            <w:tcBorders>
              <w:top w:val="single" w:sz="6" w:space="0" w:color="000000"/>
              <w:left w:val="single" w:sz="6" w:space="0" w:color="000000"/>
              <w:bottom w:val="single" w:sz="12" w:space="0" w:color="000000"/>
              <w:right w:val="single" w:sz="6" w:space="0" w:color="000000"/>
            </w:tcBorders>
          </w:tcPr>
          <w:p>
            <w:pPr/>
          </w:p>
        </w:tc>
        <w:tc>
          <w:tcPr>
            <w:tcW w:w="709"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70" w:right="0"/>
              <w:jc w:val="left"/>
              <w:rPr>
                <w:rFonts w:ascii="宋体" w:hAnsi="宋体" w:cs="宋体" w:eastAsia="宋体" w:hint="default"/>
                <w:sz w:val="18"/>
                <w:szCs w:val="18"/>
              </w:rPr>
            </w:pPr>
            <w:r>
              <w:rPr>
                <w:rFonts w:ascii="宋体"/>
                <w:sz w:val="18"/>
              </w:rPr>
              <w:t>20,423,426.70</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265" w:right="0"/>
              <w:jc w:val="left"/>
              <w:rPr>
                <w:rFonts w:ascii="宋体" w:hAnsi="宋体" w:cs="宋体" w:eastAsia="宋体" w:hint="default"/>
                <w:sz w:val="18"/>
                <w:szCs w:val="18"/>
              </w:rPr>
            </w:pPr>
            <w:r>
              <w:rPr>
                <w:rFonts w:ascii="宋体"/>
                <w:sz w:val="18"/>
              </w:rPr>
              <w:t>131,809,340.18</w:t>
            </w:r>
          </w:p>
        </w:tc>
        <w:tc>
          <w:tcPr>
            <w:tcW w:w="17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1"/>
              <w:ind w:left="225" w:right="0"/>
              <w:jc w:val="left"/>
              <w:rPr>
                <w:rFonts w:ascii="宋体" w:hAnsi="宋体" w:cs="宋体" w:eastAsia="宋体" w:hint="default"/>
                <w:sz w:val="18"/>
                <w:szCs w:val="18"/>
              </w:rPr>
            </w:pPr>
            <w:r>
              <w:rPr>
                <w:rFonts w:ascii="宋体"/>
                <w:sz w:val="18"/>
              </w:rPr>
              <w:t>1,232,693,645.65</w:t>
            </w:r>
          </w:p>
        </w:tc>
      </w:tr>
    </w:tbl>
    <w:p>
      <w:pPr>
        <w:pStyle w:val="Heading2"/>
        <w:spacing w:line="240" w:lineRule="auto" w:before="40"/>
        <w:ind w:left="1134" w:right="0"/>
        <w:jc w:val="left"/>
        <w:rPr>
          <w:b w:val="0"/>
          <w:bCs w:val="0"/>
        </w:rPr>
      </w:pPr>
      <w:bookmarkStart w:name="三、公司基本情况" w:id="157"/>
      <w:bookmarkEnd w:id="157"/>
      <w:r>
        <w:rPr>
          <w:b w:val="0"/>
          <w:bCs w:val="0"/>
        </w:rPr>
      </w:r>
      <w:r>
        <w:rPr/>
        <w:t>三、公司基本情况</w:t>
      </w:r>
      <w:r>
        <w:rPr>
          <w:b w:val="0"/>
          <w:bCs w:val="0"/>
        </w:rPr>
      </w:r>
    </w:p>
    <w:p>
      <w:pPr>
        <w:pStyle w:val="BodyText"/>
        <w:spacing w:line="408" w:lineRule="auto" w:before="177"/>
        <w:ind w:right="1110" w:firstLine="420"/>
        <w:jc w:val="both"/>
      </w:pPr>
      <w:r>
        <w:rPr/>
        <w:t>光一科技股份有限公司</w:t>
      </w:r>
      <w:r>
        <w:rPr>
          <w:rFonts w:ascii="宋体" w:hAnsi="宋体" w:cs="宋体" w:eastAsia="宋体" w:hint="default"/>
        </w:rPr>
        <w:t>(</w:t>
      </w:r>
      <w:r>
        <w:rPr/>
        <w:t>以下简称“本公司”)为境内公开发行</w:t>
      </w:r>
      <w:r>
        <w:rPr>
          <w:rFonts w:ascii="宋体" w:hAnsi="宋体" w:cs="宋体" w:eastAsia="宋体" w:hint="default"/>
        </w:rPr>
        <w:t>A</w:t>
      </w:r>
      <w:r>
        <w:rPr/>
        <w:t>股股票并在深圳证券交易所上市的股 </w:t>
      </w:r>
      <w:r>
        <w:rPr>
          <w:spacing w:val="-1"/>
        </w:rPr>
        <w:t>份有限公司。本公司于</w:t>
      </w:r>
      <w:r>
        <w:rPr>
          <w:rFonts w:ascii="宋体" w:hAnsi="宋体" w:cs="宋体" w:eastAsia="宋体" w:hint="default"/>
          <w:spacing w:val="-1"/>
        </w:rPr>
        <w:t>2009</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11</w:t>
      </w:r>
      <w:r>
        <w:rPr>
          <w:spacing w:val="-1"/>
        </w:rPr>
        <w:t>日经批准由江苏光一科技有限责任公司改制成为股份有限公司，持有</w:t>
      </w:r>
      <w:r>
        <w:rPr>
          <w:spacing w:val="-80"/>
        </w:rPr>
        <w:t> </w:t>
      </w:r>
      <w:r>
        <w:rPr>
          <w:spacing w:val="-80"/>
        </w:rPr>
      </w:r>
      <w:r>
        <w:rPr/>
        <w:t>江苏省南京市工商行政管理局核发的注册号</w:t>
      </w:r>
      <w:r>
        <w:rPr>
          <w:rFonts w:ascii="宋体" w:hAnsi="宋体" w:cs="宋体" w:eastAsia="宋体" w:hint="default"/>
        </w:rPr>
        <w:t>320121000030643</w:t>
      </w:r>
      <w:r>
        <w:rPr/>
        <w:t>号《企业法人营业执照》，注册资本为人民</w:t>
      </w:r>
      <w:r>
        <w:rPr>
          <w:spacing w:val="-31"/>
        </w:rPr>
        <w:t> </w:t>
      </w:r>
      <w:r>
        <w:rPr>
          <w:spacing w:val="-31"/>
        </w:rPr>
      </w:r>
      <w:r>
        <w:rPr/>
        <w:t>币</w:t>
      </w:r>
      <w:r>
        <w:rPr>
          <w:rFonts w:ascii="宋体" w:hAnsi="宋体" w:cs="宋体" w:eastAsia="宋体" w:hint="default"/>
        </w:rPr>
        <w:t>16,122.1848</w:t>
      </w:r>
      <w:r>
        <w:rPr/>
        <w:t>万元，注册地址为南京市江宁经济技术开发区胜太路</w:t>
      </w:r>
      <w:r>
        <w:rPr>
          <w:rFonts w:ascii="宋体" w:hAnsi="宋体" w:cs="宋体" w:eastAsia="宋体" w:hint="default"/>
        </w:rPr>
        <w:t>88</w:t>
      </w:r>
      <w:r>
        <w:rPr/>
        <w:t>号。本公司经营范围为电力设备、</w:t>
      </w:r>
      <w:r>
        <w:rPr>
          <w:spacing w:val="-29"/>
        </w:rPr>
        <w:t> </w:t>
      </w:r>
      <w:r>
        <w:rPr>
          <w:spacing w:val="-29"/>
        </w:rPr>
      </w:r>
      <w:r>
        <w:rPr>
          <w:spacing w:val="-1"/>
        </w:rPr>
        <w:t>仪器仪表、计算机软硬件的开发、设计、制造、销售及服务；信息系统设计、销售、施工、服务及技术咨</w:t>
      </w:r>
      <w:r>
        <w:rPr>
          <w:spacing w:val="-84"/>
        </w:rPr>
        <w:t> </w:t>
      </w:r>
      <w:r>
        <w:rPr>
          <w:spacing w:val="-84"/>
        </w:rPr>
      </w:r>
      <w:r>
        <w:rPr>
          <w:spacing w:val="-1"/>
        </w:rPr>
        <w:t>询；电子设备与器件、通信产品（不含地面卫星接收设备）的销售、服务及技术咨询；实业投资；电力工</w:t>
      </w:r>
      <w:r>
        <w:rPr>
          <w:spacing w:val="-85"/>
        </w:rPr>
        <w:t> </w:t>
      </w:r>
      <w:r>
        <w:rPr>
          <w:spacing w:val="-85"/>
        </w:rPr>
      </w:r>
      <w:r>
        <w:rPr/>
        <w:t>程、建筑工程承包。输变电工程、电气工程、机电设备安装的施工及承包；承装、承修、承试电力设施。</w:t>
      </w:r>
    </w:p>
    <w:p>
      <w:pPr>
        <w:pStyle w:val="BodyText"/>
        <w:spacing w:line="408" w:lineRule="auto" w:before="46"/>
        <w:ind w:right="1018" w:firstLine="420"/>
        <w:jc w:val="left"/>
      </w:pPr>
      <w:r>
        <w:rPr>
          <w:spacing w:val="-3"/>
        </w:rPr>
        <w:t>本年度合并财务报表范围为本公司及子公司，具体详见“本附注八、合并范围的变更”和“本附注九、</w:t>
      </w:r>
      <w:r>
        <w:rPr/>
        <w:t> 在其他主体中权益的披露”。</w:t>
      </w:r>
    </w:p>
    <w:p>
      <w:pPr>
        <w:pStyle w:val="Heading2"/>
        <w:spacing w:line="240" w:lineRule="auto" w:before="23"/>
        <w:ind w:right="0"/>
        <w:jc w:val="left"/>
        <w:rPr>
          <w:b w:val="0"/>
          <w:bCs w:val="0"/>
        </w:rPr>
      </w:pPr>
      <w:bookmarkStart w:name="四、财务报表的编制基础" w:id="158"/>
      <w:bookmarkEnd w:id="158"/>
      <w:r>
        <w:rPr>
          <w:b w:val="0"/>
          <w:bCs w:val="0"/>
        </w:rPr>
      </w:r>
      <w:r>
        <w:rPr/>
        <w:t>四、财务报表的编制基础</w:t>
      </w:r>
      <w:r>
        <w:rPr>
          <w:b w:val="0"/>
          <w:bCs w:val="0"/>
        </w:rPr>
      </w:r>
    </w:p>
    <w:p>
      <w:pPr>
        <w:spacing w:before="186"/>
        <w:ind w:left="1133" w:right="0" w:firstLine="0"/>
        <w:jc w:val="left"/>
        <w:rPr>
          <w:rFonts w:ascii="宋体" w:hAnsi="宋体" w:cs="宋体" w:eastAsia="宋体" w:hint="default"/>
          <w:sz w:val="20"/>
          <w:szCs w:val="20"/>
        </w:rPr>
      </w:pPr>
      <w:bookmarkStart w:name="1、编制基础" w:id="159"/>
      <w:bookmarkEnd w:id="159"/>
      <w:r>
        <w:rPr/>
      </w:r>
      <w:r>
        <w:rPr>
          <w:rFonts w:ascii="宋体" w:hAnsi="宋体" w:cs="宋体" w:eastAsia="宋体" w:hint="default"/>
          <w:b/>
          <w:bCs/>
          <w:sz w:val="20"/>
          <w:szCs w:val="20"/>
        </w:rPr>
        <w:t>1</w:t>
      </w:r>
      <w:r>
        <w:rPr>
          <w:rFonts w:ascii="宋体" w:hAnsi="宋体" w:cs="宋体" w:eastAsia="宋体" w:hint="default"/>
          <w:b/>
          <w:bCs/>
          <w:sz w:val="20"/>
          <w:szCs w:val="20"/>
        </w:rPr>
        <w:t>、编制基础</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right="1132" w:firstLine="420"/>
        <w:jc w:val="both"/>
      </w:pPr>
      <w:r>
        <w:rPr>
          <w:spacing w:val="-1"/>
        </w:rPr>
        <w:t>本公司以持续经营为基础，根据实际发生的交易和事项，按照《企业会计准则—基本准则》和其他各</w:t>
      </w:r>
      <w:r>
        <w:rPr/>
        <w:t> 项会计准则的规定进行确认和计量，在此基础上编制财务报表。</w:t>
      </w:r>
    </w:p>
    <w:p>
      <w:pPr>
        <w:spacing w:before="55"/>
        <w:ind w:left="1133" w:right="0" w:firstLine="0"/>
        <w:jc w:val="left"/>
        <w:rPr>
          <w:rFonts w:ascii="宋体" w:hAnsi="宋体" w:cs="宋体" w:eastAsia="宋体" w:hint="default"/>
          <w:sz w:val="20"/>
          <w:szCs w:val="20"/>
        </w:rPr>
      </w:pPr>
      <w:bookmarkStart w:name="2、持续经营" w:id="160"/>
      <w:bookmarkEnd w:id="160"/>
      <w:r>
        <w:rPr/>
      </w:r>
      <w:r>
        <w:rPr>
          <w:rFonts w:ascii="宋体" w:hAnsi="宋体" w:cs="宋体" w:eastAsia="宋体" w:hint="default"/>
          <w:b/>
          <w:bCs/>
          <w:sz w:val="20"/>
          <w:szCs w:val="20"/>
        </w:rPr>
        <w:t>2</w:t>
      </w:r>
      <w:r>
        <w:rPr>
          <w:rFonts w:ascii="宋体" w:hAnsi="宋体" w:cs="宋体" w:eastAsia="宋体" w:hint="default"/>
          <w:b/>
          <w:bCs/>
          <w:sz w:val="20"/>
          <w:szCs w:val="20"/>
        </w:rPr>
        <w:t>、持续经营</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right="1132" w:firstLine="420"/>
        <w:jc w:val="both"/>
      </w:pPr>
      <w:r>
        <w:rPr>
          <w:spacing w:val="-1"/>
        </w:rPr>
        <w:t>经本公司评估，自本报告期末起的</w:t>
      </w:r>
      <w:r>
        <w:rPr>
          <w:rFonts w:ascii="宋体" w:hAnsi="宋体" w:cs="宋体" w:eastAsia="宋体" w:hint="default"/>
          <w:spacing w:val="-1"/>
        </w:rPr>
        <w:t>12</w:t>
      </w:r>
      <w:r>
        <w:rPr>
          <w:spacing w:val="-1"/>
        </w:rPr>
        <w:t>个月内，本公司持续经营能力良好，不存在导致对本公司持续经</w:t>
      </w:r>
      <w:r>
        <w:rPr/>
        <w:t> 营能力产生重大怀疑的因素。</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pStyle w:val="Heading2"/>
        <w:spacing w:line="240" w:lineRule="auto" w:before="161"/>
        <w:ind w:right="0"/>
        <w:jc w:val="both"/>
        <w:rPr>
          <w:b w:val="0"/>
          <w:bCs w:val="0"/>
        </w:rPr>
      </w:pPr>
      <w:bookmarkStart w:name="五、重要会计政策及会计估计" w:id="161"/>
      <w:bookmarkEnd w:id="161"/>
      <w:r>
        <w:rPr>
          <w:b w:val="0"/>
          <w:bCs w:val="0"/>
        </w:rPr>
      </w:r>
      <w:r>
        <w:rPr/>
        <w:t>五、重要会计政策及会计估计</w:t>
      </w:r>
      <w:r>
        <w:rPr>
          <w:b w:val="0"/>
          <w:bCs w:val="0"/>
        </w:rPr>
      </w:r>
    </w:p>
    <w:p>
      <w:pPr>
        <w:pStyle w:val="BodyText"/>
        <w:spacing w:line="408" w:lineRule="auto" w:before="177"/>
        <w:ind w:left="1553" w:right="0"/>
        <w:jc w:val="left"/>
      </w:pPr>
      <w:r>
        <w:rPr/>
        <w:t>具体会计政策和会计估计提示： </w:t>
      </w:r>
      <w:r>
        <w:rPr>
          <w:spacing w:val="-1"/>
        </w:rPr>
        <w:t>本公司根据实际生产经营特点，依据相关企业会计准则的规定，对应收款项坏帐准备计提、固定资产</w:t>
      </w:r>
    </w:p>
    <w:p>
      <w:pPr>
        <w:pStyle w:val="BodyText"/>
        <w:spacing w:line="408" w:lineRule="auto" w:before="46"/>
        <w:ind w:right="0"/>
        <w:jc w:val="left"/>
      </w:pPr>
      <w:r>
        <w:rPr>
          <w:spacing w:val="-1"/>
        </w:rPr>
        <w:t>折旧、无形资产摊销、存货跌价准备、收入确认等交易或事项制定了具体会计政策和会计估计，请参阅本</w:t>
      </w:r>
      <w:r>
        <w:rPr>
          <w:spacing w:val="-86"/>
        </w:rPr>
        <w:t> </w:t>
      </w:r>
      <w:r>
        <w:rPr>
          <w:spacing w:val="-86"/>
        </w:rPr>
      </w:r>
      <w:r>
        <w:rPr/>
        <w:t>节重要会计政策及会计估计中的各项具体描述。</w:t>
      </w:r>
    </w:p>
    <w:p>
      <w:pPr>
        <w:spacing w:before="55"/>
        <w:ind w:left="1133" w:right="0" w:firstLine="0"/>
        <w:jc w:val="both"/>
        <w:rPr>
          <w:rFonts w:ascii="宋体" w:hAnsi="宋体" w:cs="宋体" w:eastAsia="宋体" w:hint="default"/>
          <w:sz w:val="20"/>
          <w:szCs w:val="20"/>
        </w:rPr>
      </w:pPr>
      <w:bookmarkStart w:name="1、遵循企业会计准则的声明" w:id="162"/>
      <w:bookmarkEnd w:id="162"/>
      <w:r>
        <w:rPr/>
      </w:r>
      <w:r>
        <w:rPr>
          <w:rFonts w:ascii="宋体" w:hAnsi="宋体" w:cs="宋体" w:eastAsia="宋体" w:hint="default"/>
          <w:b/>
          <w:bCs/>
          <w:sz w:val="20"/>
          <w:szCs w:val="20"/>
        </w:rPr>
        <w:t>1</w:t>
      </w:r>
      <w:r>
        <w:rPr>
          <w:rFonts w:ascii="宋体" w:hAnsi="宋体" w:cs="宋体" w:eastAsia="宋体" w:hint="default"/>
          <w:b/>
          <w:bCs/>
          <w:sz w:val="20"/>
          <w:szCs w:val="20"/>
        </w:rPr>
        <w:t>、遵循企业会计准则的声明</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right="1131" w:firstLine="420"/>
        <w:jc w:val="both"/>
      </w:pPr>
      <w:r>
        <w:rPr>
          <w:spacing w:val="-1"/>
        </w:rPr>
        <w:t>本公司所编制的财务报表符合企业会计准则的要求，真实、完整地反映了本公司的财务状况、经营成</w:t>
      </w:r>
      <w:r>
        <w:rPr/>
        <w:t> 果、所有者权益变动和现金流量等有关信息。</w:t>
      </w:r>
    </w:p>
    <w:p>
      <w:pPr>
        <w:spacing w:before="55"/>
        <w:ind w:left="1133" w:right="0" w:firstLine="0"/>
        <w:jc w:val="both"/>
        <w:rPr>
          <w:rFonts w:ascii="宋体" w:hAnsi="宋体" w:cs="宋体" w:eastAsia="宋体" w:hint="default"/>
          <w:sz w:val="20"/>
          <w:szCs w:val="20"/>
        </w:rPr>
      </w:pPr>
      <w:bookmarkStart w:name="2、会计期间" w:id="163"/>
      <w:bookmarkEnd w:id="163"/>
      <w:r>
        <w:rPr/>
      </w:r>
      <w:r>
        <w:rPr>
          <w:rFonts w:ascii="宋体" w:hAnsi="宋体" w:cs="宋体" w:eastAsia="宋体" w:hint="default"/>
          <w:b/>
          <w:bCs/>
          <w:sz w:val="20"/>
          <w:szCs w:val="20"/>
        </w:rPr>
        <w:t>2</w:t>
      </w:r>
      <w:r>
        <w:rPr>
          <w:rFonts w:ascii="宋体" w:hAnsi="宋体" w:cs="宋体" w:eastAsia="宋体" w:hint="default"/>
          <w:b/>
          <w:bCs/>
          <w:sz w:val="20"/>
          <w:szCs w:val="20"/>
        </w:rPr>
        <w:t>、会计期间</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553" w:right="0"/>
        <w:jc w:val="left"/>
      </w:pPr>
      <w:r>
        <w:rPr/>
        <w:t>会计期间自公历</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6"/>
        <w:rPr>
          <w:rFonts w:ascii="宋体" w:hAnsi="宋体" w:cs="宋体" w:eastAsia="宋体" w:hint="default"/>
          <w:sz w:val="15"/>
          <w:szCs w:val="15"/>
        </w:rPr>
      </w:pPr>
    </w:p>
    <w:p>
      <w:pPr>
        <w:spacing w:before="0"/>
        <w:ind w:left="1134" w:right="0" w:firstLine="0"/>
        <w:jc w:val="both"/>
        <w:rPr>
          <w:rFonts w:ascii="宋体" w:hAnsi="宋体" w:cs="宋体" w:eastAsia="宋体" w:hint="default"/>
          <w:sz w:val="20"/>
          <w:szCs w:val="20"/>
        </w:rPr>
      </w:pPr>
      <w:bookmarkStart w:name="3、营业周期" w:id="164"/>
      <w:bookmarkEnd w:id="164"/>
      <w:r>
        <w:rPr/>
      </w:r>
      <w:r>
        <w:rPr>
          <w:rFonts w:ascii="宋体" w:hAnsi="宋体" w:cs="宋体" w:eastAsia="宋体" w:hint="default"/>
          <w:b/>
          <w:bCs/>
          <w:sz w:val="20"/>
          <w:szCs w:val="20"/>
        </w:rPr>
        <w:t>3</w:t>
      </w:r>
      <w:r>
        <w:rPr>
          <w:rFonts w:ascii="宋体" w:hAnsi="宋体" w:cs="宋体" w:eastAsia="宋体" w:hint="default"/>
          <w:b/>
          <w:bCs/>
          <w:sz w:val="20"/>
          <w:szCs w:val="20"/>
        </w:rPr>
        <w:t>、营业周期</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134" w:right="1130" w:firstLine="420"/>
        <w:jc w:val="both"/>
      </w:pPr>
      <w:r>
        <w:rPr/>
        <w:t>营业周期是指本公司从购买用于加工的资产起至实现现金或现金等价物的期间。本公司以 </w:t>
      </w:r>
      <w:r>
        <w:rPr>
          <w:rFonts w:ascii="宋体" w:hAnsi="宋体" w:cs="宋体" w:eastAsia="宋体" w:hint="default"/>
        </w:rPr>
        <w:t>12</w:t>
      </w:r>
      <w:r>
        <w:rPr>
          <w:rFonts w:ascii="宋体" w:hAnsi="宋体" w:cs="宋体" w:eastAsia="宋体" w:hint="default"/>
          <w:spacing w:val="-22"/>
        </w:rPr>
        <w:t> </w:t>
      </w:r>
      <w:r>
        <w:rPr/>
        <w:t>个月作 为一个营业周期，并以其作为资产和负债的流动性划分标准。</w:t>
      </w:r>
    </w:p>
    <w:p>
      <w:pPr>
        <w:spacing w:before="55"/>
        <w:ind w:left="1134" w:right="0" w:firstLine="0"/>
        <w:jc w:val="both"/>
        <w:rPr>
          <w:rFonts w:ascii="宋体" w:hAnsi="宋体" w:cs="宋体" w:eastAsia="宋体" w:hint="default"/>
          <w:sz w:val="20"/>
          <w:szCs w:val="20"/>
        </w:rPr>
      </w:pPr>
      <w:bookmarkStart w:name="4、记账本位币" w:id="165"/>
      <w:bookmarkEnd w:id="165"/>
      <w:r>
        <w:rPr/>
      </w:r>
      <w:r>
        <w:rPr>
          <w:rFonts w:ascii="宋体" w:hAnsi="宋体" w:cs="宋体" w:eastAsia="宋体" w:hint="default"/>
          <w:b/>
          <w:bCs/>
          <w:sz w:val="20"/>
          <w:szCs w:val="20"/>
        </w:rPr>
        <w:t>4</w:t>
      </w:r>
      <w:r>
        <w:rPr>
          <w:rFonts w:ascii="宋体" w:hAnsi="宋体" w:cs="宋体" w:eastAsia="宋体" w:hint="default"/>
          <w:b/>
          <w:bCs/>
          <w:sz w:val="20"/>
          <w:szCs w:val="20"/>
        </w:rPr>
        <w:t>、记账本位币</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554" w:right="0"/>
        <w:jc w:val="left"/>
      </w:pPr>
      <w:r>
        <w:rPr/>
        <w:t>记账本位币为人民币。</w:t>
      </w:r>
    </w:p>
    <w:p>
      <w:pPr>
        <w:spacing w:line="240" w:lineRule="auto" w:before="7"/>
        <w:rPr>
          <w:rFonts w:ascii="宋体" w:hAnsi="宋体" w:cs="宋体" w:eastAsia="宋体" w:hint="default"/>
          <w:sz w:val="15"/>
          <w:szCs w:val="15"/>
        </w:rPr>
      </w:pPr>
    </w:p>
    <w:p>
      <w:pPr>
        <w:spacing w:before="0"/>
        <w:ind w:left="1134" w:right="0" w:firstLine="0"/>
        <w:jc w:val="both"/>
        <w:rPr>
          <w:rFonts w:ascii="宋体" w:hAnsi="宋体" w:cs="宋体" w:eastAsia="宋体" w:hint="default"/>
          <w:sz w:val="20"/>
          <w:szCs w:val="20"/>
        </w:rPr>
      </w:pPr>
      <w:bookmarkStart w:name="5、同一控制下和非同一控制下企业合并的会计处理方法" w:id="166"/>
      <w:bookmarkEnd w:id="166"/>
      <w:r>
        <w:rPr/>
      </w:r>
      <w:r>
        <w:rPr>
          <w:rFonts w:ascii="宋体" w:hAnsi="宋体" w:cs="宋体" w:eastAsia="宋体" w:hint="default"/>
          <w:b/>
          <w:bCs/>
          <w:sz w:val="20"/>
          <w:szCs w:val="20"/>
        </w:rPr>
        <w:t>5</w:t>
      </w:r>
      <w:r>
        <w:rPr>
          <w:rFonts w:ascii="宋体" w:hAnsi="宋体" w:cs="宋体" w:eastAsia="宋体" w:hint="default"/>
          <w:b/>
          <w:bCs/>
          <w:sz w:val="20"/>
          <w:szCs w:val="20"/>
        </w:rPr>
        <w:t>、同一控制下和非同一控制下企业合并的会计处理方法</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554" w:right="0"/>
        <w:jc w:val="left"/>
      </w:pPr>
      <w:r>
        <w:rPr>
          <w:rFonts w:ascii="宋体" w:hAnsi="宋体" w:cs="宋体" w:eastAsia="宋体" w:hint="default"/>
        </w:rPr>
        <w:t>5.1</w:t>
      </w:r>
      <w:r>
        <w:rPr/>
        <w:t>同一控制下的企业合并 </w:t>
      </w:r>
      <w:r>
        <w:rPr>
          <w:spacing w:val="-1"/>
        </w:rPr>
        <w:t>参与合并的企业在合并前后均受同一方或相同的多方最终控制且该控制并非暂时性的，认定为同一控</w:t>
      </w:r>
    </w:p>
    <w:p>
      <w:pPr>
        <w:pStyle w:val="BodyText"/>
        <w:spacing w:line="408" w:lineRule="auto" w:before="46"/>
        <w:ind w:left="1554" w:right="0" w:hanging="420"/>
        <w:jc w:val="left"/>
      </w:pPr>
      <w:r>
        <w:rPr/>
        <w:t>制下的企业合并。 </w:t>
      </w:r>
      <w:r>
        <w:rPr>
          <w:spacing w:val="-1"/>
        </w:rPr>
        <w:t>合并方以支付现金、转让非现金资产或承担债务方式作为合并对价的，在合并日按照被合并方所有者</w:t>
      </w:r>
    </w:p>
    <w:p>
      <w:pPr>
        <w:pStyle w:val="BodyText"/>
        <w:spacing w:line="408" w:lineRule="auto" w:before="46"/>
        <w:ind w:left="1134" w:right="1130"/>
        <w:jc w:val="both"/>
      </w:pPr>
      <w:r>
        <w:rPr>
          <w:spacing w:val="-1"/>
        </w:rPr>
        <w:t>权益在最终控制方合并财务报表中的账面价值的份额作为长期股权投资的初始投资成本。长期股权投资初</w:t>
      </w:r>
      <w:r>
        <w:rPr>
          <w:spacing w:val="-81"/>
        </w:rPr>
        <w:t> </w:t>
      </w:r>
      <w:r>
        <w:rPr>
          <w:spacing w:val="-81"/>
        </w:rPr>
      </w:r>
      <w:r>
        <w:rPr>
          <w:spacing w:val="-1"/>
        </w:rPr>
        <w:t>始投资成本与支付的现金、转让的非现金资产以及所承担债务账面价值之间的差额，调整资本公积；资本</w:t>
      </w:r>
      <w:r>
        <w:rPr>
          <w:spacing w:val="-83"/>
        </w:rPr>
        <w:t> </w:t>
      </w:r>
      <w:r>
        <w:rPr>
          <w:spacing w:val="-83"/>
        </w:rPr>
      </w:r>
      <w:r>
        <w:rPr/>
        <w:t>公积不足冲减的，调整留存收益。</w:t>
      </w:r>
    </w:p>
    <w:p>
      <w:pPr>
        <w:pStyle w:val="BodyText"/>
        <w:spacing w:line="408" w:lineRule="auto" w:before="46"/>
        <w:ind w:left="1134" w:right="1131" w:firstLine="420"/>
        <w:jc w:val="both"/>
      </w:pPr>
      <w:r>
        <w:rPr>
          <w:spacing w:val="-1"/>
        </w:rPr>
        <w:t>合并方以发行权益性证券作为合并对价的，在合并日按照被合并方所有者权益在最终控制方合并财务</w:t>
      </w:r>
      <w:r>
        <w:rPr/>
        <w:t> </w:t>
      </w:r>
      <w:r>
        <w:rPr>
          <w:spacing w:val="-1"/>
        </w:rPr>
        <w:t>报表中的账面价值的份额作为长期股权投资的初始投资成本。按照发行股份的面值总额作为股本，长期股</w:t>
      </w:r>
      <w:r>
        <w:rPr>
          <w:spacing w:val="-81"/>
        </w:rPr>
        <w:t> </w:t>
      </w:r>
      <w:r>
        <w:rPr>
          <w:spacing w:val="-81"/>
        </w:rPr>
      </w:r>
      <w:r>
        <w:rPr>
          <w:spacing w:val="-1"/>
        </w:rPr>
        <w:t>权投资初始投资成本与所发行股份面值总额之间的差额，调整资本公积；资本公积不足冲减的，调整留存</w:t>
      </w:r>
      <w:r>
        <w:rPr>
          <w:spacing w:val="-83"/>
        </w:rPr>
        <w:t> </w:t>
      </w:r>
      <w:r>
        <w:rPr>
          <w:spacing w:val="-83"/>
        </w:rPr>
      </w:r>
      <w:r>
        <w:rPr/>
        <w:t>收益。</w:t>
      </w:r>
    </w:p>
    <w:p>
      <w:pPr>
        <w:pStyle w:val="BodyText"/>
        <w:spacing w:line="408" w:lineRule="auto" w:before="46"/>
        <w:ind w:left="1134" w:right="1131" w:firstLine="420"/>
        <w:jc w:val="both"/>
      </w:pPr>
      <w:r>
        <w:rPr>
          <w:spacing w:val="-1"/>
        </w:rPr>
        <w:t>合并方为企业合并发生的审计、法律服务、评估咨询等中介费用以及其他相关管理费用，于发生时计</w:t>
      </w:r>
      <w:r>
        <w:rPr/>
        <w:t> 入当期损益。</w:t>
      </w:r>
    </w:p>
    <w:p>
      <w:pPr>
        <w:pStyle w:val="BodyText"/>
        <w:spacing w:line="240" w:lineRule="auto" w:before="46"/>
        <w:ind w:left="1554" w:right="0"/>
        <w:jc w:val="left"/>
      </w:pPr>
      <w:r>
        <w:rPr>
          <w:rFonts w:ascii="宋体" w:hAnsi="宋体" w:cs="宋体" w:eastAsia="宋体" w:hint="default"/>
        </w:rPr>
        <w:t>5.2</w:t>
      </w:r>
      <w:r>
        <w:rPr/>
        <w:t>非同一控制下的企业合并</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right="1109" w:firstLine="420"/>
        <w:jc w:val="right"/>
      </w:pPr>
      <w:r>
        <w:rPr/>
        <w:t>参与合并的各方在合并前后不受同一方或相同的多方最终控制的，认定为非同一控制下的企业合并。 </w:t>
      </w:r>
      <w:r>
        <w:rPr>
          <w:spacing w:val="-1"/>
        </w:rPr>
        <w:t>购买方通过一次交换交易实现的企业合并，合并成本为购买方在购买日为取得对被购买方的控制权而</w:t>
      </w:r>
      <w:r>
        <w:rPr/>
        <w:t> </w:t>
      </w:r>
      <w:r>
        <w:rPr>
          <w:spacing w:val="-1"/>
        </w:rPr>
        <w:t>付出的资产、发生或承担的负债以及发行的权益性证券的公允价值。购买方为企业合并发生的审计、法律</w:t>
      </w:r>
      <w:r>
        <w:rPr/>
        <w:t> </w:t>
      </w:r>
      <w:r>
        <w:rPr>
          <w:spacing w:val="-1"/>
        </w:rPr>
        <w:t>服务、评估咨询等中介费用以及其他相关管理费用，于发生时计入当期损益；购买方作为合并对价发行的</w:t>
      </w:r>
    </w:p>
    <w:p>
      <w:pPr>
        <w:pStyle w:val="BodyText"/>
        <w:spacing w:line="408" w:lineRule="auto" w:before="46"/>
        <w:ind w:left="1553" w:right="0" w:hanging="420"/>
        <w:jc w:val="left"/>
      </w:pPr>
      <w:r>
        <w:rPr/>
        <w:t>权益性证券或债务性证券的交易费用，计入权益性证券或债务性证券的初始确认金额。 </w:t>
      </w:r>
      <w:r>
        <w:rPr>
          <w:spacing w:val="-1"/>
        </w:rPr>
        <w:t>购买方的合并成本和购买方在合并中取得的可辨认净资产按购买日的公允价值计量。合并成本大于合</w:t>
      </w:r>
    </w:p>
    <w:p>
      <w:pPr>
        <w:pStyle w:val="BodyText"/>
        <w:spacing w:line="408" w:lineRule="auto" w:before="46"/>
        <w:ind w:right="1131"/>
        <w:jc w:val="both"/>
      </w:pPr>
      <w:r>
        <w:rPr>
          <w:spacing w:val="-1"/>
        </w:rPr>
        <w:t>并中取得的被购买方于购买日可辨认净资产公允价值份额的差额，确认为商誉；合并成本小于合并中取得</w:t>
      </w:r>
      <w:r>
        <w:rPr>
          <w:spacing w:val="-81"/>
        </w:rPr>
        <w:t> </w:t>
      </w:r>
      <w:r>
        <w:rPr>
          <w:spacing w:val="-81"/>
        </w:rPr>
      </w:r>
      <w:r>
        <w:rPr/>
        <w:t>的被购买方可辨认净资产公允价值份额的差额，计入当期损益。</w:t>
      </w:r>
    </w:p>
    <w:p>
      <w:pPr>
        <w:pStyle w:val="BodyText"/>
        <w:spacing w:line="408" w:lineRule="auto" w:before="46"/>
        <w:ind w:left="1553" w:right="0"/>
        <w:jc w:val="left"/>
      </w:pPr>
      <w:r>
        <w:rPr>
          <w:rFonts w:ascii="宋体" w:hAnsi="宋体" w:cs="宋体" w:eastAsia="宋体" w:hint="default"/>
        </w:rPr>
        <w:t>5.3</w:t>
      </w:r>
      <w:r>
        <w:rPr/>
        <w:t>因追加投资等原因能够对非同一控制下的被投资单位实施控制的 </w:t>
      </w:r>
      <w:r>
        <w:rPr>
          <w:spacing w:val="-1"/>
        </w:rPr>
        <w:t>在编制个别财务报表时，按照原持有的股权投资账面价值加上新增投资成本之和，作为改按成本法核</w:t>
      </w:r>
    </w:p>
    <w:p>
      <w:pPr>
        <w:pStyle w:val="BodyText"/>
        <w:spacing w:line="408" w:lineRule="auto" w:before="46"/>
        <w:ind w:right="1131"/>
        <w:jc w:val="both"/>
      </w:pPr>
      <w:r>
        <w:rPr>
          <w:spacing w:val="-1"/>
        </w:rPr>
        <w:t>算的初始投资成本。购买日之前持有的股权投资因采用权益法核算而确认的其他综合收益，在处置该项投</w:t>
      </w:r>
      <w:r>
        <w:rPr>
          <w:spacing w:val="-81"/>
        </w:rPr>
        <w:t> </w:t>
      </w:r>
      <w:r>
        <w:rPr>
          <w:spacing w:val="-81"/>
        </w:rPr>
      </w:r>
      <w:r>
        <w:rPr>
          <w:spacing w:val="-1"/>
        </w:rPr>
        <w:t>资时采用与被投资单位直接处置相关资产或负债相同的基础进行会计处理。购买日之前持有的股权投资按</w:t>
      </w:r>
      <w:r>
        <w:rPr>
          <w:spacing w:val="-81"/>
        </w:rPr>
        <w:t> </w:t>
      </w:r>
      <w:r>
        <w:rPr>
          <w:spacing w:val="-81"/>
        </w:rPr>
      </w:r>
      <w:r>
        <w:rPr>
          <w:spacing w:val="-1"/>
        </w:rPr>
        <w:t>照《企业会计准则第</w:t>
      </w:r>
      <w:r>
        <w:rPr>
          <w:rFonts w:ascii="宋体" w:hAnsi="宋体" w:cs="宋体" w:eastAsia="宋体" w:hint="default"/>
          <w:spacing w:val="-1"/>
        </w:rPr>
        <w:t>22</w:t>
      </w:r>
      <w:r>
        <w:rPr>
          <w:spacing w:val="-1"/>
        </w:rPr>
        <w:t>号——金融工具确认和计量》的有关规定进行会计处理的，原计入其他综合收益的</w:t>
      </w:r>
      <w:r>
        <w:rPr>
          <w:spacing w:val="-83"/>
        </w:rPr>
        <w:t> </w:t>
      </w:r>
      <w:r>
        <w:rPr>
          <w:spacing w:val="-83"/>
        </w:rPr>
      </w:r>
      <w:r>
        <w:rPr/>
        <w:t>累计公允价值变动在改按成本法核算时转入当期损益。</w:t>
      </w:r>
    </w:p>
    <w:p>
      <w:pPr>
        <w:pStyle w:val="BodyText"/>
        <w:spacing w:line="410" w:lineRule="auto" w:before="46"/>
        <w:ind w:right="1116" w:firstLine="420"/>
        <w:jc w:val="left"/>
        <w:rPr>
          <w:rFonts w:ascii="宋体" w:hAnsi="宋体" w:cs="宋体" w:eastAsia="宋体" w:hint="default"/>
          <w:sz w:val="20"/>
          <w:szCs w:val="20"/>
        </w:rPr>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新计量，公允价值与其账面价值的差额计入当期投资收益；购买日之前持有的被购买方的股权涉及权益法</w:t>
      </w:r>
      <w:r>
        <w:rPr>
          <w:spacing w:val="-81"/>
        </w:rPr>
        <w:t> </w:t>
      </w:r>
      <w:r>
        <w:rPr>
          <w:spacing w:val="-81"/>
        </w:rPr>
      </w:r>
      <w:r>
        <w:rPr/>
        <w:t>核算下的其他综合收益等的，与其相关的其他综合收益等应当转为购买日所属当期收益。 </w:t>
      </w:r>
      <w:bookmarkStart w:name="6、合并财务报表的编制方法" w:id="167"/>
      <w:bookmarkEnd w:id="167"/>
      <w:r>
        <w:rPr/>
      </w:r>
      <w:r>
        <w:rPr>
          <w:rFonts w:ascii="宋体" w:hAnsi="宋体" w:cs="宋体" w:eastAsia="宋体" w:hint="default"/>
          <w:b/>
          <w:bCs/>
          <w:sz w:val="20"/>
          <w:szCs w:val="20"/>
        </w:rPr>
        <w:t>6</w:t>
      </w:r>
      <w:r>
        <w:rPr>
          <w:rFonts w:ascii="宋体" w:hAnsi="宋体" w:cs="宋体" w:eastAsia="宋体" w:hint="default"/>
          <w:b/>
          <w:bCs/>
          <w:sz w:val="20"/>
          <w:szCs w:val="20"/>
        </w:rPr>
        <w:t>、合并财务报表的编制方法</w:t>
      </w:r>
      <w:r>
        <w:rPr>
          <w:rFonts w:ascii="宋体" w:hAnsi="宋体" w:cs="宋体" w:eastAsia="宋体" w:hint="default"/>
          <w:sz w:val="20"/>
          <w:szCs w:val="20"/>
        </w:rPr>
      </w:r>
    </w:p>
    <w:p>
      <w:pPr>
        <w:pStyle w:val="BodyText"/>
        <w:spacing w:line="408" w:lineRule="auto" w:before="55"/>
        <w:ind w:left="1553" w:right="1116"/>
        <w:jc w:val="left"/>
      </w:pPr>
      <w:r>
        <w:rPr>
          <w:rFonts w:ascii="宋体" w:hAnsi="宋体" w:cs="宋体" w:eastAsia="宋体" w:hint="default"/>
        </w:rPr>
        <w:t>6.1</w:t>
      </w:r>
      <w:r>
        <w:rPr/>
        <w:t>合并范围 合并财务报表的合并范围包括本公司及子公司。合并财务报表的合并范围以控制为基础予以确定。 </w:t>
      </w:r>
      <w:r>
        <w:rPr>
          <w:rFonts w:ascii="宋体" w:hAnsi="宋体" w:cs="宋体" w:eastAsia="宋体" w:hint="default"/>
        </w:rPr>
        <w:t>6.2</w:t>
      </w:r>
      <w:r>
        <w:rPr/>
        <w:t>控制的依据 </w:t>
      </w:r>
      <w:r>
        <w:rPr>
          <w:spacing w:val="-1"/>
        </w:rPr>
        <w:t>投资方拥有对被投资方的权力，通过参与被投资方的相关活动而享有可变回报，并且有能力运用对被</w:t>
      </w:r>
    </w:p>
    <w:p>
      <w:pPr>
        <w:pStyle w:val="BodyText"/>
        <w:spacing w:line="408" w:lineRule="auto" w:before="46"/>
        <w:ind w:right="1131"/>
        <w:jc w:val="both"/>
      </w:pPr>
      <w:r>
        <w:rPr>
          <w:spacing w:val="-1"/>
        </w:rPr>
        <w:t>投资方的权力影响其回报金额，视为投资方控制被投资方。相关活动，系为对被投资方的回报产生重大影</w:t>
      </w:r>
      <w:r>
        <w:rPr>
          <w:spacing w:val="-83"/>
        </w:rPr>
        <w:t> </w:t>
      </w:r>
      <w:r>
        <w:rPr>
          <w:spacing w:val="-83"/>
        </w:rPr>
      </w:r>
      <w:r>
        <w:rPr/>
        <w:t>响的活动。</w:t>
      </w:r>
    </w:p>
    <w:p>
      <w:pPr>
        <w:pStyle w:val="BodyText"/>
        <w:spacing w:line="408" w:lineRule="auto" w:before="46"/>
        <w:ind w:left="1554" w:right="0"/>
        <w:jc w:val="left"/>
      </w:pPr>
      <w:r>
        <w:rPr>
          <w:rFonts w:ascii="宋体" w:hAnsi="宋体" w:cs="宋体" w:eastAsia="宋体" w:hint="default"/>
        </w:rPr>
        <w:t>6.3</w:t>
      </w:r>
      <w:r>
        <w:rPr/>
        <w:t>决策者和代理人 </w:t>
      </w:r>
      <w:r>
        <w:rPr>
          <w:spacing w:val="-1"/>
        </w:rPr>
        <w:t>代理人仅代表主要责任人行使决策权，不控制被投资方。投资方将被投资方相关活动的决策权委托给</w:t>
      </w:r>
    </w:p>
    <w:p>
      <w:pPr>
        <w:pStyle w:val="BodyText"/>
        <w:spacing w:line="408" w:lineRule="auto" w:before="46"/>
        <w:ind w:left="1553" w:right="1513" w:hanging="420"/>
        <w:jc w:val="left"/>
      </w:pPr>
      <w:r>
        <w:rPr/>
        <w:t>代理人的，将该决策权视为自身直接持有。 在确定决策者是否为代理人时，公司综合考虑该决策者与被投资方以及其他投资方之间的关系。 </w:t>
      </w:r>
      <w:r>
        <w:rPr>
          <w:rFonts w:ascii="宋体" w:hAnsi="宋体" w:cs="宋体" w:eastAsia="宋体" w:hint="default"/>
        </w:rPr>
        <w:t>1</w:t>
      </w:r>
      <w:r>
        <w:rPr/>
        <w:t>）存在单独一方拥有实质性权利可以无条件罢免决策者的，该决策者为代理人。</w:t>
      </w:r>
    </w:p>
    <w:p>
      <w:pPr>
        <w:pStyle w:val="BodyText"/>
        <w:spacing w:line="240" w:lineRule="auto" w:before="46"/>
        <w:ind w:left="1554" w:right="0"/>
        <w:jc w:val="left"/>
      </w:pPr>
      <w:r>
        <w:rPr>
          <w:rFonts w:ascii="宋体" w:hAnsi="宋体" w:cs="宋体" w:eastAsia="宋体" w:hint="default"/>
        </w:rPr>
        <w:t>2</w:t>
      </w:r>
      <w:r>
        <w:rPr/>
        <w:t>）除</w:t>
      </w:r>
      <w:r>
        <w:rPr>
          <w:rFonts w:ascii="宋体" w:hAnsi="宋体" w:cs="宋体" w:eastAsia="宋体" w:hint="default"/>
        </w:rPr>
        <w:t>1</w:t>
      </w:r>
      <w:r>
        <w:rPr/>
        <w:t>）以外的情况下，综合考虑决策者对被投资方的决策权范围、其他方享有的实质性权利、决策</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left="1553" w:right="1723" w:hanging="420"/>
        <w:jc w:val="left"/>
      </w:pPr>
      <w:r>
        <w:rPr/>
        <w:t>者的薪酬水平、决策者因持有被投资方中的其他权益所承担可变回报的风险等相关因素进行判断。 </w:t>
      </w:r>
      <w:r>
        <w:rPr>
          <w:rFonts w:ascii="宋体" w:hAnsi="宋体" w:cs="宋体" w:eastAsia="宋体" w:hint="default"/>
        </w:rPr>
        <w:t>6.4</w:t>
      </w:r>
      <w:r>
        <w:rPr/>
        <w:t>投资性主体</w:t>
      </w:r>
    </w:p>
    <w:p>
      <w:pPr>
        <w:pStyle w:val="BodyText"/>
        <w:spacing w:line="408" w:lineRule="auto" w:before="46"/>
        <w:ind w:left="1553" w:right="2458"/>
        <w:jc w:val="left"/>
      </w:pPr>
      <w:r>
        <w:rPr/>
        <w:t>当同时满足下列条件时，视为投资性主体： </w:t>
      </w:r>
      <w:r>
        <w:rPr>
          <w:rFonts w:ascii="宋体" w:hAnsi="宋体" w:cs="宋体" w:eastAsia="宋体" w:hint="default"/>
        </w:rPr>
        <w:t>1</w:t>
      </w:r>
      <w:r>
        <w:rPr/>
        <w:t>）该公司是以向投资者提供投资管理服务为目的，从一个或多个投资者处获取资金；</w:t>
      </w:r>
    </w:p>
    <w:p>
      <w:pPr>
        <w:pStyle w:val="BodyText"/>
        <w:spacing w:line="240" w:lineRule="auto" w:before="46"/>
        <w:ind w:left="1553" w:right="0"/>
        <w:jc w:val="left"/>
      </w:pPr>
      <w:r>
        <w:rPr>
          <w:rFonts w:ascii="宋体" w:hAnsi="宋体" w:cs="宋体" w:eastAsia="宋体" w:hint="default"/>
        </w:rPr>
        <w:t>2</w:t>
      </w:r>
      <w:r>
        <w:rPr/>
        <w:t>）该公司的唯一经营目的，是通过资本增值、投资收益或两者兼有而让投资者获得回报；</w:t>
      </w:r>
    </w:p>
    <w:p>
      <w:pPr>
        <w:spacing w:line="240" w:lineRule="auto" w:before="10"/>
        <w:rPr>
          <w:rFonts w:ascii="宋体" w:hAnsi="宋体" w:cs="宋体" w:eastAsia="宋体" w:hint="default"/>
          <w:sz w:val="14"/>
          <w:szCs w:val="14"/>
        </w:rPr>
      </w:pPr>
    </w:p>
    <w:p>
      <w:pPr>
        <w:pStyle w:val="BodyText"/>
        <w:spacing w:line="408" w:lineRule="auto"/>
        <w:ind w:left="1553" w:right="4348"/>
        <w:jc w:val="left"/>
      </w:pPr>
      <w:r>
        <w:rPr>
          <w:rFonts w:ascii="宋体" w:hAnsi="宋体" w:cs="宋体" w:eastAsia="宋体" w:hint="default"/>
        </w:rPr>
        <w:t>3</w:t>
      </w:r>
      <w:r>
        <w:rPr/>
        <w:t>）该公司按照公允价值对几乎所有投资的业绩进行考量和评价。 属于投资性主体的，通常情况下符合下列所有特征： </w:t>
      </w:r>
      <w:r>
        <w:rPr>
          <w:rFonts w:ascii="宋体" w:hAnsi="宋体" w:cs="宋体" w:eastAsia="宋体" w:hint="default"/>
        </w:rPr>
        <w:t>1</w:t>
      </w:r>
      <w:r>
        <w:rPr/>
        <w:t>）拥有一个以上投资；</w:t>
      </w:r>
    </w:p>
    <w:p>
      <w:pPr>
        <w:pStyle w:val="BodyText"/>
        <w:spacing w:line="240" w:lineRule="auto" w:before="46"/>
        <w:ind w:left="1554" w:right="0"/>
        <w:jc w:val="left"/>
      </w:pPr>
      <w:r>
        <w:rPr>
          <w:rFonts w:ascii="宋体" w:hAnsi="宋体" w:cs="宋体" w:eastAsia="宋体" w:hint="default"/>
        </w:rPr>
        <w:t>2</w:t>
      </w:r>
      <w:r>
        <w:rPr/>
        <w:t>）拥有一个以上投资者；</w:t>
      </w:r>
    </w:p>
    <w:p>
      <w:pPr>
        <w:spacing w:line="240" w:lineRule="auto" w:before="10"/>
        <w:rPr>
          <w:rFonts w:ascii="宋体" w:hAnsi="宋体" w:cs="宋体" w:eastAsia="宋体" w:hint="default"/>
          <w:sz w:val="14"/>
          <w:szCs w:val="14"/>
        </w:rPr>
      </w:pPr>
    </w:p>
    <w:p>
      <w:pPr>
        <w:pStyle w:val="BodyText"/>
        <w:spacing w:line="240" w:lineRule="auto"/>
        <w:ind w:left="1554" w:right="0"/>
        <w:jc w:val="left"/>
      </w:pPr>
      <w:r>
        <w:rPr>
          <w:rFonts w:ascii="宋体" w:hAnsi="宋体" w:cs="宋体" w:eastAsia="宋体" w:hint="default"/>
        </w:rPr>
        <w:t>3</w:t>
      </w:r>
      <w:r>
        <w:rPr/>
        <w:t>）投资者不是该主体的关联方；</w:t>
      </w:r>
    </w:p>
    <w:p>
      <w:pPr>
        <w:spacing w:line="240" w:lineRule="auto" w:before="10"/>
        <w:rPr>
          <w:rFonts w:ascii="宋体" w:hAnsi="宋体" w:cs="宋体" w:eastAsia="宋体" w:hint="default"/>
          <w:sz w:val="14"/>
          <w:szCs w:val="14"/>
        </w:rPr>
      </w:pPr>
    </w:p>
    <w:p>
      <w:pPr>
        <w:pStyle w:val="BodyText"/>
        <w:spacing w:line="408" w:lineRule="auto"/>
        <w:ind w:left="1554" w:right="0"/>
        <w:jc w:val="left"/>
      </w:pPr>
      <w:r>
        <w:rPr>
          <w:rFonts w:ascii="宋体" w:hAnsi="宋体" w:cs="宋体" w:eastAsia="宋体" w:hint="default"/>
        </w:rPr>
        <w:t>4</w:t>
      </w:r>
      <w:r>
        <w:rPr/>
        <w:t>）其所有者权益以股权或类似权益方式存在。 </w:t>
      </w:r>
      <w:r>
        <w:rPr>
          <w:spacing w:val="-1"/>
        </w:rPr>
        <w:t>如果母公司是投资性主体，则母公司仅将为其投资活动提供相关服务的子公司</w:t>
      </w:r>
      <w:r>
        <w:rPr>
          <w:rFonts w:ascii="宋体" w:hAnsi="宋体" w:cs="宋体" w:eastAsia="宋体" w:hint="default"/>
          <w:spacing w:val="-1"/>
        </w:rPr>
        <w:t>(</w:t>
      </w:r>
      <w:r>
        <w:rPr>
          <w:spacing w:val="-1"/>
        </w:rPr>
        <w:t>如有</w:t>
      </w:r>
      <w:r>
        <w:rPr>
          <w:rFonts w:ascii="宋体" w:hAnsi="宋体" w:cs="宋体" w:eastAsia="宋体" w:hint="default"/>
          <w:spacing w:val="-1"/>
        </w:rPr>
        <w:t>)</w:t>
      </w:r>
      <w:r>
        <w:rPr>
          <w:spacing w:val="-1"/>
        </w:rPr>
        <w:t>纳入合并范围并</w:t>
      </w:r>
    </w:p>
    <w:p>
      <w:pPr>
        <w:pStyle w:val="BodyText"/>
        <w:spacing w:line="408" w:lineRule="auto" w:before="46"/>
        <w:ind w:right="1131"/>
        <w:jc w:val="both"/>
      </w:pPr>
      <w:r>
        <w:rPr>
          <w:spacing w:val="-1"/>
        </w:rPr>
        <w:t>编制合并财务报表；其他子公司不予以合并，母公司对其他子公司的投资按照公允价值计量且其变动计入</w:t>
      </w:r>
      <w:r>
        <w:rPr>
          <w:spacing w:val="-81"/>
        </w:rPr>
        <w:t> </w:t>
      </w:r>
      <w:r>
        <w:rPr>
          <w:spacing w:val="-81"/>
        </w:rPr>
      </w:r>
      <w:r>
        <w:rPr/>
        <w:t>当期损益。</w:t>
      </w:r>
    </w:p>
    <w:p>
      <w:pPr>
        <w:pStyle w:val="BodyText"/>
        <w:spacing w:line="408" w:lineRule="auto" w:before="46"/>
        <w:ind w:left="1134" w:right="1131" w:firstLine="420"/>
        <w:jc w:val="both"/>
      </w:pPr>
      <w:r>
        <w:rPr>
          <w:spacing w:val="-1"/>
        </w:rPr>
        <w:t>投资性主体的母公司本身不是投资性主体，则将其控制的全部主体，包括那些通过投资性主体所间接</w:t>
      </w:r>
      <w:r>
        <w:rPr/>
        <w:t> 控制的主体，纳入合并财务报表范围。</w:t>
      </w:r>
    </w:p>
    <w:p>
      <w:pPr>
        <w:pStyle w:val="BodyText"/>
        <w:spacing w:line="408" w:lineRule="auto" w:before="46"/>
        <w:ind w:left="1553" w:right="1116"/>
        <w:jc w:val="left"/>
      </w:pPr>
      <w:r>
        <w:rPr>
          <w:rFonts w:ascii="宋体" w:hAnsi="宋体" w:cs="宋体" w:eastAsia="宋体" w:hint="default"/>
        </w:rPr>
        <w:t>6.5</w:t>
      </w:r>
      <w:r>
        <w:rPr/>
        <w:t>合并程序 </w:t>
      </w:r>
      <w:r>
        <w:rPr>
          <w:spacing w:val="-1"/>
        </w:rPr>
        <w:t>子公司所采用的会计政策或会计期间与本公司不一致的，按照本公司的会计政策或会计期间对子公司</w:t>
      </w:r>
    </w:p>
    <w:p>
      <w:pPr>
        <w:pStyle w:val="BodyText"/>
        <w:spacing w:line="408" w:lineRule="auto" w:before="46"/>
        <w:ind w:left="1553" w:right="0" w:hanging="420"/>
        <w:jc w:val="left"/>
      </w:pPr>
      <w:r>
        <w:rPr/>
        <w:t>财务报表进行必要的调整；或者要求子公司按照本公司的会计政策或会计期间另行编报财务报表。 </w:t>
      </w:r>
      <w:r>
        <w:rPr>
          <w:spacing w:val="-1"/>
        </w:rPr>
        <w:t>合并资产负债表、合并利润表、合并现金流量表及合并所有者（股东）权益变动表分别以本公司和子</w:t>
      </w:r>
    </w:p>
    <w:p>
      <w:pPr>
        <w:pStyle w:val="BodyText"/>
        <w:spacing w:line="408" w:lineRule="auto" w:before="46"/>
        <w:ind w:right="1110"/>
        <w:jc w:val="both"/>
      </w:pPr>
      <w:r>
        <w:rPr/>
        <w:t>公司的资产负债表、利润表、现金流量表及所有者（股东）权益变动表为基础，在抵销本公司与子公司、 子公司相互之间发生的内部交易对合并资产负债表、合并利润表、合并现金流量表及合并所有者（股东） 权益变动表的影响后，由本公司合并编制。</w:t>
      </w:r>
    </w:p>
    <w:p>
      <w:pPr>
        <w:pStyle w:val="BodyText"/>
        <w:spacing w:line="408" w:lineRule="auto" w:before="46"/>
        <w:ind w:right="1130" w:firstLine="420"/>
        <w:jc w:val="both"/>
      </w:pPr>
      <w:r>
        <w:rPr>
          <w:spacing w:val="8"/>
        </w:rPr>
        <w:t>本公司向子公司出售资产所发生的未实现内部交易损益，全额抵销“归属于母公司所有者的净利</w:t>
      </w:r>
      <w:r>
        <w:rPr/>
        <w:t> </w:t>
      </w:r>
      <w:r>
        <w:rPr>
          <w:spacing w:val="-1"/>
        </w:rPr>
        <w:t>润”。子公司向本公司出售资产所发生的未实现内部交易损益，按照本公司对该子公司的分配比例在“归</w:t>
      </w:r>
      <w:r>
        <w:rPr>
          <w:spacing w:val="-81"/>
        </w:rPr>
        <w:t> </w:t>
      </w:r>
      <w:r>
        <w:rPr>
          <w:spacing w:val="-81"/>
        </w:rPr>
      </w:r>
      <w:r>
        <w:rPr>
          <w:spacing w:val="-1"/>
        </w:rPr>
        <w:t>属于母公司所有者的净利润”和“少数股东损益”之间分配抵销。子公司之间出售资产所发生的未实现内</w:t>
      </w:r>
      <w:r>
        <w:rPr>
          <w:spacing w:val="-83"/>
        </w:rPr>
        <w:t> </w:t>
      </w:r>
      <w:r>
        <w:rPr>
          <w:spacing w:val="-83"/>
        </w:rPr>
      </w:r>
      <w:r>
        <w:rPr>
          <w:spacing w:val="-1"/>
        </w:rPr>
        <w:t>部交易损益，应当按照本公司对出售方子公司的分配比例在“归属于母公司所有者的净利润”和“少数股</w:t>
      </w:r>
      <w:r>
        <w:rPr>
          <w:spacing w:val="-82"/>
        </w:rPr>
        <w:t> </w:t>
      </w:r>
      <w:r>
        <w:rPr>
          <w:spacing w:val="-82"/>
        </w:rPr>
      </w:r>
      <w:r>
        <w:rPr/>
        <w:t>东损益”之间分配抵销。</w:t>
      </w:r>
    </w:p>
    <w:p>
      <w:pPr>
        <w:pStyle w:val="BodyText"/>
        <w:spacing w:line="408" w:lineRule="auto" w:before="46"/>
        <w:ind w:left="1134" w:right="1131" w:firstLine="420"/>
        <w:jc w:val="both"/>
      </w:pPr>
      <w:r>
        <w:rPr>
          <w:spacing w:val="-1"/>
        </w:rPr>
        <w:t>子公司所有者权益中不属于本公司的份额，作为少数股东权益，在合并资产负债表中所有者权益项目</w:t>
      </w:r>
      <w:r>
        <w:rPr/>
        <w:t> </w:t>
      </w:r>
      <w:r>
        <w:rPr>
          <w:spacing w:val="-1"/>
        </w:rPr>
        <w:t>下以“少数股东权益”项目列示。子公司当期净损益中属于少数股东权益的份额，在合并利润表中净利润</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right="1131"/>
        <w:jc w:val="both"/>
      </w:pPr>
      <w:r>
        <w:rPr>
          <w:spacing w:val="-1"/>
        </w:rPr>
        <w:t>项目下以“少数股东损益”项目列示。子公司当期综合收益中属于少数股东权益的份额，在合并利润表中</w:t>
      </w:r>
      <w:r>
        <w:rPr>
          <w:spacing w:val="-82"/>
        </w:rPr>
        <w:t> </w:t>
      </w:r>
      <w:r>
        <w:rPr>
          <w:spacing w:val="-82"/>
        </w:rPr>
      </w:r>
      <w:r>
        <w:rPr>
          <w:spacing w:val="-1"/>
        </w:rPr>
        <w:t>综合收益总额项目下以“归属于少数股东的综合收益总额”项目列示。有少数股东的，在合并所有者权益</w:t>
      </w:r>
      <w:r>
        <w:rPr>
          <w:spacing w:val="-83"/>
        </w:rPr>
        <w:t> </w:t>
      </w:r>
      <w:r>
        <w:rPr>
          <w:spacing w:val="-83"/>
        </w:rPr>
      </w:r>
      <w:r>
        <w:rPr>
          <w:spacing w:val="-1"/>
        </w:rPr>
        <w:t>变动表中增加“少数股东权益”栏目，反映少数股东权益变动的情况。子公司少数股东分担的当期亏损超</w:t>
      </w:r>
      <w:r>
        <w:rPr>
          <w:spacing w:val="-82"/>
        </w:rPr>
        <w:t> </w:t>
      </w:r>
      <w:r>
        <w:rPr>
          <w:spacing w:val="-82"/>
        </w:rPr>
      </w:r>
      <w:r>
        <w:rPr/>
        <w:t>过了少数股东在该子公司期初所有者权益中所享有的份额的，其余额仍应当冲减少数股东权益。</w:t>
      </w:r>
    </w:p>
    <w:p>
      <w:pPr>
        <w:pStyle w:val="BodyText"/>
        <w:spacing w:line="408" w:lineRule="auto" w:before="46"/>
        <w:ind w:right="1110" w:firstLine="420"/>
        <w:jc w:val="both"/>
      </w:pPr>
      <w:r>
        <w:rPr>
          <w:spacing w:val="-1"/>
        </w:rPr>
        <w:t>本公司在报告期内因同一控制下企业合并增加的子公司以及业务，编制合并资产负债表时，调整合并</w:t>
      </w:r>
      <w:r>
        <w:rPr/>
        <w:t> 资产负债表的期初数；编制合并利润表时，将该子公司以及业务合并当期期初至报告期末的收入、费用、 </w:t>
      </w:r>
      <w:r>
        <w:rPr>
          <w:spacing w:val="-1"/>
        </w:rPr>
        <w:t>利润纳入合并利润表；编制现金流量表时，将该子公司以及业务合并当期期初至报告期末的现金流量纳入</w:t>
      </w:r>
      <w:r>
        <w:rPr>
          <w:spacing w:val="-81"/>
        </w:rPr>
        <w:t> </w:t>
      </w:r>
      <w:r>
        <w:rPr>
          <w:spacing w:val="-81"/>
        </w:rPr>
      </w:r>
      <w:r>
        <w:rPr>
          <w:spacing w:val="-1"/>
        </w:rPr>
        <w:t>合并现金流量表；同时对比较报表的相关项目进行调整，视同合并后的报告主体自最终控制方开始控制时</w:t>
      </w:r>
      <w:r>
        <w:rPr>
          <w:spacing w:val="-81"/>
        </w:rPr>
        <w:t> </w:t>
      </w:r>
      <w:r>
        <w:rPr>
          <w:spacing w:val="-81"/>
        </w:rPr>
      </w:r>
      <w:r>
        <w:rPr/>
        <w:t>点起一直存在。</w:t>
      </w:r>
    </w:p>
    <w:p>
      <w:pPr>
        <w:pStyle w:val="BodyText"/>
        <w:spacing w:line="408" w:lineRule="auto" w:before="46"/>
        <w:ind w:right="1131" w:firstLine="420"/>
        <w:jc w:val="both"/>
      </w:pPr>
      <w:r>
        <w:rPr>
          <w:spacing w:val="-1"/>
        </w:rPr>
        <w:t>因非同一控制下企业合并或其他方式增加的子公司以及业务，编制合并资产负债表时，不调整合并资</w:t>
      </w:r>
      <w:r>
        <w:rPr/>
        <w:t> </w:t>
      </w:r>
      <w:r>
        <w:rPr>
          <w:spacing w:val="-1"/>
        </w:rPr>
        <w:t>产负债表的期初数；编制合并利润表时，将该子公司以及业务购买日至报告期末的收入、费用、利润纳入</w:t>
      </w:r>
      <w:r>
        <w:rPr>
          <w:spacing w:val="-86"/>
        </w:rPr>
        <w:t> </w:t>
      </w:r>
      <w:r>
        <w:rPr>
          <w:spacing w:val="-86"/>
        </w:rPr>
      </w:r>
      <w:r>
        <w:rPr/>
        <w:t>合并利润表；编制合并现金流量表时，将该子公司购买日至报告期末的现金流量纳入合并现金流量表。</w:t>
      </w:r>
    </w:p>
    <w:p>
      <w:pPr>
        <w:pStyle w:val="BodyText"/>
        <w:spacing w:line="408" w:lineRule="auto" w:before="46"/>
        <w:ind w:right="1109" w:firstLine="420"/>
        <w:jc w:val="both"/>
      </w:pPr>
      <w:r>
        <w:rPr/>
        <w:t>本公司在报告期内处置子公司以及业务，编制合并资产负债表时，不调整合并资产负债表的期初数； </w:t>
      </w:r>
      <w:r>
        <w:rPr>
          <w:spacing w:val="-1"/>
        </w:rPr>
        <w:t>编制合并利润表时，将该子公司以及业务期初至处置日的收入、费用、利润纳入合并利润表；编制合并现</w:t>
      </w:r>
      <w:r>
        <w:rPr>
          <w:spacing w:val="-86"/>
        </w:rPr>
        <w:t> </w:t>
      </w:r>
      <w:r>
        <w:rPr>
          <w:spacing w:val="-86"/>
        </w:rPr>
      </w:r>
      <w:r>
        <w:rPr/>
        <w:t>金流量表时，将该子公司以及业务期初至处置日的现金流量纳入合并现金流量表。</w:t>
      </w:r>
    </w:p>
    <w:p>
      <w:pPr>
        <w:pStyle w:val="BodyText"/>
        <w:spacing w:line="240" w:lineRule="auto" w:before="46"/>
        <w:ind w:left="1553" w:right="0"/>
        <w:jc w:val="left"/>
      </w:pPr>
      <w:r>
        <w:rPr>
          <w:rFonts w:ascii="宋体" w:hAnsi="宋体" w:cs="宋体" w:eastAsia="宋体" w:hint="default"/>
        </w:rPr>
        <w:t>6.6</w:t>
      </w:r>
      <w:r>
        <w:rPr/>
        <w:t>特殊交易会计处理</w:t>
      </w:r>
    </w:p>
    <w:p>
      <w:pPr>
        <w:spacing w:line="240" w:lineRule="auto" w:before="10"/>
        <w:rPr>
          <w:rFonts w:ascii="宋体" w:hAnsi="宋体" w:cs="宋体" w:eastAsia="宋体" w:hint="default"/>
          <w:sz w:val="14"/>
          <w:szCs w:val="14"/>
        </w:rPr>
      </w:pPr>
    </w:p>
    <w:p>
      <w:pPr>
        <w:pStyle w:val="BodyText"/>
        <w:spacing w:line="408" w:lineRule="auto"/>
        <w:ind w:left="1553" w:right="0"/>
        <w:jc w:val="left"/>
      </w:pPr>
      <w:r>
        <w:rPr>
          <w:rFonts w:ascii="宋体" w:hAnsi="宋体" w:cs="宋体" w:eastAsia="宋体" w:hint="default"/>
        </w:rPr>
        <w:t>6.6.1</w:t>
      </w:r>
      <w:r>
        <w:rPr/>
        <w:t>购买子公司少数股东拥有的子公司股权 </w:t>
      </w:r>
      <w:r>
        <w:rPr>
          <w:spacing w:val="-1"/>
        </w:rPr>
        <w:t>在合并财务报表中，因购买少数股权新取得的长期股权投资与按照新增持股比例计算应享有子公司自</w:t>
      </w:r>
    </w:p>
    <w:p>
      <w:pPr>
        <w:pStyle w:val="BodyText"/>
        <w:spacing w:line="408" w:lineRule="auto" w:before="46"/>
        <w:ind w:right="1131"/>
        <w:jc w:val="both"/>
      </w:pPr>
      <w:r>
        <w:rPr>
          <w:spacing w:val="-1"/>
        </w:rPr>
        <w:t>购买日或合并日开始持续计算的净资产份额之间的差额，调整资本公积</w:t>
      </w:r>
      <w:r>
        <w:rPr>
          <w:rFonts w:ascii="宋体" w:hAnsi="宋体" w:cs="宋体" w:eastAsia="宋体" w:hint="default"/>
          <w:spacing w:val="-1"/>
        </w:rPr>
        <w:t>(</w:t>
      </w:r>
      <w:r>
        <w:rPr>
          <w:spacing w:val="-1"/>
        </w:rPr>
        <w:t>资本溢价或股本溢价</w:t>
      </w:r>
      <w:r>
        <w:rPr>
          <w:rFonts w:ascii="宋体" w:hAnsi="宋体" w:cs="宋体" w:eastAsia="宋体" w:hint="default"/>
          <w:spacing w:val="-1"/>
        </w:rPr>
        <w:t>)</w:t>
      </w:r>
      <w:r>
        <w:rPr>
          <w:spacing w:val="-1"/>
        </w:rPr>
        <w:t>，资本公积</w:t>
      </w:r>
      <w:r>
        <w:rPr>
          <w:spacing w:val="-83"/>
        </w:rPr>
        <w:t> </w:t>
      </w:r>
      <w:r>
        <w:rPr>
          <w:spacing w:val="-83"/>
        </w:rPr>
      </w:r>
      <w:r>
        <w:rPr/>
        <w:t>不足冲减的，调整留存收益。</w:t>
      </w:r>
    </w:p>
    <w:p>
      <w:pPr>
        <w:pStyle w:val="BodyText"/>
        <w:spacing w:line="408" w:lineRule="auto" w:before="46"/>
        <w:ind w:left="1554" w:right="0"/>
        <w:jc w:val="left"/>
      </w:pPr>
      <w:r>
        <w:rPr>
          <w:rFonts w:ascii="宋体" w:hAnsi="宋体" w:cs="宋体" w:eastAsia="宋体" w:hint="default"/>
        </w:rPr>
        <w:t>6.6.2</w:t>
      </w:r>
      <w:r>
        <w:rPr/>
        <w:t>不丧失控制权的情况下处置对子公司长期股权投资 </w:t>
      </w:r>
      <w:r>
        <w:rPr>
          <w:spacing w:val="-1"/>
        </w:rPr>
        <w:t>在不丧失控制权的情况下部分处置对子公司的长期股权投资，在合并财务报表中，处置价款与处置长</w:t>
      </w:r>
    </w:p>
    <w:p>
      <w:pPr>
        <w:pStyle w:val="BodyText"/>
        <w:spacing w:line="408" w:lineRule="auto" w:before="46"/>
        <w:ind w:left="1134" w:right="1132"/>
        <w:jc w:val="both"/>
      </w:pPr>
      <w:r>
        <w:rPr>
          <w:spacing w:val="-1"/>
        </w:rPr>
        <w:t>期股权投资相对应享有子公司自购买日或合并日开始持续计算的净资产份额之间的差额，应当调整资本公</w:t>
      </w:r>
      <w:r>
        <w:rPr>
          <w:spacing w:val="-81"/>
        </w:rPr>
        <w:t> </w:t>
      </w:r>
      <w:r>
        <w:rPr>
          <w:spacing w:val="-81"/>
        </w:rPr>
      </w:r>
      <w:r>
        <w:rPr/>
        <w:t>积</w:t>
      </w:r>
      <w:r>
        <w:rPr>
          <w:rFonts w:ascii="宋体" w:hAnsi="宋体" w:cs="宋体" w:eastAsia="宋体" w:hint="default"/>
        </w:rPr>
        <w:t>(</w:t>
      </w:r>
      <w:r>
        <w:rPr/>
        <w:t>资本溢价或股本溢价</w:t>
      </w:r>
      <w:r>
        <w:rPr>
          <w:rFonts w:ascii="宋体" w:hAnsi="宋体" w:cs="宋体" w:eastAsia="宋体" w:hint="default"/>
        </w:rPr>
        <w:t>)</w:t>
      </w:r>
      <w:r>
        <w:rPr/>
        <w:t>，资本公积不足冲减的，调整留存收益。</w:t>
      </w:r>
    </w:p>
    <w:p>
      <w:pPr>
        <w:pStyle w:val="BodyText"/>
        <w:spacing w:line="408" w:lineRule="auto" w:before="46"/>
        <w:ind w:left="1554" w:right="0"/>
        <w:jc w:val="left"/>
      </w:pPr>
      <w:r>
        <w:rPr>
          <w:rFonts w:ascii="宋体" w:hAnsi="宋体" w:cs="宋体" w:eastAsia="宋体" w:hint="default"/>
        </w:rPr>
        <w:t>6.6.3</w:t>
      </w:r>
      <w:r>
        <w:rPr/>
        <w:t>处置部分股权投资等原因丧失了对被投资方的控制权时，对于剩余股权的处理 </w:t>
      </w:r>
      <w:r>
        <w:rPr>
          <w:spacing w:val="-1"/>
        </w:rPr>
        <w:t>在编制合并财务报表时，对于剩余股权，按照其在丧失控制权日的公允价值进行重新计量。处置股权</w:t>
      </w:r>
    </w:p>
    <w:p>
      <w:pPr>
        <w:pStyle w:val="BodyText"/>
        <w:spacing w:line="408" w:lineRule="auto" w:before="46"/>
        <w:ind w:left="1134" w:right="1130"/>
        <w:jc w:val="both"/>
      </w:pPr>
      <w:r>
        <w:rPr>
          <w:spacing w:val="-1"/>
        </w:rPr>
        <w:t>取得的对价与剩余股权公允价值之和，减去按原持股比例计算应享有原有子公司自购买日或合并日开始持</w:t>
      </w:r>
      <w:r>
        <w:rPr>
          <w:spacing w:val="-80"/>
        </w:rPr>
        <w:t> </w:t>
      </w:r>
      <w:r>
        <w:rPr>
          <w:spacing w:val="-80"/>
        </w:rPr>
      </w:r>
      <w:r>
        <w:rPr>
          <w:spacing w:val="-1"/>
        </w:rPr>
        <w:t>续计算的净资产的份额之间的差额，计入丧失控制权当期的投资收益，同时冲减商誉。与原有子公司股权</w:t>
      </w:r>
      <w:r>
        <w:rPr>
          <w:spacing w:val="-83"/>
        </w:rPr>
        <w:t> </w:t>
      </w:r>
      <w:r>
        <w:rPr>
          <w:spacing w:val="-83"/>
        </w:rPr>
      </w:r>
      <w:r>
        <w:rPr/>
        <w:t>投资相关的其他综合收益等，在丧失控制权时转为当期投资收益。</w:t>
      </w:r>
    </w:p>
    <w:p>
      <w:pPr>
        <w:pStyle w:val="BodyText"/>
        <w:spacing w:line="240" w:lineRule="auto" w:before="46"/>
        <w:ind w:left="1554" w:right="0"/>
        <w:jc w:val="left"/>
      </w:pPr>
      <w:r>
        <w:rPr>
          <w:rFonts w:ascii="宋体" w:hAnsi="宋体" w:cs="宋体" w:eastAsia="宋体" w:hint="default"/>
        </w:rPr>
        <w:t>6.6.4</w:t>
      </w:r>
      <w:r>
        <w:rPr/>
        <w:t>企业通过多次交易分步处置对子公司股权投资直至丧失控制权，且该多次交易属于一揽子交易</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right="0"/>
        <w:jc w:val="left"/>
      </w:pPr>
      <w:r>
        <w:rPr/>
        <w:t>的处理</w:t>
      </w:r>
    </w:p>
    <w:p>
      <w:pPr>
        <w:spacing w:line="240" w:lineRule="auto" w:before="10"/>
        <w:rPr>
          <w:rFonts w:ascii="宋体" w:hAnsi="宋体" w:cs="宋体" w:eastAsia="宋体" w:hint="default"/>
          <w:sz w:val="14"/>
          <w:szCs w:val="14"/>
        </w:rPr>
      </w:pPr>
    </w:p>
    <w:p>
      <w:pPr>
        <w:pStyle w:val="BodyText"/>
        <w:spacing w:line="408" w:lineRule="auto"/>
        <w:ind w:right="1131" w:firstLine="420"/>
        <w:jc w:val="both"/>
      </w:pPr>
      <w:r>
        <w:rPr>
          <w:spacing w:val="-1"/>
        </w:rPr>
        <w:t>处置对子公司股权投资直至丧失控制权的各项交易属于一揽子交易的，应当将各项交易作为一项处置</w:t>
      </w:r>
      <w:r>
        <w:rPr/>
        <w:t> </w:t>
      </w:r>
      <w:r>
        <w:rPr>
          <w:spacing w:val="-1"/>
        </w:rPr>
        <w:t>子公司并丧失控制权的交易进行会计处理；但是，在丧失控制权之前每一次处置价款与处置投资对应的享</w:t>
      </w:r>
      <w:r>
        <w:rPr>
          <w:spacing w:val="-81"/>
        </w:rPr>
        <w:t> </w:t>
      </w:r>
      <w:r>
        <w:rPr>
          <w:spacing w:val="-81"/>
        </w:rPr>
      </w:r>
      <w:r>
        <w:rPr>
          <w:spacing w:val="-1"/>
        </w:rPr>
        <w:t>有该子公司净资产份额的差额，在合并财务报表中确认为其他综合收益，在丧失控制权时一并转入丧失控</w:t>
      </w:r>
      <w:r>
        <w:rPr>
          <w:spacing w:val="-81"/>
        </w:rPr>
        <w:t> </w:t>
      </w:r>
      <w:r>
        <w:rPr>
          <w:spacing w:val="-81"/>
        </w:rPr>
      </w:r>
      <w:r>
        <w:rPr/>
        <w:t>制权当期的损益。</w:t>
      </w:r>
    </w:p>
    <w:p>
      <w:pPr>
        <w:pStyle w:val="BodyText"/>
        <w:spacing w:line="408" w:lineRule="auto" w:before="46"/>
        <w:ind w:left="1553" w:right="0"/>
        <w:jc w:val="left"/>
      </w:pPr>
      <w:r>
        <w:rPr/>
        <w:t>判断分步处置股权至丧失控制权过程的各项交易是否属于一揽子交易的原则如下： </w:t>
      </w:r>
      <w:r>
        <w:rPr>
          <w:spacing w:val="-1"/>
        </w:rPr>
        <w:t>处置对子公司股权投资的各项交易的条款、条件以及经济影响符合以下一种或多种情况，通常表明多</w:t>
      </w:r>
    </w:p>
    <w:p>
      <w:pPr>
        <w:pStyle w:val="BodyText"/>
        <w:spacing w:line="408" w:lineRule="auto" w:before="46"/>
        <w:ind w:left="1553" w:right="4768" w:hanging="420"/>
        <w:jc w:val="left"/>
      </w:pPr>
      <w:r>
        <w:rPr/>
        <w:t>次交易事项属于一揽子交易： </w:t>
      </w:r>
      <w:r>
        <w:rPr>
          <w:rFonts w:ascii="宋体" w:hAnsi="宋体" w:cs="宋体" w:eastAsia="宋体" w:hint="default"/>
        </w:rPr>
        <w:t>1</w:t>
      </w:r>
      <w:r>
        <w:rPr/>
        <w:t>）这些交易是同时或者在考虑了彼此影响的情况下订立的；</w:t>
      </w:r>
    </w:p>
    <w:p>
      <w:pPr>
        <w:pStyle w:val="BodyText"/>
        <w:spacing w:line="240" w:lineRule="auto" w:before="46"/>
        <w:ind w:left="1553" w:right="0"/>
        <w:jc w:val="left"/>
      </w:pPr>
      <w:r>
        <w:rPr>
          <w:rFonts w:ascii="宋体" w:hAnsi="宋体" w:cs="宋体" w:eastAsia="宋体" w:hint="default"/>
        </w:rPr>
        <w:t>2</w:t>
      </w:r>
      <w:r>
        <w:rPr/>
        <w:t>）这些交易整体才能达成一项完整的商业结果；</w:t>
      </w:r>
    </w:p>
    <w:p>
      <w:pPr>
        <w:spacing w:line="240" w:lineRule="auto" w:before="10"/>
        <w:rPr>
          <w:rFonts w:ascii="宋体" w:hAnsi="宋体" w:cs="宋体" w:eastAsia="宋体" w:hint="default"/>
          <w:sz w:val="14"/>
          <w:szCs w:val="14"/>
        </w:rPr>
      </w:pPr>
    </w:p>
    <w:p>
      <w:pPr>
        <w:pStyle w:val="BodyText"/>
        <w:spacing w:line="240" w:lineRule="auto"/>
        <w:ind w:left="1553" w:right="0"/>
        <w:jc w:val="left"/>
      </w:pPr>
      <w:r>
        <w:rPr>
          <w:rFonts w:ascii="宋体" w:hAnsi="宋体" w:cs="宋体" w:eastAsia="宋体" w:hint="default"/>
        </w:rPr>
        <w:t>3</w:t>
      </w:r>
      <w:r>
        <w:rPr/>
        <w:t>）一项交易的发生取决于其他至少一项交易的发生；</w:t>
      </w:r>
    </w:p>
    <w:p>
      <w:pPr>
        <w:spacing w:line="240" w:lineRule="auto" w:before="10"/>
        <w:rPr>
          <w:rFonts w:ascii="宋体" w:hAnsi="宋体" w:cs="宋体" w:eastAsia="宋体" w:hint="default"/>
          <w:sz w:val="14"/>
          <w:szCs w:val="14"/>
        </w:rPr>
      </w:pPr>
    </w:p>
    <w:p>
      <w:pPr>
        <w:pStyle w:val="BodyText"/>
        <w:spacing w:line="240" w:lineRule="auto"/>
        <w:ind w:left="1553" w:right="0"/>
        <w:jc w:val="left"/>
      </w:pPr>
      <w:r>
        <w:rPr>
          <w:rFonts w:ascii="宋体" w:hAnsi="宋体" w:cs="宋体" w:eastAsia="宋体" w:hint="default"/>
        </w:rPr>
        <w:t>4</w:t>
      </w:r>
      <w:r>
        <w:rPr/>
        <w:t>）一项交易单独看是不经济的，但是和其他交易一并考虑时是经济的。</w:t>
      </w:r>
    </w:p>
    <w:p>
      <w:pPr>
        <w:spacing w:line="240" w:lineRule="auto" w:before="6"/>
        <w:rPr>
          <w:rFonts w:ascii="宋体" w:hAnsi="宋体" w:cs="宋体" w:eastAsia="宋体" w:hint="default"/>
          <w:sz w:val="15"/>
          <w:szCs w:val="15"/>
        </w:rPr>
      </w:pPr>
    </w:p>
    <w:p>
      <w:pPr>
        <w:spacing w:before="0"/>
        <w:ind w:left="1133" w:right="0" w:firstLine="0"/>
        <w:jc w:val="left"/>
        <w:rPr>
          <w:rFonts w:ascii="宋体" w:hAnsi="宋体" w:cs="宋体" w:eastAsia="宋体" w:hint="default"/>
          <w:sz w:val="20"/>
          <w:szCs w:val="20"/>
        </w:rPr>
      </w:pPr>
      <w:bookmarkStart w:name="7、合营安排分类及共同经营会计处理方法" w:id="168"/>
      <w:bookmarkEnd w:id="168"/>
      <w:r>
        <w:rPr/>
      </w:r>
      <w:r>
        <w:rPr>
          <w:rFonts w:ascii="宋体" w:hAnsi="宋体" w:cs="宋体" w:eastAsia="宋体" w:hint="default"/>
          <w:b/>
          <w:bCs/>
          <w:sz w:val="20"/>
          <w:szCs w:val="20"/>
        </w:rPr>
        <w:t>7</w:t>
      </w:r>
      <w:r>
        <w:rPr>
          <w:rFonts w:ascii="宋体" w:hAnsi="宋体" w:cs="宋体" w:eastAsia="宋体" w:hint="default"/>
          <w:b/>
          <w:bCs/>
          <w:sz w:val="20"/>
          <w:szCs w:val="20"/>
        </w:rPr>
        <w:t>、合营安排分类及共同经营会计处理方法</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553" w:right="6973"/>
        <w:jc w:val="left"/>
      </w:pPr>
      <w:r>
        <w:rPr>
          <w:rFonts w:ascii="宋体" w:hAnsi="宋体" w:cs="宋体" w:eastAsia="宋体" w:hint="default"/>
        </w:rPr>
        <w:t>7.1</w:t>
      </w:r>
      <w:r>
        <w:rPr/>
        <w:t>合营安排的分类 合营安排分为共同经营和合营企业。 </w:t>
      </w:r>
      <w:r>
        <w:rPr>
          <w:rFonts w:ascii="宋体" w:hAnsi="宋体" w:cs="宋体" w:eastAsia="宋体" w:hint="default"/>
        </w:rPr>
        <w:t>7.2</w:t>
      </w:r>
      <w:r>
        <w:rPr/>
        <w:t>共同经营参与方的会计处理</w:t>
      </w:r>
    </w:p>
    <w:p>
      <w:pPr>
        <w:pStyle w:val="BodyText"/>
        <w:spacing w:line="408" w:lineRule="auto" w:before="46"/>
        <w:ind w:right="1116" w:firstLine="420"/>
        <w:jc w:val="left"/>
      </w:pPr>
      <w:r>
        <w:rPr>
          <w:spacing w:val="3"/>
        </w:rPr>
        <w:t>合营方确认其与共同经营中利益份额相关的下列项目，并按照相关企业会计准则的规定进行会计处</w:t>
      </w:r>
      <w:r>
        <w:rPr/>
        <w:t> 理：</w:t>
      </w:r>
    </w:p>
    <w:p>
      <w:pPr>
        <w:pStyle w:val="BodyText"/>
        <w:spacing w:line="240" w:lineRule="auto" w:before="46"/>
        <w:ind w:left="1554" w:right="0"/>
        <w:jc w:val="left"/>
      </w:pPr>
      <w:r>
        <w:rPr>
          <w:rFonts w:ascii="宋体" w:hAnsi="宋体" w:cs="宋体" w:eastAsia="宋体" w:hint="default"/>
        </w:rPr>
        <w:t>1</w:t>
      </w:r>
      <w:r>
        <w:rPr/>
        <w:t>）确认单独所持有的资产，以及按其份额确认共同持有的资产；</w:t>
      </w:r>
    </w:p>
    <w:p>
      <w:pPr>
        <w:spacing w:line="240" w:lineRule="auto" w:before="10"/>
        <w:rPr>
          <w:rFonts w:ascii="宋体" w:hAnsi="宋体" w:cs="宋体" w:eastAsia="宋体" w:hint="default"/>
          <w:sz w:val="14"/>
          <w:szCs w:val="14"/>
        </w:rPr>
      </w:pPr>
    </w:p>
    <w:p>
      <w:pPr>
        <w:pStyle w:val="BodyText"/>
        <w:spacing w:line="240" w:lineRule="auto"/>
        <w:ind w:left="1553" w:right="0"/>
        <w:jc w:val="left"/>
      </w:pPr>
      <w:r>
        <w:rPr>
          <w:rFonts w:ascii="宋体" w:hAnsi="宋体" w:cs="宋体" w:eastAsia="宋体" w:hint="default"/>
        </w:rPr>
        <w:t>2</w:t>
      </w:r>
      <w:r>
        <w:rPr/>
        <w:t>）确认单独所承担的负债，以及按其份额确认共同承担的负债；</w:t>
      </w:r>
    </w:p>
    <w:p>
      <w:pPr>
        <w:spacing w:line="240" w:lineRule="auto" w:before="10"/>
        <w:rPr>
          <w:rFonts w:ascii="宋体" w:hAnsi="宋体" w:cs="宋体" w:eastAsia="宋体" w:hint="default"/>
          <w:sz w:val="14"/>
          <w:szCs w:val="14"/>
        </w:rPr>
      </w:pPr>
    </w:p>
    <w:p>
      <w:pPr>
        <w:pStyle w:val="BodyText"/>
        <w:spacing w:line="240" w:lineRule="auto"/>
        <w:ind w:left="1553" w:right="0"/>
        <w:jc w:val="left"/>
      </w:pPr>
      <w:r>
        <w:rPr>
          <w:rFonts w:ascii="宋体" w:hAnsi="宋体" w:cs="宋体" w:eastAsia="宋体" w:hint="default"/>
        </w:rPr>
        <w:t>3</w:t>
      </w:r>
      <w:r>
        <w:rPr/>
        <w:t>）确认出售其享有的共同经营产出份额所产生的收入；</w:t>
      </w:r>
    </w:p>
    <w:p>
      <w:pPr>
        <w:spacing w:line="240" w:lineRule="auto" w:before="10"/>
        <w:rPr>
          <w:rFonts w:ascii="宋体" w:hAnsi="宋体" w:cs="宋体" w:eastAsia="宋体" w:hint="default"/>
          <w:sz w:val="14"/>
          <w:szCs w:val="14"/>
        </w:rPr>
      </w:pPr>
    </w:p>
    <w:p>
      <w:pPr>
        <w:pStyle w:val="BodyText"/>
        <w:spacing w:line="240" w:lineRule="auto"/>
        <w:ind w:left="1553" w:right="0"/>
        <w:jc w:val="left"/>
      </w:pPr>
      <w:r>
        <w:rPr>
          <w:rFonts w:ascii="宋体" w:hAnsi="宋体" w:cs="宋体" w:eastAsia="宋体" w:hint="default"/>
        </w:rPr>
        <w:t>4</w:t>
      </w:r>
      <w:r>
        <w:rPr/>
        <w:t>）按其份额确认共同经营因出售产出所产生的收入；</w:t>
      </w:r>
    </w:p>
    <w:p>
      <w:pPr>
        <w:spacing w:line="240" w:lineRule="auto" w:before="10"/>
        <w:rPr>
          <w:rFonts w:ascii="宋体" w:hAnsi="宋体" w:cs="宋体" w:eastAsia="宋体" w:hint="default"/>
          <w:sz w:val="14"/>
          <w:szCs w:val="14"/>
        </w:rPr>
      </w:pPr>
    </w:p>
    <w:p>
      <w:pPr>
        <w:pStyle w:val="BodyText"/>
        <w:spacing w:line="408" w:lineRule="auto"/>
        <w:ind w:left="1553" w:right="0"/>
        <w:jc w:val="left"/>
      </w:pPr>
      <w:r>
        <w:rPr>
          <w:rFonts w:ascii="宋体" w:hAnsi="宋体" w:cs="宋体" w:eastAsia="宋体" w:hint="default"/>
        </w:rPr>
        <w:t>5</w:t>
      </w:r>
      <w:r>
        <w:rPr/>
        <w:t>）确认单独所发生的费用，以及按其份额确认共同经营发生的费用。 </w:t>
      </w:r>
      <w:r>
        <w:rPr>
          <w:spacing w:val="-1"/>
        </w:rPr>
        <w:t>合营方向共同经营投出或出售资产等</w:t>
      </w:r>
      <w:r>
        <w:rPr>
          <w:rFonts w:ascii="宋体" w:hAnsi="宋体" w:cs="宋体" w:eastAsia="宋体" w:hint="default"/>
          <w:spacing w:val="-1"/>
        </w:rPr>
        <w:t>(</w:t>
      </w:r>
      <w:r>
        <w:rPr>
          <w:spacing w:val="-1"/>
        </w:rPr>
        <w:t>该资产构成业务的除外</w:t>
      </w:r>
      <w:r>
        <w:rPr>
          <w:rFonts w:ascii="宋体" w:hAnsi="宋体" w:cs="宋体" w:eastAsia="宋体" w:hint="default"/>
          <w:spacing w:val="-1"/>
        </w:rPr>
        <w:t>)</w:t>
      </w:r>
      <w:r>
        <w:rPr>
          <w:spacing w:val="-1"/>
        </w:rPr>
        <w:t>，在该资产等由共同经营出售给第三方</w:t>
      </w:r>
    </w:p>
    <w:p>
      <w:pPr>
        <w:pStyle w:val="BodyText"/>
        <w:spacing w:line="408" w:lineRule="auto" w:before="46"/>
        <w:ind w:right="0"/>
        <w:jc w:val="left"/>
      </w:pPr>
      <w:r>
        <w:rPr>
          <w:spacing w:val="-1"/>
        </w:rPr>
        <w:t>之前，仅确认因该交易产生的损益中归属于共同经营其他参与方的部分。投出或出售的资产发生符合《企</w:t>
      </w:r>
      <w:r>
        <w:rPr>
          <w:spacing w:val="-83"/>
        </w:rPr>
        <w:t> </w:t>
      </w:r>
      <w:r>
        <w:rPr>
          <w:spacing w:val="-83"/>
        </w:rPr>
      </w:r>
      <w:r>
        <w:rPr/>
        <w:t>业会计准则第</w:t>
      </w:r>
      <w:r>
        <w:rPr>
          <w:rFonts w:ascii="宋体" w:hAnsi="宋体" w:cs="宋体" w:eastAsia="宋体" w:hint="default"/>
        </w:rPr>
        <w:t>8</w:t>
      </w:r>
      <w:r>
        <w:rPr/>
        <w:t>号——资产减值》等规定的资产减值损失的，合营方全额确认该损失。</w:t>
      </w:r>
    </w:p>
    <w:p>
      <w:pPr>
        <w:pStyle w:val="BodyText"/>
        <w:spacing w:line="408" w:lineRule="auto" w:before="46"/>
        <w:ind w:right="1128" w:firstLine="420"/>
        <w:jc w:val="both"/>
      </w:pPr>
      <w:r>
        <w:rPr>
          <w:spacing w:val="-1"/>
        </w:rPr>
        <w:t>合营方自共同经营购买资产等</w:t>
      </w:r>
      <w:r>
        <w:rPr>
          <w:rFonts w:ascii="宋体" w:hAnsi="宋体" w:cs="宋体" w:eastAsia="宋体" w:hint="default"/>
          <w:spacing w:val="-1"/>
        </w:rPr>
        <w:t>(</w:t>
      </w:r>
      <w:r>
        <w:rPr>
          <w:spacing w:val="-1"/>
        </w:rPr>
        <w:t>该资产构成业务的除外</w:t>
      </w:r>
      <w:r>
        <w:rPr>
          <w:rFonts w:ascii="宋体" w:hAnsi="宋体" w:cs="宋体" w:eastAsia="宋体" w:hint="default"/>
          <w:spacing w:val="-1"/>
        </w:rPr>
        <w:t>)</w:t>
      </w:r>
      <w:r>
        <w:rPr>
          <w:spacing w:val="-1"/>
        </w:rPr>
        <w:t>，在将该资产等出售给第三方之前，仅确认因</w:t>
      </w:r>
      <w:r>
        <w:rPr/>
        <w:t> 该交易产生的损益中归属于共同经营其他参与方的部分。购入的资产发生符合《企业会计准则第</w:t>
      </w:r>
      <w:r>
        <w:rPr>
          <w:rFonts w:ascii="宋体" w:hAnsi="宋体" w:cs="宋体" w:eastAsia="宋体" w:hint="default"/>
        </w:rPr>
        <w:t>8</w:t>
      </w:r>
      <w:r>
        <w:rPr/>
        <w:t>号——</w:t>
      </w:r>
      <w:r>
        <w:rPr>
          <w:spacing w:val="-23"/>
        </w:rPr>
        <w:t> </w:t>
      </w:r>
      <w:r>
        <w:rPr>
          <w:spacing w:val="-23"/>
        </w:rPr>
      </w:r>
      <w:r>
        <w:rPr/>
        <w:t>资产减值》等规定的资产减值损失的，合营方按其承担的份额确认该部分损失。</w:t>
      </w:r>
    </w:p>
    <w:p>
      <w:pPr>
        <w:pStyle w:val="BodyText"/>
        <w:spacing w:line="240" w:lineRule="auto" w:before="46"/>
        <w:ind w:left="1553" w:right="0"/>
        <w:jc w:val="left"/>
      </w:pPr>
      <w:r>
        <w:rPr/>
        <w:t>对共同经营不享有共同控制的参与方，如果享有该共同经营相关资产且承担该共同经营相关负债的，</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right="0"/>
        <w:jc w:val="left"/>
      </w:pPr>
      <w:r>
        <w:rPr/>
        <w:t>按照上述方法进行会计处理；否则，按照相关企业会计准则的规定进行会计处理。</w:t>
      </w:r>
    </w:p>
    <w:p>
      <w:pPr>
        <w:spacing w:line="240" w:lineRule="auto" w:before="6"/>
        <w:rPr>
          <w:rFonts w:ascii="宋体" w:hAnsi="宋体" w:cs="宋体" w:eastAsia="宋体" w:hint="default"/>
          <w:sz w:val="15"/>
          <w:szCs w:val="15"/>
        </w:rPr>
      </w:pPr>
    </w:p>
    <w:p>
      <w:pPr>
        <w:spacing w:before="0"/>
        <w:ind w:left="1133" w:right="0" w:firstLine="0"/>
        <w:jc w:val="left"/>
        <w:rPr>
          <w:rFonts w:ascii="宋体" w:hAnsi="宋体" w:cs="宋体" w:eastAsia="宋体" w:hint="default"/>
          <w:sz w:val="20"/>
          <w:szCs w:val="20"/>
        </w:rPr>
      </w:pPr>
      <w:bookmarkStart w:name="8、现金及现金等价物的确定标准" w:id="169"/>
      <w:bookmarkEnd w:id="169"/>
      <w:r>
        <w:rPr/>
      </w:r>
      <w:r>
        <w:rPr>
          <w:rFonts w:ascii="宋体" w:hAnsi="宋体" w:cs="宋体" w:eastAsia="宋体" w:hint="default"/>
          <w:b/>
          <w:bCs/>
          <w:sz w:val="20"/>
          <w:szCs w:val="20"/>
        </w:rPr>
        <w:t>8</w:t>
      </w:r>
      <w:r>
        <w:rPr>
          <w:rFonts w:ascii="宋体" w:hAnsi="宋体" w:cs="宋体" w:eastAsia="宋体" w:hint="default"/>
          <w:b/>
          <w:bCs/>
          <w:sz w:val="20"/>
          <w:szCs w:val="20"/>
        </w:rPr>
        <w:t>、现金及现金等价物的确定标准</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553" w:right="0"/>
        <w:jc w:val="left"/>
      </w:pPr>
      <w:r>
        <w:rPr>
          <w:spacing w:val="3"/>
        </w:rPr>
        <w:t>列示于现金流量表中的现金是指库存现金及可随时用于支付的存款，现金等价物是指持有的期限短</w:t>
      </w:r>
    </w:p>
    <w:p>
      <w:pPr>
        <w:spacing w:line="240" w:lineRule="auto" w:before="10"/>
        <w:rPr>
          <w:rFonts w:ascii="宋体" w:hAnsi="宋体" w:cs="宋体" w:eastAsia="宋体" w:hint="default"/>
          <w:sz w:val="14"/>
          <w:szCs w:val="14"/>
        </w:rPr>
      </w:pPr>
    </w:p>
    <w:p>
      <w:pPr>
        <w:pStyle w:val="BodyText"/>
        <w:spacing w:line="240" w:lineRule="auto"/>
        <w:ind w:right="0"/>
        <w:jc w:val="left"/>
      </w:pPr>
      <w:r>
        <w:rPr/>
        <w:t>（一般指从购买日起三个月内到期）、流动性强、易于转换为已知金额现金及价值变动风险很小的投资。</w:t>
      </w:r>
    </w:p>
    <w:p>
      <w:pPr>
        <w:spacing w:line="240" w:lineRule="auto" w:before="6"/>
        <w:rPr>
          <w:rFonts w:ascii="宋体" w:hAnsi="宋体" w:cs="宋体" w:eastAsia="宋体" w:hint="default"/>
          <w:sz w:val="15"/>
          <w:szCs w:val="15"/>
        </w:rPr>
      </w:pPr>
    </w:p>
    <w:p>
      <w:pPr>
        <w:spacing w:before="0"/>
        <w:ind w:left="1133" w:right="0" w:firstLine="0"/>
        <w:jc w:val="left"/>
        <w:rPr>
          <w:rFonts w:ascii="宋体" w:hAnsi="宋体" w:cs="宋体" w:eastAsia="宋体" w:hint="default"/>
          <w:sz w:val="20"/>
          <w:szCs w:val="20"/>
        </w:rPr>
      </w:pPr>
      <w:bookmarkStart w:name="9、外币业务和外币报表折算" w:id="170"/>
      <w:bookmarkEnd w:id="170"/>
      <w:r>
        <w:rPr/>
      </w:r>
      <w:r>
        <w:rPr>
          <w:rFonts w:ascii="宋体" w:hAnsi="宋体" w:cs="宋体" w:eastAsia="宋体" w:hint="default"/>
          <w:b/>
          <w:bCs/>
          <w:sz w:val="20"/>
          <w:szCs w:val="20"/>
        </w:rPr>
        <w:t>9</w:t>
      </w:r>
      <w:r>
        <w:rPr>
          <w:rFonts w:ascii="宋体" w:hAnsi="宋体" w:cs="宋体" w:eastAsia="宋体" w:hint="default"/>
          <w:b/>
          <w:bCs/>
          <w:sz w:val="20"/>
          <w:szCs w:val="20"/>
        </w:rPr>
        <w:t>、外币业务和外币报表折算</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553" w:right="4243"/>
        <w:jc w:val="left"/>
      </w:pPr>
      <w:r>
        <w:rPr>
          <w:rFonts w:ascii="宋体" w:hAnsi="宋体" w:cs="宋体" w:eastAsia="宋体" w:hint="default"/>
        </w:rPr>
        <w:t>9.1</w:t>
      </w:r>
      <w:r>
        <w:rPr/>
        <w:t>外币业务 外币业务按业务发生日的即期汇率将外币金额折算为人民币入账。</w:t>
      </w:r>
    </w:p>
    <w:p>
      <w:pPr>
        <w:pStyle w:val="BodyText"/>
        <w:spacing w:line="408" w:lineRule="auto" w:before="46"/>
        <w:ind w:right="1131" w:firstLine="420"/>
        <w:jc w:val="both"/>
      </w:pPr>
      <w:r>
        <w:rPr>
          <w:spacing w:val="-1"/>
        </w:rPr>
        <w:t>于资产负债表日，外币货币性项目采用资产负债表日的即期汇率折算为人民币，所产生的折算差额除</w:t>
      </w:r>
      <w:r>
        <w:rPr/>
        <w:t> </w:t>
      </w:r>
      <w:r>
        <w:rPr>
          <w:spacing w:val="-1"/>
        </w:rPr>
        <w:t>了为购建或生产符合资本化条件的资产而借入的外币借款产生的汇兑差额按资本化的原则处理外，直接计</w:t>
      </w:r>
      <w:r>
        <w:rPr>
          <w:spacing w:val="-81"/>
        </w:rPr>
        <w:t> </w:t>
      </w:r>
      <w:r>
        <w:rPr>
          <w:spacing w:val="-81"/>
        </w:rPr>
      </w:r>
      <w:r>
        <w:rPr/>
        <w:t>入当期损益。以历史成本计量的外币非货币性项目，于资产负债表日采用交易发生日的即期汇率折算。</w:t>
      </w:r>
    </w:p>
    <w:p>
      <w:pPr>
        <w:pStyle w:val="BodyText"/>
        <w:spacing w:line="408" w:lineRule="auto" w:before="46"/>
        <w:ind w:left="1553" w:right="0"/>
        <w:jc w:val="left"/>
      </w:pPr>
      <w:r>
        <w:rPr>
          <w:rFonts w:ascii="宋体" w:hAnsi="宋体" w:cs="宋体" w:eastAsia="宋体" w:hint="default"/>
        </w:rPr>
        <w:t>9.2</w:t>
      </w:r>
      <w:r>
        <w:rPr/>
        <w:t>外币财务报表的折算 </w:t>
      </w:r>
      <w:r>
        <w:rPr>
          <w:spacing w:val="-1"/>
        </w:rPr>
        <w:t>以非记账本位币编制的资产负债表中的资产和负债项目，采用资产负债表日的即期汇率折算成记账本</w:t>
      </w:r>
    </w:p>
    <w:p>
      <w:pPr>
        <w:pStyle w:val="BodyText"/>
        <w:spacing w:line="408" w:lineRule="auto" w:before="46"/>
        <w:ind w:right="1131"/>
        <w:jc w:val="both"/>
      </w:pPr>
      <w:r>
        <w:rPr>
          <w:spacing w:val="-1"/>
        </w:rPr>
        <w:t>位币，所有者权益中除未分配利润项目外，其他项目采用发生时的即期汇率折算。以非记账本位币编制的</w:t>
      </w:r>
      <w:r>
        <w:rPr>
          <w:spacing w:val="-83"/>
        </w:rPr>
        <w:t> </w:t>
      </w:r>
      <w:r>
        <w:rPr>
          <w:spacing w:val="-83"/>
        </w:rPr>
      </w:r>
      <w:r>
        <w:rPr>
          <w:spacing w:val="-1"/>
        </w:rPr>
        <w:t>利润表中的收入与费用项目，采用交易发生日的即期汇率折算成记账本位币。上述折算产生的外币报表折</w:t>
      </w:r>
      <w:r>
        <w:rPr>
          <w:spacing w:val="-81"/>
        </w:rPr>
        <w:t> </w:t>
      </w:r>
      <w:r>
        <w:rPr>
          <w:spacing w:val="-81"/>
        </w:rPr>
      </w:r>
      <w:r>
        <w:rPr>
          <w:spacing w:val="-1"/>
        </w:rPr>
        <w:t>算差额，在其他综合收益中核算。以非记账本位币编制的现金流量表中各项目的现金流量采用现金流量发</w:t>
      </w:r>
      <w:r>
        <w:rPr>
          <w:spacing w:val="-81"/>
        </w:rPr>
        <w:t> </w:t>
      </w:r>
      <w:r>
        <w:rPr>
          <w:spacing w:val="-81"/>
        </w:rPr>
      </w:r>
      <w:r>
        <w:rPr/>
        <w:t>生日的即期汇率折算成记账本位币。汇率变动对现金的影响额，在现金流量表中单独列示。</w:t>
      </w:r>
    </w:p>
    <w:p>
      <w:pPr>
        <w:spacing w:before="55"/>
        <w:ind w:left="1133" w:right="0" w:firstLine="0"/>
        <w:jc w:val="left"/>
        <w:rPr>
          <w:rFonts w:ascii="宋体" w:hAnsi="宋体" w:cs="宋体" w:eastAsia="宋体" w:hint="default"/>
          <w:sz w:val="20"/>
          <w:szCs w:val="20"/>
        </w:rPr>
      </w:pPr>
      <w:bookmarkStart w:name="10、金融工具" w:id="171"/>
      <w:bookmarkEnd w:id="171"/>
      <w:r>
        <w:rPr/>
      </w:r>
      <w:r>
        <w:rPr>
          <w:rFonts w:ascii="宋体" w:hAnsi="宋体" w:cs="宋体" w:eastAsia="宋体" w:hint="default"/>
          <w:b/>
          <w:bCs/>
          <w:sz w:val="20"/>
          <w:szCs w:val="20"/>
        </w:rPr>
        <w:t>10</w:t>
      </w:r>
      <w:r>
        <w:rPr>
          <w:rFonts w:ascii="宋体" w:hAnsi="宋体" w:cs="宋体" w:eastAsia="宋体" w:hint="default"/>
          <w:b/>
          <w:bCs/>
          <w:sz w:val="20"/>
          <w:szCs w:val="20"/>
        </w:rPr>
        <w:t>、金融工具</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553" w:right="4033"/>
        <w:jc w:val="left"/>
      </w:pPr>
      <w:r>
        <w:rPr>
          <w:rFonts w:ascii="宋体" w:hAnsi="宋体" w:cs="宋体" w:eastAsia="宋体" w:hint="default"/>
        </w:rPr>
        <w:t>10.1</w:t>
      </w:r>
      <w:r>
        <w:rPr/>
        <w:t>金融工具的确认和终止确认 本公司于成为金融工具合同的一方时确认一项金融资产或金融负债。 金融资产满足下列条件之一的，终止确认： </w:t>
      </w:r>
      <w:r>
        <w:rPr>
          <w:rFonts w:ascii="宋体" w:hAnsi="宋体" w:cs="宋体" w:eastAsia="宋体" w:hint="default"/>
        </w:rPr>
        <w:t>1</w:t>
      </w:r>
      <w:r>
        <w:rPr/>
        <w:t>）收取该金融资产现金流量的合同权利终止；</w:t>
      </w:r>
    </w:p>
    <w:p>
      <w:pPr>
        <w:pStyle w:val="BodyText"/>
        <w:spacing w:line="408" w:lineRule="auto" w:before="46"/>
        <w:ind w:left="1134" w:right="1137" w:firstLine="420"/>
        <w:jc w:val="both"/>
      </w:pPr>
      <w:r>
        <w:rPr>
          <w:rFonts w:ascii="宋体" w:hAnsi="宋体" w:cs="宋体" w:eastAsia="宋体" w:hint="default"/>
        </w:rPr>
        <w:t>2</w:t>
      </w:r>
      <w:r>
        <w:rPr/>
        <w:t>）该金融资产已转移，且符合《企业会计准则第</w:t>
      </w:r>
      <w:r>
        <w:rPr>
          <w:rFonts w:ascii="宋体" w:hAnsi="宋体" w:cs="宋体" w:eastAsia="宋体" w:hint="default"/>
        </w:rPr>
        <w:t>23</w:t>
      </w:r>
      <w:r>
        <w:rPr/>
        <w:t>号－金融资产转移》规定的金融资产终止确认条 件。</w:t>
      </w:r>
    </w:p>
    <w:p>
      <w:pPr>
        <w:pStyle w:val="BodyText"/>
        <w:spacing w:line="408" w:lineRule="auto" w:before="46"/>
        <w:ind w:left="1553" w:right="1131"/>
        <w:jc w:val="left"/>
      </w:pPr>
      <w:r>
        <w:rPr/>
        <w:t>金融负债的现时义务全部或部分已经解除的，终止确认该金融负债或其一部分。 </w:t>
      </w:r>
      <w:r>
        <w:rPr>
          <w:rFonts w:ascii="宋体" w:hAnsi="宋体" w:cs="宋体" w:eastAsia="宋体" w:hint="default"/>
        </w:rPr>
        <w:t>10.2</w:t>
      </w:r>
      <w:r>
        <w:rPr/>
        <w:t>金融资产的分类 </w:t>
      </w:r>
      <w:r>
        <w:rPr>
          <w:spacing w:val="-1"/>
        </w:rPr>
        <w:t>金融资产于初始确认时分类为：以公允价值计量且其变动计入当期损益的金融资产、应收款项、可供</w:t>
      </w:r>
    </w:p>
    <w:p>
      <w:pPr>
        <w:pStyle w:val="BodyText"/>
        <w:spacing w:line="408" w:lineRule="auto" w:before="46"/>
        <w:ind w:left="1553" w:right="0" w:hanging="420"/>
        <w:jc w:val="left"/>
      </w:pPr>
      <w:r>
        <w:rPr/>
        <w:t>出售金融资产和持有至到期投资。金融资产的分类取决于本公司对金融资产的持有意图和持有能力。 </w:t>
      </w:r>
      <w:r>
        <w:rPr>
          <w:rFonts w:ascii="宋体" w:hAnsi="宋体" w:cs="宋体" w:eastAsia="宋体" w:hint="default"/>
        </w:rPr>
        <w:t>1</w:t>
      </w:r>
      <w:r>
        <w:rPr/>
        <w:t>）以公允价值计量且其变动计入当期损益的金融资产 </w:t>
      </w:r>
      <w:r>
        <w:rPr>
          <w:spacing w:val="-1"/>
        </w:rPr>
        <w:t>以公允价值计量且其变动计入当期损益的金融资产包括持有目的为短期内出售的金融资产，该资产在</w:t>
      </w:r>
    </w:p>
    <w:p>
      <w:pPr>
        <w:pStyle w:val="BodyText"/>
        <w:spacing w:line="240" w:lineRule="auto" w:before="46"/>
        <w:ind w:right="0"/>
        <w:jc w:val="left"/>
      </w:pPr>
      <w:r>
        <w:rPr/>
        <w:t>资产负债表中以交易性金融资产列示。</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left="1553" w:right="1116"/>
        <w:jc w:val="left"/>
      </w:pPr>
      <w:r>
        <w:rPr>
          <w:rFonts w:ascii="宋体" w:hAnsi="宋体" w:cs="宋体" w:eastAsia="宋体" w:hint="default"/>
        </w:rPr>
        <w:t>2</w:t>
      </w:r>
      <w:r>
        <w:rPr/>
        <w:t>）应收款项 </w:t>
      </w:r>
      <w:r>
        <w:rPr>
          <w:spacing w:val="-1"/>
        </w:rPr>
        <w:t>应收款项是指在活跃市场中没有报价、回收金额固定或可确定的非衍生金融资产，包括应收账款、其</w:t>
      </w:r>
    </w:p>
    <w:p>
      <w:pPr>
        <w:pStyle w:val="BodyText"/>
        <w:spacing w:line="408" w:lineRule="auto" w:before="46"/>
        <w:ind w:left="1553" w:right="8233" w:hanging="420"/>
        <w:jc w:val="left"/>
      </w:pPr>
      <w:r>
        <w:rPr/>
        <w:t>他应收款和长期应收款等。 </w:t>
      </w:r>
      <w:r>
        <w:rPr>
          <w:rFonts w:ascii="宋体" w:hAnsi="宋体" w:cs="宋体" w:eastAsia="宋体" w:hint="default"/>
        </w:rPr>
        <w:t>3</w:t>
      </w:r>
      <w:r>
        <w:rPr/>
        <w:t>）可供出售金融资产</w:t>
      </w:r>
    </w:p>
    <w:p>
      <w:pPr>
        <w:pStyle w:val="BodyText"/>
        <w:spacing w:line="408" w:lineRule="auto" w:before="46"/>
        <w:ind w:right="1131" w:firstLine="420"/>
        <w:jc w:val="both"/>
      </w:pPr>
      <w:r>
        <w:rPr>
          <w:spacing w:val="3"/>
        </w:rPr>
        <w:t>可供出售金融资产包括初始确认时即被指定为可供出售的非衍生金融资产及未被划分为其他类的金</w:t>
      </w:r>
      <w:r>
        <w:rPr/>
        <w:t> </w:t>
      </w:r>
      <w:r>
        <w:rPr>
          <w:spacing w:val="-1"/>
        </w:rPr>
        <w:t>融资产。自资产负债表日起</w:t>
      </w:r>
      <w:r>
        <w:rPr>
          <w:rFonts w:ascii="宋体" w:hAnsi="宋体" w:cs="宋体" w:eastAsia="宋体" w:hint="default"/>
          <w:spacing w:val="-1"/>
        </w:rPr>
        <w:t>12</w:t>
      </w:r>
      <w:r>
        <w:rPr>
          <w:spacing w:val="-1"/>
        </w:rPr>
        <w:t>个月内将出售的可供出售金融资产在资产负债表中列示为一年内到期的非流</w:t>
      </w:r>
      <w:r>
        <w:rPr>
          <w:spacing w:val="-82"/>
        </w:rPr>
        <w:t> </w:t>
      </w:r>
      <w:r>
        <w:rPr>
          <w:spacing w:val="-82"/>
        </w:rPr>
      </w:r>
      <w:r>
        <w:rPr/>
        <w:t>动资产。</w:t>
      </w:r>
    </w:p>
    <w:p>
      <w:pPr>
        <w:pStyle w:val="BodyText"/>
        <w:spacing w:line="408" w:lineRule="auto" w:before="46"/>
        <w:ind w:left="1554" w:right="0"/>
        <w:jc w:val="left"/>
      </w:pPr>
      <w:r>
        <w:rPr>
          <w:rFonts w:ascii="宋体" w:hAnsi="宋体" w:cs="宋体" w:eastAsia="宋体" w:hint="default"/>
        </w:rPr>
        <w:t>4</w:t>
      </w:r>
      <w:r>
        <w:rPr/>
        <w:t>）持有至到期投资 </w:t>
      </w:r>
      <w:r>
        <w:rPr>
          <w:spacing w:val="-1"/>
        </w:rPr>
        <w:t>持有至到期投资是指到期日固定、回收金额固定或可确定，且管理层有明确意图和能力持有至到期的</w:t>
      </w:r>
    </w:p>
    <w:p>
      <w:pPr>
        <w:pStyle w:val="BodyText"/>
        <w:spacing w:line="408" w:lineRule="auto" w:before="46"/>
        <w:ind w:right="0"/>
        <w:jc w:val="left"/>
      </w:pPr>
      <w:r>
        <w:rPr>
          <w:spacing w:val="-1"/>
        </w:rPr>
        <w:t>非衍生金融资产。自资产负债表日起</w:t>
      </w:r>
      <w:r>
        <w:rPr>
          <w:rFonts w:ascii="宋体" w:hAnsi="宋体" w:cs="宋体" w:eastAsia="宋体" w:hint="default"/>
          <w:spacing w:val="-1"/>
        </w:rPr>
        <w:t>12</w:t>
      </w:r>
      <w:r>
        <w:rPr>
          <w:spacing w:val="-1"/>
        </w:rPr>
        <w:t>个月内到期的持有至到期投资在资产负债表中列示为一年内到期的</w:t>
      </w:r>
      <w:r>
        <w:rPr>
          <w:spacing w:val="-82"/>
        </w:rPr>
        <w:t> </w:t>
      </w:r>
      <w:r>
        <w:rPr>
          <w:spacing w:val="-82"/>
        </w:rPr>
      </w:r>
      <w:r>
        <w:rPr/>
        <w:t>非流动资产。</w:t>
      </w:r>
    </w:p>
    <w:p>
      <w:pPr>
        <w:pStyle w:val="BodyText"/>
        <w:spacing w:line="408" w:lineRule="auto" w:before="46"/>
        <w:ind w:left="1553" w:right="0"/>
        <w:jc w:val="left"/>
      </w:pPr>
      <w:r>
        <w:rPr>
          <w:rFonts w:ascii="宋体" w:hAnsi="宋体" w:cs="宋体" w:eastAsia="宋体" w:hint="default"/>
        </w:rPr>
        <w:t>10.3</w:t>
      </w:r>
      <w:r>
        <w:rPr/>
        <w:t>金融资产的计量 </w:t>
      </w:r>
      <w:r>
        <w:rPr>
          <w:spacing w:val="-1"/>
        </w:rPr>
        <w:t>金融资产于本公司成为金融工具合同的一方时，按公允价值在资产负债表内确认。以公允价值计量且</w:t>
      </w:r>
    </w:p>
    <w:p>
      <w:pPr>
        <w:pStyle w:val="BodyText"/>
        <w:spacing w:line="408" w:lineRule="auto" w:before="46"/>
        <w:ind w:right="0"/>
        <w:jc w:val="left"/>
      </w:pPr>
      <w:r>
        <w:rPr>
          <w:spacing w:val="-1"/>
        </w:rPr>
        <w:t>其变动计入当期损益的金融资产，取得时发生的相关交易费用直接计入当期损益。其他金融资产的相关交</w:t>
      </w:r>
      <w:r>
        <w:rPr>
          <w:spacing w:val="-81"/>
        </w:rPr>
        <w:t> </w:t>
      </w:r>
      <w:r>
        <w:rPr>
          <w:spacing w:val="-81"/>
        </w:rPr>
      </w:r>
      <w:r>
        <w:rPr/>
        <w:t>易费用计入初始确认金额。</w:t>
      </w:r>
    </w:p>
    <w:p>
      <w:pPr>
        <w:pStyle w:val="BodyText"/>
        <w:spacing w:line="408" w:lineRule="auto" w:before="46"/>
        <w:ind w:right="1110" w:firstLine="420"/>
        <w:jc w:val="both"/>
      </w:pPr>
      <w:r>
        <w:rPr/>
        <w:t>以公允价值计量且其变动计入当期损益的金融资产和可供出售金融资产按照公允价值进行后续计量， </w:t>
      </w:r>
      <w:r>
        <w:rPr>
          <w:spacing w:val="-1"/>
        </w:rPr>
        <w:t>但在活跃市场中没有报价且其公允价值不能可靠计量的权益工具投资，按照成本计量；应收款项以及持有</w:t>
      </w:r>
      <w:r>
        <w:rPr>
          <w:spacing w:val="-81"/>
        </w:rPr>
        <w:t> </w:t>
      </w:r>
      <w:r>
        <w:rPr>
          <w:spacing w:val="-81"/>
        </w:rPr>
      </w:r>
      <w:r>
        <w:rPr/>
        <w:t>至到期投资采用实际利率法，以摊余成本计量。</w:t>
      </w:r>
    </w:p>
    <w:p>
      <w:pPr>
        <w:pStyle w:val="BodyText"/>
        <w:spacing w:line="408" w:lineRule="auto" w:before="46"/>
        <w:ind w:right="1132" w:firstLine="420"/>
        <w:jc w:val="both"/>
      </w:pPr>
      <w:r>
        <w:rPr>
          <w:spacing w:val="-1"/>
        </w:rPr>
        <w:t>以公允价值计量且其变动计入当期损益的金融资产的公允价值变动计入公允价值变动损益；在资产持</w:t>
      </w:r>
      <w:r>
        <w:rPr/>
        <w:t> 有期间所取得的利息或现金股利以及在处置时产生的处置损益，计入当期损益。</w:t>
      </w:r>
    </w:p>
    <w:p>
      <w:pPr>
        <w:pStyle w:val="BodyText"/>
        <w:spacing w:line="408" w:lineRule="auto" w:before="46"/>
        <w:ind w:right="1131" w:firstLine="420"/>
        <w:jc w:val="both"/>
      </w:pPr>
      <w:r>
        <w:rPr>
          <w:spacing w:val="-1"/>
        </w:rPr>
        <w:t>除减值损失及外币货币性金融资产形成的汇兑损益外，可供出售金融资产公允价值变动计入所有者权</w:t>
      </w:r>
      <w:r>
        <w:rPr/>
        <w:t> </w:t>
      </w:r>
      <w:r>
        <w:rPr>
          <w:spacing w:val="-1"/>
        </w:rPr>
        <w:t>益，待该金融资产终止确认时，原直接计入权益的公允价值变动累计额转入当期损益。可供出售债务工具</w:t>
      </w:r>
      <w:r>
        <w:rPr>
          <w:spacing w:val="-83"/>
        </w:rPr>
        <w:t> </w:t>
      </w:r>
      <w:r>
        <w:rPr>
          <w:spacing w:val="-83"/>
        </w:rPr>
      </w:r>
      <w:r>
        <w:rPr>
          <w:spacing w:val="-1"/>
        </w:rPr>
        <w:t>投资在持有期间按实际利率法计算利息，计入投资收益；可供出售权益工具投资的现金股利，于被投资单</w:t>
      </w:r>
      <w:r>
        <w:rPr>
          <w:spacing w:val="-83"/>
        </w:rPr>
        <w:t> </w:t>
      </w:r>
      <w:r>
        <w:rPr>
          <w:spacing w:val="-83"/>
        </w:rPr>
      </w:r>
      <w:r>
        <w:rPr/>
        <w:t>位宣告发放股利时计入投资收益。</w:t>
      </w:r>
    </w:p>
    <w:p>
      <w:pPr>
        <w:pStyle w:val="BodyText"/>
        <w:spacing w:line="408" w:lineRule="auto" w:before="46"/>
        <w:ind w:left="1554" w:right="0"/>
        <w:jc w:val="left"/>
      </w:pPr>
      <w:r>
        <w:rPr>
          <w:rFonts w:ascii="宋体" w:hAnsi="宋体" w:cs="宋体" w:eastAsia="宋体" w:hint="default"/>
        </w:rPr>
        <w:t>10.4</w:t>
      </w:r>
      <w:r>
        <w:rPr/>
        <w:t>金融资产转移的确认依据和计量方法 </w:t>
      </w:r>
      <w:r>
        <w:rPr>
          <w:spacing w:val="-1"/>
        </w:rPr>
        <w:t>公司已将金融资产所有权上几乎所有的风险和报酬转移给转入方的，终止确认该金融资产；保留了金</w:t>
      </w:r>
    </w:p>
    <w:p>
      <w:pPr>
        <w:pStyle w:val="BodyText"/>
        <w:spacing w:line="408" w:lineRule="auto" w:before="46"/>
        <w:ind w:left="1553" w:right="2983" w:hanging="420"/>
        <w:jc w:val="left"/>
      </w:pPr>
      <w:r>
        <w:rPr/>
        <w:t>融资产所有权上几乎所有的风险和报酬的，不终止确认该金融资产。 金融资产整体转移满足终止确认条件的，将下列两项金额的差额计入当期损益： </w:t>
      </w:r>
      <w:r>
        <w:rPr>
          <w:rFonts w:ascii="宋体" w:hAnsi="宋体" w:cs="宋体" w:eastAsia="宋体" w:hint="default"/>
        </w:rPr>
        <w:t>1</w:t>
      </w:r>
      <w:r>
        <w:rPr/>
        <w:t>）所转移金融资产的账面价值；</w:t>
      </w:r>
    </w:p>
    <w:p>
      <w:pPr>
        <w:pStyle w:val="BodyText"/>
        <w:spacing w:line="240" w:lineRule="auto" w:before="46"/>
        <w:ind w:left="1553" w:right="0"/>
        <w:jc w:val="left"/>
      </w:pPr>
      <w:r>
        <w:rPr>
          <w:rFonts w:ascii="宋体" w:hAnsi="宋体" w:cs="宋体" w:eastAsia="宋体" w:hint="default"/>
        </w:rPr>
        <w:t>2</w:t>
      </w:r>
      <w:r>
        <w:rPr/>
        <w:t>）因转移而收到的对价，与原直接计入所有者权益的公允价值变动累计额（涉及转移的金融资产为</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left="1553" w:right="0" w:hanging="420"/>
        <w:jc w:val="left"/>
      </w:pPr>
      <w:r>
        <w:rPr/>
        <w:t>可供出售金融资产的情形）之和。 </w:t>
      </w:r>
      <w:r>
        <w:rPr>
          <w:spacing w:val="-1"/>
        </w:rPr>
        <w:t>因金融资产转移获得了新金融资产或承担了新金融负债的，在转移日按照公允价值确认该金融资产或</w:t>
      </w:r>
    </w:p>
    <w:p>
      <w:pPr>
        <w:pStyle w:val="BodyText"/>
        <w:spacing w:line="408" w:lineRule="auto" w:before="46"/>
        <w:ind w:right="0"/>
        <w:jc w:val="left"/>
      </w:pPr>
      <w:r>
        <w:rPr>
          <w:spacing w:val="-1"/>
        </w:rPr>
        <w:t>金融负债（包括看涨期权、看跌期权、担保负债、远期合同、互换等），并将该金融资产扣除金融负债后</w:t>
      </w:r>
      <w:r>
        <w:rPr>
          <w:spacing w:val="-85"/>
        </w:rPr>
        <w:t> </w:t>
      </w:r>
      <w:r>
        <w:rPr>
          <w:spacing w:val="-85"/>
        </w:rPr>
      </w:r>
      <w:r>
        <w:rPr/>
        <w:t>的净额作为上述对价的组成部分。</w:t>
      </w:r>
    </w:p>
    <w:p>
      <w:pPr>
        <w:pStyle w:val="BodyText"/>
        <w:spacing w:line="408" w:lineRule="auto" w:before="46"/>
        <w:ind w:right="1131" w:firstLine="420"/>
        <w:jc w:val="both"/>
      </w:pPr>
      <w:r>
        <w:rPr>
          <w:spacing w:val="-1"/>
        </w:rPr>
        <w:t>公司与金融资产转入方签订服务合同提供相关服务的（包括收取该金融资产的现金流量，并将所收取</w:t>
      </w:r>
      <w:r>
        <w:rPr/>
        <w:t> </w:t>
      </w:r>
      <w:r>
        <w:rPr>
          <w:spacing w:val="-1"/>
        </w:rPr>
        <w:t>的现金流量交付给指定的资金保管机构等），就该服务合同确认一项服务资产或服务负债。服务负债应当</w:t>
      </w:r>
      <w:r>
        <w:rPr>
          <w:spacing w:val="-83"/>
        </w:rPr>
        <w:t> </w:t>
      </w:r>
      <w:r>
        <w:rPr>
          <w:spacing w:val="-83"/>
        </w:rPr>
      </w:r>
      <w:r>
        <w:rPr/>
        <w:t>按照公允价值进行初始计量，并作为上述对价的组成部分。</w:t>
      </w:r>
    </w:p>
    <w:p>
      <w:pPr>
        <w:pStyle w:val="BodyText"/>
        <w:spacing w:line="408" w:lineRule="auto" w:before="46"/>
        <w:ind w:right="1131" w:firstLine="420"/>
        <w:jc w:val="both"/>
      </w:pPr>
      <w:r>
        <w:rPr>
          <w:spacing w:val="-1"/>
        </w:rPr>
        <w:t>金融资产部分转移满足终止确认条件的，将所转移金融资产整体的账面价值，在终止确认部分和未终</w:t>
      </w:r>
      <w:r>
        <w:rPr/>
        <w:t> </w:t>
      </w:r>
      <w:r>
        <w:rPr>
          <w:spacing w:val="-1"/>
        </w:rPr>
        <w:t>止确认部分（在此种情况下，所保留的服务资产视同未终止确认金融资产的一部分）之间，按照各自的相</w:t>
      </w:r>
      <w:r>
        <w:rPr>
          <w:spacing w:val="-85"/>
        </w:rPr>
        <w:t> </w:t>
      </w:r>
      <w:r>
        <w:rPr>
          <w:spacing w:val="-85"/>
        </w:rPr>
      </w:r>
      <w:r>
        <w:rPr/>
        <w:t>对公允价值进行分摊，并将下列两项金额的差额计入当期损益：</w:t>
      </w:r>
    </w:p>
    <w:p>
      <w:pPr>
        <w:pStyle w:val="BodyText"/>
        <w:spacing w:line="240" w:lineRule="auto" w:before="46"/>
        <w:ind w:left="1553" w:right="0"/>
        <w:jc w:val="left"/>
      </w:pPr>
      <w:r>
        <w:rPr>
          <w:rFonts w:ascii="宋体" w:hAnsi="宋体" w:cs="宋体" w:eastAsia="宋体" w:hint="default"/>
        </w:rPr>
        <w:t>1</w:t>
      </w:r>
      <w:r>
        <w:rPr/>
        <w:t>）终止确认部分的账面价值；</w:t>
      </w:r>
    </w:p>
    <w:p>
      <w:pPr>
        <w:spacing w:line="240" w:lineRule="auto" w:before="10"/>
        <w:rPr>
          <w:rFonts w:ascii="宋体" w:hAnsi="宋体" w:cs="宋体" w:eastAsia="宋体" w:hint="default"/>
          <w:sz w:val="14"/>
          <w:szCs w:val="14"/>
        </w:rPr>
      </w:pPr>
    </w:p>
    <w:p>
      <w:pPr>
        <w:pStyle w:val="BodyText"/>
        <w:spacing w:line="408" w:lineRule="auto"/>
        <w:ind w:right="1141" w:firstLine="420"/>
        <w:jc w:val="both"/>
      </w:pPr>
      <w:r>
        <w:rPr>
          <w:rFonts w:ascii="宋体" w:hAnsi="宋体" w:cs="宋体" w:eastAsia="宋体" w:hint="default"/>
        </w:rPr>
        <w:t>2</w:t>
      </w:r>
      <w:r>
        <w:rPr/>
        <w:t>）终止确认部分的对价，与原直接计入所有者权益的公允价值变动累计额中对应终止确认部分的金 额（涉及转移的金融资产为可供出售金融资产的情形）之和。</w:t>
      </w:r>
    </w:p>
    <w:p>
      <w:pPr>
        <w:pStyle w:val="BodyText"/>
        <w:spacing w:line="408" w:lineRule="auto" w:before="46"/>
        <w:ind w:right="1132" w:firstLine="420"/>
        <w:jc w:val="both"/>
      </w:pPr>
      <w:r>
        <w:rPr>
          <w:spacing w:val="-1"/>
        </w:rPr>
        <w:t>原直接计入所有者权益的公允价值变动累计额中对应终止确认部分的金额，按照金融资产终止确认部</w:t>
      </w:r>
      <w:r>
        <w:rPr/>
        <w:t> 分和未终止确认部分的相对公允价值，对该累计额进行分摊后确定。</w:t>
      </w:r>
    </w:p>
    <w:p>
      <w:pPr>
        <w:pStyle w:val="BodyText"/>
        <w:spacing w:line="408" w:lineRule="auto" w:before="46"/>
        <w:ind w:left="1553" w:right="1093"/>
        <w:jc w:val="left"/>
      </w:pPr>
      <w:r>
        <w:rPr>
          <w:rFonts w:ascii="宋体" w:hAnsi="宋体" w:cs="宋体" w:eastAsia="宋体" w:hint="default"/>
        </w:rPr>
        <w:t>10.5 </w:t>
      </w:r>
      <w:r>
        <w:rPr/>
        <w:t>金融负债的分类 金融负债于初始确认时分类为：以公允价值计量且其变动计入当期损益的金融负债和其他金融负债。</w:t>
      </w:r>
    </w:p>
    <w:p>
      <w:pPr>
        <w:pStyle w:val="BodyText"/>
        <w:spacing w:line="408" w:lineRule="auto" w:before="46"/>
        <w:ind w:right="0"/>
        <w:jc w:val="left"/>
      </w:pPr>
      <w:r>
        <w:rPr>
          <w:spacing w:val="-1"/>
        </w:rPr>
        <w:t>以公允价值计量且其变动计入当期损益的金融负债，包括交易性金融负债和初始确认时指定为以公允价值</w:t>
      </w:r>
      <w:r>
        <w:rPr>
          <w:spacing w:val="-81"/>
        </w:rPr>
        <w:t> </w:t>
      </w:r>
      <w:r>
        <w:rPr>
          <w:spacing w:val="-81"/>
        </w:rPr>
      </w:r>
      <w:r>
        <w:rPr/>
        <w:t>计量且其变动计入当期损益的金融负债。</w:t>
      </w:r>
    </w:p>
    <w:p>
      <w:pPr>
        <w:pStyle w:val="BodyText"/>
        <w:spacing w:line="408" w:lineRule="auto" w:before="46"/>
        <w:ind w:left="1553" w:right="0"/>
        <w:jc w:val="left"/>
      </w:pPr>
      <w:r>
        <w:rPr>
          <w:rFonts w:ascii="宋体" w:hAnsi="宋体" w:cs="宋体" w:eastAsia="宋体" w:hint="default"/>
        </w:rPr>
        <w:t>10.6</w:t>
      </w:r>
      <w:r>
        <w:rPr/>
        <w:t>金融负债的计量 </w:t>
      </w:r>
      <w:r>
        <w:rPr>
          <w:spacing w:val="-1"/>
        </w:rPr>
        <w:t>金融负债于本公司成为金融工具合同的一方时，按公允价值在资产负债表内确认。以公允价值计量且</w:t>
      </w:r>
    </w:p>
    <w:p>
      <w:pPr>
        <w:pStyle w:val="BodyText"/>
        <w:spacing w:line="408" w:lineRule="auto" w:before="46"/>
        <w:ind w:right="0"/>
        <w:jc w:val="left"/>
      </w:pPr>
      <w:r>
        <w:rPr>
          <w:spacing w:val="-1"/>
        </w:rPr>
        <w:t>其变动计入当期损益的金融负债，取得时发生的相关交易费用直接计入当期损益；其他金融负债的相关交</w:t>
      </w:r>
      <w:r>
        <w:rPr>
          <w:spacing w:val="-81"/>
        </w:rPr>
        <w:t> </w:t>
      </w:r>
      <w:r>
        <w:rPr>
          <w:spacing w:val="-81"/>
        </w:rPr>
      </w:r>
      <w:r>
        <w:rPr/>
        <w:t>易费用计入初始确认金额。</w:t>
      </w:r>
    </w:p>
    <w:p>
      <w:pPr>
        <w:pStyle w:val="BodyText"/>
        <w:spacing w:line="408" w:lineRule="auto" w:before="46"/>
        <w:ind w:right="1131" w:firstLine="420"/>
        <w:jc w:val="both"/>
      </w:pPr>
      <w:r>
        <w:rPr>
          <w:spacing w:val="-1"/>
        </w:rPr>
        <w:t>以公允价值计量且其变动计入当期损益的金融负债，按照公允价值后续计量，且不扣除将来结清金融</w:t>
      </w:r>
      <w:r>
        <w:rPr/>
        <w:t> 负债时可能发生的交易费用。其他金融负债，采用实际利率法，按照摊余成本进行后续计量。</w:t>
      </w:r>
    </w:p>
    <w:p>
      <w:pPr>
        <w:pStyle w:val="BodyText"/>
        <w:spacing w:line="408" w:lineRule="auto" w:before="46"/>
        <w:ind w:left="1554" w:right="0"/>
        <w:jc w:val="left"/>
      </w:pPr>
      <w:r>
        <w:rPr>
          <w:rFonts w:ascii="宋体" w:hAnsi="宋体" w:cs="宋体" w:eastAsia="宋体" w:hint="default"/>
        </w:rPr>
        <w:t>10.7</w:t>
      </w:r>
      <w:r>
        <w:rPr/>
        <w:t>金融资产和金融负债的公允价值的确定方法 </w:t>
      </w:r>
      <w:r>
        <w:rPr>
          <w:spacing w:val="-1"/>
        </w:rPr>
        <w:t>存在活跃市场的金融资产或金融负债，采用活跃市场中的报价确定其公允价值。金融工具不存在活跃</w:t>
      </w:r>
    </w:p>
    <w:p>
      <w:pPr>
        <w:pStyle w:val="BodyText"/>
        <w:spacing w:line="408" w:lineRule="auto" w:before="46"/>
        <w:ind w:left="1134" w:right="1092"/>
        <w:jc w:val="left"/>
      </w:pPr>
      <w:r>
        <w:rPr>
          <w:spacing w:val="-1"/>
        </w:rPr>
        <w:t>市场的，采用估值技术确定其公允价值，估值技术包括参考熟悉情况并自愿交易的各方最近进行的市场交</w:t>
      </w:r>
      <w:r>
        <w:rPr>
          <w:spacing w:val="-81"/>
        </w:rPr>
        <w:t> </w:t>
      </w:r>
      <w:r>
        <w:rPr>
          <w:spacing w:val="-81"/>
        </w:rPr>
      </w:r>
      <w:r>
        <w:rPr/>
        <w:t>易中使用的价格、参照实质上相同的其他金融工具的当前公允价值、现金流量折现法和期权定价模型等。</w:t>
      </w:r>
    </w:p>
    <w:p>
      <w:pPr>
        <w:pStyle w:val="BodyText"/>
        <w:spacing w:line="240" w:lineRule="auto" w:before="46"/>
        <w:ind w:left="1554" w:right="0"/>
        <w:jc w:val="left"/>
      </w:pPr>
      <w:r>
        <w:rPr>
          <w:rFonts w:ascii="宋体" w:hAnsi="宋体" w:cs="宋体" w:eastAsia="宋体" w:hint="default"/>
        </w:rPr>
        <w:t>10.8</w:t>
      </w:r>
      <w:r>
        <w:rPr/>
        <w:t>金融资产减值测试方法及会计处理方法</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right="1132" w:firstLine="420"/>
        <w:jc w:val="both"/>
      </w:pPr>
      <w:r>
        <w:rPr>
          <w:spacing w:val="-1"/>
        </w:rPr>
        <w:t>除以公允价值计量且其变动计入当期损益的金融资产外，本公司于资产负债表日对金融资产的账面价</w:t>
      </w:r>
      <w:r>
        <w:rPr/>
        <w:t> 值进行检查，如果有客观证据表明某项金融资产发生减值的，计提减值准备。</w:t>
      </w:r>
    </w:p>
    <w:p>
      <w:pPr>
        <w:pStyle w:val="BodyText"/>
        <w:spacing w:line="408" w:lineRule="auto" w:before="46"/>
        <w:ind w:right="1130" w:firstLine="420"/>
        <w:jc w:val="both"/>
      </w:pPr>
      <w:r>
        <w:rPr>
          <w:spacing w:val="-1"/>
        </w:rPr>
        <w:t>以摊余成本计量的金融资产发生减值时，按预计未来现金流量</w:t>
      </w:r>
      <w:r>
        <w:rPr>
          <w:rFonts w:ascii="宋体" w:hAnsi="宋体" w:cs="宋体" w:eastAsia="宋体" w:hint="default"/>
          <w:spacing w:val="-1"/>
        </w:rPr>
        <w:t>(</w:t>
      </w:r>
      <w:r>
        <w:rPr>
          <w:spacing w:val="-1"/>
        </w:rPr>
        <w:t>不包括尚未发生的未来信用损失</w:t>
      </w:r>
      <w:r>
        <w:rPr>
          <w:rFonts w:ascii="宋体" w:hAnsi="宋体" w:cs="宋体" w:eastAsia="宋体" w:hint="default"/>
          <w:spacing w:val="-1"/>
        </w:rPr>
        <w:t>)</w:t>
      </w:r>
      <w:r>
        <w:rPr>
          <w:spacing w:val="-1"/>
        </w:rPr>
        <w:t>现值</w:t>
      </w:r>
      <w:r>
        <w:rPr/>
        <w:t> </w:t>
      </w:r>
      <w:r>
        <w:rPr>
          <w:spacing w:val="-1"/>
        </w:rPr>
        <w:t>低于账面价值的差额，计提减值准备。如果有客观证据表明该金融资产价值已恢复，且客观上与确认该损</w:t>
      </w:r>
      <w:r>
        <w:rPr>
          <w:spacing w:val="-82"/>
        </w:rPr>
        <w:t> </w:t>
      </w:r>
      <w:r>
        <w:rPr>
          <w:spacing w:val="-82"/>
        </w:rPr>
      </w:r>
      <w:r>
        <w:rPr/>
        <w:t>失后发生的事项有关，原确认的减值损失予以转回，计入当期损益。</w:t>
      </w:r>
    </w:p>
    <w:p>
      <w:pPr>
        <w:pStyle w:val="BodyText"/>
        <w:spacing w:line="408" w:lineRule="auto" w:before="46"/>
        <w:ind w:right="1130" w:firstLine="420"/>
        <w:jc w:val="both"/>
      </w:pPr>
      <w:r>
        <w:rPr>
          <w:spacing w:val="-1"/>
        </w:rPr>
        <w:t>当可供出售金融资产的公允价值发生较大幅度或非暂时性下降，原直接计入所有者权益的因公允价值</w:t>
      </w:r>
      <w:r>
        <w:rPr/>
        <w:t> </w:t>
      </w:r>
      <w:r>
        <w:rPr>
          <w:spacing w:val="-1"/>
        </w:rPr>
        <w:t>下降形成的累计损失计入减值损失。对已确认减值损失的可供出售债务工具投资，在期后公允价值上升且</w:t>
      </w:r>
      <w:r>
        <w:rPr>
          <w:spacing w:val="-81"/>
        </w:rPr>
        <w:t> </w:t>
      </w:r>
      <w:r>
        <w:rPr>
          <w:spacing w:val="-81"/>
        </w:rPr>
      </w:r>
      <w:r>
        <w:rPr>
          <w:spacing w:val="-1"/>
        </w:rPr>
        <w:t>客观上与确认原减值损失确认后发生的事项有关的，原确认的减值损失予以转回，计入当期损益。对已确</w:t>
      </w:r>
      <w:r>
        <w:rPr>
          <w:spacing w:val="-83"/>
        </w:rPr>
        <w:t> </w:t>
      </w:r>
      <w:r>
        <w:rPr>
          <w:spacing w:val="-83"/>
        </w:rPr>
      </w:r>
      <w:r>
        <w:rPr>
          <w:spacing w:val="-1"/>
        </w:rPr>
        <w:t>认减值损失的可供出售权益工具投资，在期后公允价值上升且客观上与确认原减值损失后发生的事项有关</w:t>
      </w:r>
      <w:r>
        <w:rPr>
          <w:spacing w:val="-81"/>
        </w:rPr>
        <w:t> </w:t>
      </w:r>
      <w:r>
        <w:rPr>
          <w:spacing w:val="-81"/>
        </w:rPr>
      </w:r>
      <w:r>
        <w:rPr>
          <w:spacing w:val="-1"/>
        </w:rPr>
        <w:t>的，原确认的减值损失予以转回，直接计入所有者权益。在活跃市场中没有报价且其公允价值不能可靠计</w:t>
      </w:r>
      <w:r>
        <w:rPr>
          <w:spacing w:val="-82"/>
        </w:rPr>
        <w:t> </w:t>
      </w:r>
      <w:r>
        <w:rPr>
          <w:spacing w:val="-82"/>
        </w:rPr>
      </w:r>
      <w:r>
        <w:rPr/>
        <w:t>量的权益工具投资发生的减值损失，如果在以后期间价值得以恢复，也不予转回。</w:t>
      </w:r>
    </w:p>
    <w:p>
      <w:pPr>
        <w:spacing w:before="55"/>
        <w:ind w:left="1133" w:right="0" w:firstLine="0"/>
        <w:jc w:val="left"/>
        <w:rPr>
          <w:rFonts w:ascii="宋体" w:hAnsi="宋体" w:cs="宋体" w:eastAsia="宋体" w:hint="default"/>
          <w:sz w:val="20"/>
          <w:szCs w:val="20"/>
        </w:rPr>
      </w:pPr>
      <w:bookmarkStart w:name="11、应收款项" w:id="172"/>
      <w:bookmarkEnd w:id="172"/>
      <w:r>
        <w:rPr/>
      </w:r>
      <w:r>
        <w:rPr>
          <w:rFonts w:ascii="宋体" w:hAnsi="宋体" w:cs="宋体" w:eastAsia="宋体" w:hint="default"/>
          <w:b/>
          <w:bCs/>
          <w:sz w:val="20"/>
          <w:szCs w:val="20"/>
        </w:rPr>
        <w:t>11</w:t>
      </w:r>
      <w:r>
        <w:rPr>
          <w:rFonts w:ascii="宋体" w:hAnsi="宋体" w:cs="宋体" w:eastAsia="宋体" w:hint="default"/>
          <w:b/>
          <w:bCs/>
          <w:sz w:val="20"/>
          <w:szCs w:val="20"/>
        </w:rPr>
        <w:t>、应收款项</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单项金额重大并单独计提坏账准备的应收款项" w:id="173"/>
      <w:bookmarkEnd w:id="173"/>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）单项金额重大并单独计提坏账准备的应收款项</w:t>
      </w:r>
      <w:r>
        <w:rPr>
          <w:rFonts w:ascii="宋体" w:hAnsi="宋体" w:cs="宋体" w:eastAsia="宋体" w:hint="default"/>
          <w:sz w:val="20"/>
          <w:szCs w:val="20"/>
        </w:rPr>
      </w:r>
    </w:p>
    <w:p>
      <w:pPr>
        <w:spacing w:line="240" w:lineRule="auto" w:before="3"/>
        <w:rPr>
          <w:rFonts w:ascii="宋体" w:hAnsi="宋体" w:cs="宋体" w:eastAsia="宋体" w:hint="default"/>
          <w:b/>
          <w:bCs/>
          <w:sz w:val="10"/>
          <w:szCs w:val="10"/>
        </w:rPr>
      </w:pPr>
    </w:p>
    <w:tbl>
      <w:tblPr>
        <w:tblW w:w="0" w:type="auto"/>
        <w:jc w:val="left"/>
        <w:tblInd w:w="1118" w:type="dxa"/>
        <w:tblLayout w:type="fixed"/>
        <w:tblCellMar>
          <w:top w:w="0" w:type="dxa"/>
          <w:left w:w="0" w:type="dxa"/>
          <w:bottom w:w="0" w:type="dxa"/>
          <w:right w:w="0" w:type="dxa"/>
        </w:tblCellMar>
        <w:tblLook w:val="01E0"/>
      </w:tblPr>
      <w:tblGrid>
        <w:gridCol w:w="4786"/>
        <w:gridCol w:w="4783"/>
      </w:tblGrid>
      <w:tr>
        <w:trPr>
          <w:trHeight w:val="727" w:hRule="exact"/>
        </w:trPr>
        <w:tc>
          <w:tcPr>
            <w:tcW w:w="47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公司单项金额重大的应收款项指单笔金额为</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万元以上的</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客户应收账款及单笔金额为</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万元以上的其他应收款。</w:t>
            </w:r>
          </w:p>
        </w:tc>
      </w:tr>
      <w:tr>
        <w:trPr>
          <w:trHeight w:val="727" w:hRule="exact"/>
        </w:trPr>
        <w:tc>
          <w:tcPr>
            <w:tcW w:w="47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3"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1"/>
              <w:ind w:left="20" w:right="58"/>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值的差额，确认减值损失，计提坏账准备。</w:t>
            </w:r>
          </w:p>
        </w:tc>
      </w:tr>
    </w:tbl>
    <w:p>
      <w:pPr>
        <w:spacing w:before="72"/>
        <w:ind w:left="1134" w:right="0" w:firstLine="0"/>
        <w:jc w:val="left"/>
        <w:rPr>
          <w:rFonts w:ascii="宋体" w:hAnsi="宋体" w:cs="宋体" w:eastAsia="宋体" w:hint="default"/>
          <w:sz w:val="20"/>
          <w:szCs w:val="20"/>
        </w:rPr>
      </w:pPr>
      <w:bookmarkStart w:name="（2）按信用风险特征组合计提坏账准备的应收款项" w:id="174"/>
      <w:bookmarkEnd w:id="174"/>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）按信用风险特征组合计提坏账准备的应收款项</w:t>
      </w:r>
      <w:r>
        <w:rPr>
          <w:rFonts w:ascii="宋体" w:hAnsi="宋体" w:cs="宋体" w:eastAsia="宋体" w:hint="default"/>
          <w:sz w:val="20"/>
          <w:szCs w:val="20"/>
        </w:rPr>
      </w:r>
    </w:p>
    <w:p>
      <w:pPr>
        <w:spacing w:line="240" w:lineRule="auto" w:before="3"/>
        <w:rPr>
          <w:rFonts w:ascii="宋体" w:hAnsi="宋体" w:cs="宋体" w:eastAsia="宋体" w:hint="default"/>
          <w:b/>
          <w:bCs/>
          <w:sz w:val="10"/>
          <w:szCs w:val="10"/>
        </w:rPr>
      </w:pPr>
    </w:p>
    <w:tbl>
      <w:tblPr>
        <w:tblW w:w="0" w:type="auto"/>
        <w:jc w:val="left"/>
        <w:tblInd w:w="1118" w:type="dxa"/>
        <w:tblLayout w:type="fixed"/>
        <w:tblCellMar>
          <w:top w:w="0" w:type="dxa"/>
          <w:left w:w="0" w:type="dxa"/>
          <w:bottom w:w="0" w:type="dxa"/>
          <w:right w:w="0" w:type="dxa"/>
        </w:tblCellMar>
        <w:tblLook w:val="01E0"/>
      </w:tblPr>
      <w:tblGrid>
        <w:gridCol w:w="4786"/>
        <w:gridCol w:w="4783"/>
      </w:tblGrid>
      <w:tr>
        <w:trPr>
          <w:trHeight w:val="413" w:hRule="exact"/>
        </w:trPr>
        <w:tc>
          <w:tcPr>
            <w:tcW w:w="47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16" w:hRule="exact"/>
        </w:trPr>
        <w:tc>
          <w:tcPr>
            <w:tcW w:w="478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47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63"/>
        <w:ind w:left="1134" w:right="0"/>
        <w:jc w:val="left"/>
      </w:pPr>
      <w:r>
        <w:rPr/>
        <w:t>组合中，采用账龄分析法计提坏账准备的：</w:t>
      </w:r>
    </w:p>
    <w:p>
      <w:pPr>
        <w:spacing w:line="240" w:lineRule="auto" w:before="10"/>
        <w:rPr>
          <w:rFonts w:ascii="宋体" w:hAnsi="宋体" w:cs="宋体" w:eastAsia="宋体" w:hint="default"/>
          <w:sz w:val="14"/>
          <w:szCs w:val="14"/>
        </w:rPr>
      </w:pPr>
    </w:p>
    <w:p>
      <w:pPr>
        <w:pStyle w:val="BodyText"/>
        <w:spacing w:line="240" w:lineRule="auto"/>
        <w:ind w:left="1134" w:right="0"/>
        <w:jc w:val="left"/>
      </w:pPr>
      <w:r>
        <w:rPr/>
        <w:t>√ 适用 □</w:t>
      </w:r>
      <w:r>
        <w:rPr>
          <w:spacing w:val="-1"/>
        </w:rPr>
        <w:t> </w:t>
      </w:r>
      <w:r>
        <w:rPr/>
        <w:t>不适用</w:t>
      </w:r>
    </w:p>
    <w:p>
      <w:pPr>
        <w:spacing w:line="240" w:lineRule="auto" w:before="12"/>
        <w:rPr>
          <w:rFonts w:ascii="宋体" w:hAnsi="宋体" w:cs="宋体" w:eastAsia="宋体" w:hint="default"/>
          <w:sz w:val="9"/>
          <w:szCs w:val="9"/>
        </w:rPr>
      </w:pPr>
    </w:p>
    <w:tbl>
      <w:tblPr>
        <w:tblW w:w="0" w:type="auto"/>
        <w:jc w:val="left"/>
        <w:tblInd w:w="1125" w:type="dxa"/>
        <w:tblLayout w:type="fixed"/>
        <w:tblCellMar>
          <w:top w:w="0" w:type="dxa"/>
          <w:left w:w="0" w:type="dxa"/>
          <w:bottom w:w="0" w:type="dxa"/>
          <w:right w:w="0" w:type="dxa"/>
        </w:tblCellMar>
        <w:tblLook w:val="01E0"/>
      </w:tblPr>
      <w:tblGrid>
        <w:gridCol w:w="3173"/>
        <w:gridCol w:w="3201"/>
        <w:gridCol w:w="3189"/>
      </w:tblGrid>
      <w:tr>
        <w:trPr>
          <w:trHeight w:val="413" w:hRule="exact"/>
        </w:trPr>
        <w:tc>
          <w:tcPr>
            <w:tcW w:w="317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w:t>
            </w:r>
          </w:p>
        </w:tc>
      </w:tr>
      <w:tr>
        <w:trPr>
          <w:trHeight w:val="408"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30.00%</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50.00%</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70.00%</w:t>
            </w:r>
          </w:p>
        </w:tc>
      </w:tr>
      <w:tr>
        <w:trPr>
          <w:trHeight w:val="415" w:hRule="exact"/>
        </w:trPr>
        <w:tc>
          <w:tcPr>
            <w:tcW w:w="31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20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100.00%</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100.00%</w:t>
            </w:r>
          </w:p>
        </w:tc>
      </w:tr>
    </w:tbl>
    <w:p>
      <w:pPr>
        <w:pStyle w:val="BodyText"/>
        <w:spacing w:line="240" w:lineRule="auto" w:before="63"/>
        <w:ind w:left="1134" w:right="0"/>
        <w:jc w:val="left"/>
      </w:pPr>
      <w:r>
        <w:rPr/>
        <w:t>组合中，采用余额百分比法计提坏账准备的：</w:t>
      </w:r>
    </w:p>
    <w:p>
      <w:pPr>
        <w:spacing w:line="240" w:lineRule="auto" w:before="10"/>
        <w:rPr>
          <w:rFonts w:ascii="宋体" w:hAnsi="宋体" w:cs="宋体" w:eastAsia="宋体" w:hint="default"/>
          <w:sz w:val="14"/>
          <w:szCs w:val="14"/>
        </w:rPr>
      </w:pPr>
    </w:p>
    <w:p>
      <w:pPr>
        <w:pStyle w:val="BodyText"/>
        <w:spacing w:line="240" w:lineRule="auto"/>
        <w:ind w:left="1134" w:right="0"/>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right="0"/>
        <w:jc w:val="left"/>
      </w:pPr>
      <w:r>
        <w:rPr/>
        <w:t>组合中，采用其他方法计提坏账准备的：</w:t>
      </w:r>
    </w:p>
    <w:p>
      <w:pPr>
        <w:spacing w:line="240" w:lineRule="auto" w:before="10"/>
        <w:rPr>
          <w:rFonts w:ascii="宋体" w:hAnsi="宋体" w:cs="宋体" w:eastAsia="宋体" w:hint="default"/>
          <w:sz w:val="14"/>
          <w:szCs w:val="14"/>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3）单项金额不重大但单独计提坏账准备的应收款项" w:id="175"/>
      <w:bookmarkEnd w:id="175"/>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）单项金额不重大但单独计提坏账准备的应收款项</w:t>
      </w:r>
      <w:r>
        <w:rPr>
          <w:rFonts w:ascii="宋体" w:hAnsi="宋体" w:cs="宋体" w:eastAsia="宋体" w:hint="default"/>
          <w:sz w:val="20"/>
          <w:szCs w:val="20"/>
        </w:rPr>
      </w:r>
    </w:p>
    <w:p>
      <w:pPr>
        <w:spacing w:line="240" w:lineRule="auto" w:before="3"/>
        <w:rPr>
          <w:rFonts w:ascii="宋体" w:hAnsi="宋体" w:cs="宋体" w:eastAsia="宋体" w:hint="default"/>
          <w:b/>
          <w:bCs/>
          <w:sz w:val="10"/>
          <w:szCs w:val="10"/>
        </w:rPr>
      </w:pPr>
    </w:p>
    <w:tbl>
      <w:tblPr>
        <w:tblW w:w="0" w:type="auto"/>
        <w:jc w:val="left"/>
        <w:tblInd w:w="1118" w:type="dxa"/>
        <w:tblLayout w:type="fixed"/>
        <w:tblCellMar>
          <w:top w:w="0" w:type="dxa"/>
          <w:left w:w="0" w:type="dxa"/>
          <w:bottom w:w="0" w:type="dxa"/>
          <w:right w:w="0" w:type="dxa"/>
        </w:tblCellMar>
        <w:tblLook w:val="01E0"/>
      </w:tblPr>
      <w:tblGrid>
        <w:gridCol w:w="4786"/>
        <w:gridCol w:w="4783"/>
      </w:tblGrid>
      <w:tr>
        <w:trPr>
          <w:trHeight w:val="727" w:hRule="exact"/>
        </w:trPr>
        <w:tc>
          <w:tcPr>
            <w:tcW w:w="47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3" w:type="dxa"/>
            <w:tcBorders>
              <w:top w:val="single" w:sz="12" w:space="0" w:color="000000"/>
              <w:left w:val="single" w:sz="6" w:space="0" w:color="000000"/>
              <w:bottom w:val="single" w:sz="6" w:space="0" w:color="000000"/>
              <w:right w:val="single" w:sz="12" w:space="0" w:color="000000"/>
            </w:tcBorders>
          </w:tcPr>
          <w:p>
            <w:pPr>
              <w:pStyle w:val="TableParagraph"/>
              <w:spacing w:line="316" w:lineRule="auto" w:before="51"/>
              <w:ind w:left="20" w:right="59"/>
              <w:jc w:val="left"/>
              <w:rPr>
                <w:rFonts w:ascii="宋体" w:hAnsi="宋体" w:cs="宋体" w:eastAsia="宋体" w:hint="default"/>
                <w:sz w:val="18"/>
                <w:szCs w:val="18"/>
              </w:rPr>
            </w:pPr>
            <w:r>
              <w:rPr>
                <w:rFonts w:ascii="宋体" w:hAnsi="宋体" w:cs="宋体" w:eastAsia="宋体" w:hint="default"/>
                <w:sz w:val="18"/>
                <w:szCs w:val="18"/>
              </w:rPr>
              <w:t>有明显特征表明该等应收款项难以收回，期末余额为</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 元以下的应收款项。</w:t>
            </w:r>
          </w:p>
        </w:tc>
      </w:tr>
      <w:tr>
        <w:trPr>
          <w:trHeight w:val="1351" w:hRule="exact"/>
        </w:trPr>
        <w:tc>
          <w:tcPr>
            <w:tcW w:w="47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3"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1"/>
              <w:ind w:left="20" w:right="58"/>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值的差额，确认减值损失，计提坏账准备；经单独测试未减 值的应收款项，采用账龄分析法，按应收款项的账龄和规定 的提取比例确认减值损失，计提坏账准备。</w:t>
            </w:r>
          </w:p>
        </w:tc>
      </w:tr>
    </w:tbl>
    <w:p>
      <w:pPr>
        <w:spacing w:before="72"/>
        <w:ind w:left="1134" w:right="0" w:firstLine="0"/>
        <w:jc w:val="left"/>
        <w:rPr>
          <w:rFonts w:ascii="宋体" w:hAnsi="宋体" w:cs="宋体" w:eastAsia="宋体" w:hint="default"/>
          <w:sz w:val="20"/>
          <w:szCs w:val="20"/>
        </w:rPr>
      </w:pPr>
      <w:bookmarkStart w:name="12、存货" w:id="176"/>
      <w:bookmarkEnd w:id="176"/>
      <w:r>
        <w:rPr/>
      </w:r>
      <w:r>
        <w:rPr>
          <w:rFonts w:ascii="宋体" w:hAnsi="宋体" w:cs="宋体" w:eastAsia="宋体" w:hint="default"/>
          <w:b/>
          <w:bCs/>
          <w:sz w:val="20"/>
          <w:szCs w:val="20"/>
        </w:rPr>
        <w:t>12</w:t>
      </w:r>
      <w:r>
        <w:rPr>
          <w:rFonts w:ascii="宋体" w:hAnsi="宋体" w:cs="宋体" w:eastAsia="宋体" w:hint="default"/>
          <w:b/>
          <w:bCs/>
          <w:sz w:val="20"/>
          <w:szCs w:val="20"/>
        </w:rPr>
        <w:t>、存货</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553" w:right="1116"/>
        <w:jc w:val="left"/>
      </w:pPr>
      <w:r>
        <w:rPr>
          <w:rFonts w:ascii="宋体" w:hAnsi="宋体" w:cs="宋体" w:eastAsia="宋体" w:hint="default"/>
        </w:rPr>
        <w:t>12.1</w:t>
      </w:r>
      <w:r>
        <w:rPr/>
        <w:t>存货的类别 存货包括原材料、在产品、产成品、低值易耗品、包装物等，按成本与可变现净值孰低列示。 </w:t>
      </w:r>
      <w:r>
        <w:rPr>
          <w:rFonts w:ascii="宋体" w:hAnsi="宋体" w:cs="宋体" w:eastAsia="宋体" w:hint="default"/>
        </w:rPr>
        <w:t>12.2</w:t>
      </w:r>
      <w:r>
        <w:rPr/>
        <w:t>发出存货的计价方法 </w:t>
      </w:r>
      <w:r>
        <w:rPr>
          <w:spacing w:val="-1"/>
        </w:rPr>
        <w:t>存货发出时的成本按加权平均法核算，产成品和在产品成本包括原材料、直接人工以及在正常生产能</w:t>
      </w:r>
    </w:p>
    <w:p>
      <w:pPr>
        <w:pStyle w:val="BodyText"/>
        <w:spacing w:line="408" w:lineRule="auto" w:before="46"/>
        <w:ind w:left="1553" w:right="1018" w:hanging="420"/>
        <w:jc w:val="left"/>
      </w:pPr>
      <w:r>
        <w:rPr/>
        <w:t>力下按照一定方法分配的制造费用。周转材料包括低值易耗品和包装物等。 </w:t>
      </w:r>
      <w:r>
        <w:rPr>
          <w:rFonts w:ascii="宋体" w:hAnsi="宋体" w:cs="宋体" w:eastAsia="宋体" w:hint="default"/>
        </w:rPr>
        <w:t>12.3</w:t>
      </w:r>
      <w:r>
        <w:rPr/>
        <w:t>确定不同类别存货可变现净值的依据 </w:t>
      </w:r>
      <w:r>
        <w:rPr>
          <w:spacing w:val="-3"/>
        </w:rPr>
        <w:t>存货成本高于其可变现净值的，计提存货跌价准备，计入当期损益。可变现净值，是指在日常活动中，</w:t>
      </w:r>
    </w:p>
    <w:p>
      <w:pPr>
        <w:pStyle w:val="BodyText"/>
        <w:spacing w:line="408" w:lineRule="auto" w:before="46"/>
        <w:ind w:left="1134" w:right="1131"/>
        <w:jc w:val="both"/>
      </w:pPr>
      <w:r>
        <w:rPr>
          <w:spacing w:val="-1"/>
        </w:rPr>
        <w:t>存货的估计售价减去至完工时估计将要发生的成本、估计的销售费用以及相关税费后的金额。公司确定存</w:t>
      </w:r>
      <w:r>
        <w:rPr>
          <w:spacing w:val="-81"/>
        </w:rPr>
        <w:t> </w:t>
      </w:r>
      <w:r>
        <w:rPr>
          <w:spacing w:val="-81"/>
        </w:rPr>
      </w:r>
      <w:r>
        <w:rPr>
          <w:spacing w:val="-1"/>
        </w:rPr>
        <w:t>货的可变现净值，以取得的确凿证据为基础，并且考虑持有存货的目的、资产负债表日后事项的影响等因</w:t>
      </w:r>
      <w:r>
        <w:rPr>
          <w:spacing w:val="-83"/>
        </w:rPr>
        <w:t> </w:t>
      </w:r>
      <w:r>
        <w:rPr>
          <w:spacing w:val="-83"/>
        </w:rPr>
      </w:r>
      <w:r>
        <w:rPr/>
        <w:t>素。</w:t>
      </w:r>
    </w:p>
    <w:p>
      <w:pPr>
        <w:pStyle w:val="BodyText"/>
        <w:spacing w:line="408" w:lineRule="auto" w:before="46"/>
        <w:ind w:left="1134" w:right="0" w:firstLine="420"/>
        <w:jc w:val="left"/>
      </w:pPr>
      <w:r>
        <w:rPr>
          <w:spacing w:val="-1"/>
        </w:rPr>
        <w:t>为生产而持有的材料等，用其生产的产成品的可变现净值高于成本的，该材料仍然按照成本计量；材</w:t>
      </w:r>
      <w:r>
        <w:rPr/>
        <w:t> 料价格的下降表明产成品的可变现净值低于成本的，该材料按照可变现净值计量。</w:t>
      </w:r>
    </w:p>
    <w:p>
      <w:pPr>
        <w:pStyle w:val="BodyText"/>
        <w:spacing w:line="408" w:lineRule="auto" w:before="46"/>
        <w:ind w:right="0" w:firstLine="420"/>
        <w:jc w:val="left"/>
      </w:pPr>
      <w:r>
        <w:rPr>
          <w:spacing w:val="-1"/>
        </w:rPr>
        <w:t>为执行销售合同或者劳务合同而持有的存货，其可变现净值以合同价格为基础计算。持有存货的数量</w:t>
      </w:r>
      <w:r>
        <w:rPr/>
        <w:t> 多于销售合同订购数量的，超出部分的存货的可变现净值以一般销售价格为基础计算。</w:t>
      </w:r>
    </w:p>
    <w:p>
      <w:pPr>
        <w:pStyle w:val="BodyText"/>
        <w:spacing w:line="408" w:lineRule="auto" w:before="46"/>
        <w:ind w:left="1553" w:right="5923"/>
        <w:jc w:val="left"/>
      </w:pPr>
      <w:r>
        <w:rPr>
          <w:rFonts w:ascii="宋体" w:hAnsi="宋体" w:cs="宋体" w:eastAsia="宋体" w:hint="default"/>
        </w:rPr>
        <w:t>12.4</w:t>
      </w:r>
      <w:r>
        <w:rPr/>
        <w:t>存货的盘存制度 存货盘存制度采用永续盘存制。 </w:t>
      </w:r>
      <w:r>
        <w:rPr>
          <w:rFonts w:ascii="宋体" w:hAnsi="宋体" w:cs="宋体" w:eastAsia="宋体" w:hint="default"/>
        </w:rPr>
        <w:t>12.5</w:t>
      </w:r>
      <w:r>
        <w:rPr/>
        <w:t>低值易耗品和包装物的摊销方法 低值易耗品在领用时采用一次摊销法核算成本。 包装物在领用时采用一次转销法核算成本。</w:t>
      </w:r>
    </w:p>
    <w:p>
      <w:pPr>
        <w:spacing w:before="55"/>
        <w:ind w:left="1134" w:right="0" w:firstLine="0"/>
        <w:jc w:val="left"/>
        <w:rPr>
          <w:rFonts w:ascii="宋体" w:hAnsi="宋体" w:cs="宋体" w:eastAsia="宋体" w:hint="default"/>
          <w:sz w:val="20"/>
          <w:szCs w:val="20"/>
        </w:rPr>
      </w:pPr>
      <w:bookmarkStart w:name="13、划分为持有待售资产" w:id="177"/>
      <w:bookmarkEnd w:id="177"/>
      <w:r>
        <w:rPr/>
      </w:r>
      <w:r>
        <w:rPr>
          <w:rFonts w:ascii="宋体" w:hAnsi="宋体" w:cs="宋体" w:eastAsia="宋体" w:hint="default"/>
          <w:b/>
          <w:bCs/>
          <w:sz w:val="20"/>
          <w:szCs w:val="20"/>
        </w:rPr>
        <w:t>13</w:t>
      </w:r>
      <w:r>
        <w:rPr>
          <w:rFonts w:ascii="宋体" w:hAnsi="宋体" w:cs="宋体" w:eastAsia="宋体" w:hint="default"/>
          <w:b/>
          <w:bCs/>
          <w:sz w:val="20"/>
          <w:szCs w:val="20"/>
        </w:rPr>
        <w:t>、划分为持有待售资产</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557" w:right="0"/>
        <w:jc w:val="left"/>
      </w:pPr>
      <w:r>
        <w:rPr/>
        <w:t>同时满足下列条件的资产，确认为持有待售资产：</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1557" w:right="0"/>
        <w:jc w:val="left"/>
      </w:pPr>
      <w:r>
        <w:rPr>
          <w:rFonts w:ascii="宋体" w:hAnsi="宋体" w:cs="宋体" w:eastAsia="宋体" w:hint="default"/>
        </w:rPr>
        <w:t>13.1</w:t>
      </w:r>
      <w:r>
        <w:rPr/>
        <w:t>该资产必须在其当期状况下仅根据出售此类资产的通常和惯用条款即可立即出售；</w:t>
      </w:r>
    </w:p>
    <w:p>
      <w:pPr>
        <w:spacing w:line="240" w:lineRule="auto" w:before="10"/>
        <w:rPr>
          <w:rFonts w:ascii="宋体" w:hAnsi="宋体" w:cs="宋体" w:eastAsia="宋体" w:hint="default"/>
          <w:sz w:val="14"/>
          <w:szCs w:val="14"/>
        </w:rPr>
      </w:pPr>
    </w:p>
    <w:p>
      <w:pPr>
        <w:pStyle w:val="BodyText"/>
        <w:spacing w:line="240" w:lineRule="auto"/>
        <w:ind w:left="1557" w:right="0"/>
        <w:jc w:val="left"/>
      </w:pPr>
      <w:r>
        <w:rPr>
          <w:rFonts w:ascii="宋体" w:hAnsi="宋体" w:cs="宋体" w:eastAsia="宋体" w:hint="default"/>
        </w:rPr>
        <w:t>13.2</w:t>
      </w:r>
      <w:r>
        <w:rPr/>
        <w:t>公司已经就处置该部分资产作出决议；</w:t>
      </w:r>
    </w:p>
    <w:p>
      <w:pPr>
        <w:spacing w:line="240" w:lineRule="auto" w:before="10"/>
        <w:rPr>
          <w:rFonts w:ascii="宋体" w:hAnsi="宋体" w:cs="宋体" w:eastAsia="宋体" w:hint="default"/>
          <w:sz w:val="14"/>
          <w:szCs w:val="14"/>
        </w:rPr>
      </w:pPr>
    </w:p>
    <w:p>
      <w:pPr>
        <w:pStyle w:val="BodyText"/>
        <w:spacing w:line="240" w:lineRule="auto"/>
        <w:ind w:left="1557" w:right="0"/>
        <w:jc w:val="left"/>
      </w:pPr>
      <w:r>
        <w:rPr>
          <w:rFonts w:ascii="宋体" w:hAnsi="宋体" w:cs="宋体" w:eastAsia="宋体" w:hint="default"/>
        </w:rPr>
        <w:t>13.3</w:t>
      </w:r>
      <w:r>
        <w:rPr/>
        <w:t>公司已经与受让方签订了不可撤销的转让协议；</w:t>
      </w:r>
    </w:p>
    <w:p>
      <w:pPr>
        <w:spacing w:line="240" w:lineRule="auto" w:before="10"/>
        <w:rPr>
          <w:rFonts w:ascii="宋体" w:hAnsi="宋体" w:cs="宋体" w:eastAsia="宋体" w:hint="default"/>
          <w:sz w:val="14"/>
          <w:szCs w:val="14"/>
        </w:rPr>
      </w:pPr>
    </w:p>
    <w:p>
      <w:pPr>
        <w:pStyle w:val="BodyText"/>
        <w:spacing w:line="240" w:lineRule="auto"/>
        <w:ind w:left="1557" w:right="0"/>
        <w:jc w:val="left"/>
      </w:pPr>
      <w:r>
        <w:rPr>
          <w:rFonts w:ascii="宋体" w:hAnsi="宋体" w:cs="宋体" w:eastAsia="宋体" w:hint="default"/>
        </w:rPr>
        <w:t>13.4</w:t>
      </w:r>
      <w:r>
        <w:rPr/>
        <w:t>该项转让将在一年内完成。</w:t>
      </w:r>
    </w:p>
    <w:p>
      <w:pPr>
        <w:spacing w:line="240" w:lineRule="auto" w:before="6"/>
        <w:rPr>
          <w:rFonts w:ascii="宋体" w:hAnsi="宋体" w:cs="宋体" w:eastAsia="宋体" w:hint="default"/>
          <w:sz w:val="15"/>
          <w:szCs w:val="15"/>
        </w:rPr>
      </w:pPr>
    </w:p>
    <w:p>
      <w:pPr>
        <w:spacing w:before="0"/>
        <w:ind w:left="1133" w:right="0" w:firstLine="0"/>
        <w:jc w:val="left"/>
        <w:rPr>
          <w:rFonts w:ascii="宋体" w:hAnsi="宋体" w:cs="宋体" w:eastAsia="宋体" w:hint="default"/>
          <w:sz w:val="20"/>
          <w:szCs w:val="20"/>
        </w:rPr>
      </w:pPr>
      <w:bookmarkStart w:name="14、长期股权投资" w:id="178"/>
      <w:bookmarkEnd w:id="178"/>
      <w:r>
        <w:rPr/>
      </w:r>
      <w:r>
        <w:rPr>
          <w:rFonts w:ascii="宋体" w:hAnsi="宋体" w:cs="宋体" w:eastAsia="宋体" w:hint="default"/>
          <w:b/>
          <w:bCs/>
          <w:sz w:val="20"/>
          <w:szCs w:val="20"/>
        </w:rPr>
        <w:t>14</w:t>
      </w:r>
      <w:r>
        <w:rPr>
          <w:rFonts w:ascii="宋体" w:hAnsi="宋体" w:cs="宋体" w:eastAsia="宋体" w:hint="default"/>
          <w:b/>
          <w:bCs/>
          <w:sz w:val="20"/>
          <w:szCs w:val="20"/>
        </w:rPr>
        <w:t>、长期股权投资</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557" w:right="0" w:firstLine="72"/>
        <w:jc w:val="left"/>
      </w:pPr>
      <w:r>
        <w:rPr>
          <w:rFonts w:ascii="宋体" w:hAnsi="宋体" w:cs="宋体" w:eastAsia="宋体" w:hint="default"/>
        </w:rPr>
        <w:t>14.1</w:t>
      </w:r>
      <w:r>
        <w:rPr/>
        <w:t>共同控制、重大影响的判断标准 </w:t>
      </w:r>
      <w:r>
        <w:rPr>
          <w:spacing w:val="-1"/>
        </w:rPr>
        <w:t>按照相关约定对某项安排所共有的控制，并且该安排的相关活动必须经过分享控制权的参与方一致同</w:t>
      </w:r>
    </w:p>
    <w:p>
      <w:pPr>
        <w:pStyle w:val="BodyText"/>
        <w:spacing w:line="408" w:lineRule="auto" w:before="46"/>
        <w:ind w:left="1134" w:right="0"/>
        <w:jc w:val="left"/>
      </w:pPr>
      <w:r>
        <w:rPr>
          <w:spacing w:val="-1"/>
        </w:rPr>
        <w:t>意后才能决策，则视为共同控制。如果存在两个或两个以上的参与方组合能够集体控制某项安排的，不视</w:t>
      </w:r>
      <w:r>
        <w:rPr>
          <w:spacing w:val="-83"/>
        </w:rPr>
        <w:t> </w:t>
      </w:r>
      <w:r>
        <w:rPr>
          <w:spacing w:val="-83"/>
        </w:rPr>
      </w:r>
      <w:r>
        <w:rPr/>
        <w:t>为共同控制。</w:t>
      </w:r>
    </w:p>
    <w:p>
      <w:pPr>
        <w:pStyle w:val="BodyText"/>
        <w:spacing w:line="408" w:lineRule="auto" w:before="46"/>
        <w:ind w:left="1134" w:right="0" w:firstLine="423"/>
        <w:jc w:val="left"/>
      </w:pPr>
      <w:r>
        <w:rPr>
          <w:spacing w:val="-1"/>
        </w:rPr>
        <w:t>对被投资单位的财务和经营政策有参与决策的权力，但并不能够控制或者与其他方一起共同控制这些</w:t>
      </w:r>
      <w:r>
        <w:rPr/>
        <w:t> 政策的制定，则视为对被投资单位实施重大影响。</w:t>
      </w:r>
    </w:p>
    <w:p>
      <w:pPr>
        <w:pStyle w:val="BodyText"/>
        <w:spacing w:line="408" w:lineRule="auto" w:before="46"/>
        <w:ind w:left="1557" w:right="0"/>
        <w:jc w:val="left"/>
      </w:pPr>
      <w:r>
        <w:rPr>
          <w:rFonts w:ascii="宋体" w:hAnsi="宋体" w:cs="宋体" w:eastAsia="宋体" w:hint="default"/>
        </w:rPr>
        <w:t>14.2</w:t>
      </w:r>
      <w:r>
        <w:rPr/>
        <w:t>初始投资成本确定 企业合并形成的长期股权投资，按照本附注“3.5同一控制下和非同一控制下企业合并的会计处理方</w:t>
      </w:r>
    </w:p>
    <w:p>
      <w:pPr>
        <w:pStyle w:val="BodyText"/>
        <w:spacing w:line="408" w:lineRule="auto" w:before="46"/>
        <w:ind w:left="1134" w:right="1023"/>
        <w:jc w:val="left"/>
      </w:pPr>
      <w:r>
        <w:rPr>
          <w:spacing w:val="-3"/>
        </w:rPr>
        <w:t>法”的相关内容确认初始投资成本；除企业合并形成的长期股权投资以外，其他方式取得的长期股权投资，</w:t>
      </w:r>
      <w:r>
        <w:rPr>
          <w:spacing w:val="-92"/>
        </w:rPr>
        <w:t> </w:t>
      </w:r>
      <w:r>
        <w:rPr>
          <w:spacing w:val="-92"/>
        </w:rPr>
      </w:r>
      <w:r>
        <w:rPr/>
        <w:t>按照下述方法确认其初始投资成本：</w:t>
      </w:r>
    </w:p>
    <w:p>
      <w:pPr>
        <w:pStyle w:val="BodyText"/>
        <w:spacing w:line="408" w:lineRule="auto" w:before="46"/>
        <w:ind w:left="1134" w:right="0" w:firstLine="423"/>
        <w:jc w:val="left"/>
      </w:pPr>
      <w:r>
        <w:rPr>
          <w:rFonts w:ascii="宋体" w:hAnsi="宋体" w:cs="宋体" w:eastAsia="宋体" w:hint="default"/>
        </w:rPr>
        <w:t>1</w:t>
      </w:r>
      <w:r>
        <w:rPr/>
        <w:t>）以支付现金取得的长期股权投资，应当按照实际支付的购买价款作为初始投资成本。初始投资成 本包括与取得长期股权投资直接相关的费用、税金及其他必要支出。</w:t>
      </w:r>
    </w:p>
    <w:p>
      <w:pPr>
        <w:pStyle w:val="BodyText"/>
        <w:spacing w:line="408" w:lineRule="auto" w:before="46"/>
        <w:ind w:left="1134" w:right="0" w:firstLine="423"/>
        <w:jc w:val="left"/>
      </w:pPr>
      <w:r>
        <w:rPr>
          <w:rFonts w:ascii="宋体" w:hAnsi="宋体" w:cs="宋体" w:eastAsia="宋体" w:hint="default"/>
          <w:spacing w:val="-1"/>
        </w:rPr>
        <w:t>2</w:t>
      </w:r>
      <w:r>
        <w:rPr>
          <w:spacing w:val="-1"/>
        </w:rPr>
        <w:t>）以发行权益性证券取得的长期股权投资，应当按照发行权益性证券的公允价值作为初始投资成本。</w:t>
      </w:r>
      <w:r>
        <w:rPr/>
        <w:t> </w:t>
      </w:r>
      <w:r>
        <w:rPr>
          <w:spacing w:val="-3"/>
        </w:rPr>
        <w:t>与发行权益行证券直接相关的费用，应当按照《企业会计准则第</w:t>
      </w:r>
      <w:r>
        <w:rPr>
          <w:rFonts w:ascii="宋体" w:hAnsi="宋体" w:cs="宋体" w:eastAsia="宋体" w:hint="default"/>
          <w:spacing w:val="-3"/>
        </w:rPr>
        <w:t>37</w:t>
      </w:r>
      <w:r>
        <w:rPr>
          <w:spacing w:val="-3"/>
        </w:rPr>
        <w:t>号——金融工具列报》的有关规定确定。</w:t>
      </w:r>
    </w:p>
    <w:p>
      <w:pPr>
        <w:pStyle w:val="BodyText"/>
        <w:spacing w:line="408" w:lineRule="auto" w:before="46"/>
        <w:ind w:left="1134" w:right="1131" w:firstLine="423"/>
        <w:jc w:val="both"/>
      </w:pPr>
      <w:r>
        <w:rPr>
          <w:rFonts w:ascii="宋体" w:hAnsi="宋体" w:cs="宋体" w:eastAsia="宋体" w:hint="default"/>
        </w:rPr>
        <w:t>3</w:t>
      </w:r>
      <w:r>
        <w:rPr/>
        <w:t>）在非货币性资产交换具备商业实质和换入资产或换出资产的公允价值能够可靠计量的前提下，非 </w:t>
      </w:r>
      <w:r>
        <w:rPr>
          <w:spacing w:val="-1"/>
        </w:rPr>
        <w:t>货币性资产交换换入的长期股权投资以换出资产的公允价值为基础确定其初始投资成本，除非有确凿证据</w:t>
      </w:r>
      <w:r>
        <w:rPr>
          <w:spacing w:val="-81"/>
        </w:rPr>
        <w:t> </w:t>
      </w:r>
      <w:r>
        <w:rPr>
          <w:spacing w:val="-81"/>
        </w:rPr>
      </w:r>
      <w:r>
        <w:rPr>
          <w:spacing w:val="-1"/>
        </w:rPr>
        <w:t>表明换入资产的公允价值更加可靠；不满足上述前提的非货币性资产交换，以换出资产的账面价值和应支</w:t>
      </w:r>
      <w:r>
        <w:rPr>
          <w:spacing w:val="-81"/>
        </w:rPr>
        <w:t> </w:t>
      </w:r>
      <w:r>
        <w:rPr>
          <w:spacing w:val="-81"/>
        </w:rPr>
      </w:r>
      <w:r>
        <w:rPr/>
        <w:t>付的相关税费作为换入长期股权投资的初始投资成本。</w:t>
      </w:r>
    </w:p>
    <w:p>
      <w:pPr>
        <w:pStyle w:val="BodyText"/>
        <w:spacing w:line="240" w:lineRule="auto" w:before="46"/>
        <w:ind w:left="1557" w:right="0"/>
        <w:jc w:val="left"/>
      </w:pPr>
      <w:r>
        <w:rPr>
          <w:rFonts w:ascii="宋体" w:hAnsi="宋体" w:cs="宋体" w:eastAsia="宋体" w:hint="default"/>
        </w:rPr>
        <w:t>4</w:t>
      </w:r>
      <w:r>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pStyle w:val="BodyText"/>
        <w:spacing w:line="240" w:lineRule="auto"/>
        <w:ind w:left="1557" w:right="0"/>
        <w:jc w:val="left"/>
      </w:pPr>
      <w:r>
        <w:rPr>
          <w:rFonts w:ascii="宋体" w:hAnsi="宋体" w:cs="宋体" w:eastAsia="宋体" w:hint="default"/>
        </w:rPr>
        <w:t>14.3</w:t>
      </w:r>
      <w:r>
        <w:rPr/>
        <w:t>后续计量及损益确认方法</w:t>
      </w:r>
    </w:p>
    <w:p>
      <w:pPr>
        <w:spacing w:line="240" w:lineRule="auto" w:before="10"/>
        <w:rPr>
          <w:rFonts w:ascii="宋体" w:hAnsi="宋体" w:cs="宋体" w:eastAsia="宋体" w:hint="default"/>
          <w:sz w:val="14"/>
          <w:szCs w:val="14"/>
        </w:rPr>
      </w:pPr>
    </w:p>
    <w:p>
      <w:pPr>
        <w:pStyle w:val="BodyText"/>
        <w:spacing w:line="408" w:lineRule="auto"/>
        <w:ind w:left="1557" w:right="0"/>
        <w:jc w:val="left"/>
      </w:pPr>
      <w:r>
        <w:rPr>
          <w:rFonts w:ascii="宋体" w:hAnsi="宋体" w:cs="宋体" w:eastAsia="宋体" w:hint="default"/>
        </w:rPr>
        <w:t>14.3.1</w:t>
      </w:r>
      <w:r>
        <w:rPr/>
        <w:t>成本法后续计量 </w:t>
      </w:r>
      <w:r>
        <w:rPr>
          <w:spacing w:val="-1"/>
        </w:rPr>
        <w:t>公司能够对被投资单位实施控制的长期股权投资采用成本法核算，长期股权投资按照初始投资成本计</w:t>
      </w:r>
    </w:p>
    <w:p>
      <w:pPr>
        <w:pStyle w:val="BodyText"/>
        <w:spacing w:line="408" w:lineRule="auto" w:before="46"/>
        <w:ind w:left="1134" w:right="1116"/>
        <w:jc w:val="left"/>
      </w:pPr>
      <w:r>
        <w:rPr>
          <w:spacing w:val="-1"/>
        </w:rPr>
        <w:t>价。追加或收回投资调整长期股权投资的成本。被投资单位宣告分派的现金股利或利润，确认为当期投资</w:t>
      </w:r>
      <w:r>
        <w:rPr>
          <w:spacing w:val="-83"/>
        </w:rPr>
        <w:t> </w:t>
      </w:r>
      <w:r>
        <w:rPr>
          <w:spacing w:val="-83"/>
        </w:rPr>
      </w:r>
      <w:r>
        <w:rPr/>
        <w:t>收益。</w:t>
      </w:r>
    </w:p>
    <w:p>
      <w:pPr>
        <w:pStyle w:val="BodyText"/>
        <w:spacing w:line="240" w:lineRule="auto" w:before="46"/>
        <w:ind w:left="1557" w:right="0"/>
        <w:jc w:val="left"/>
      </w:pPr>
      <w:r>
        <w:rPr>
          <w:rFonts w:ascii="宋体" w:hAnsi="宋体" w:cs="宋体" w:eastAsia="宋体" w:hint="default"/>
        </w:rPr>
        <w:t>14.3.2</w:t>
      </w:r>
      <w:r>
        <w:rPr/>
        <w:t>权益法后续计量</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right="1130" w:firstLine="423"/>
        <w:jc w:val="both"/>
      </w:pPr>
      <w:r>
        <w:rPr>
          <w:spacing w:val="-1"/>
        </w:rPr>
        <w:t>公司对联营企业和合营企业的长期股权投资，采用权益法核算，长期股权投资的初始投资成本大于投</w:t>
      </w:r>
      <w:r>
        <w:rPr/>
        <w:t> </w:t>
      </w:r>
      <w:r>
        <w:rPr>
          <w:spacing w:val="-1"/>
        </w:rPr>
        <w:t>资时应享有被投资单位可辨认净资产公允价值份额的，不调整长期股权投资的初始投资成本；长期股权投</w:t>
      </w:r>
      <w:r>
        <w:rPr>
          <w:spacing w:val="-80"/>
        </w:rPr>
        <w:t> </w:t>
      </w:r>
      <w:r>
        <w:rPr>
          <w:spacing w:val="-80"/>
        </w:rPr>
      </w:r>
      <w:r>
        <w:rPr>
          <w:spacing w:val="-1"/>
        </w:rPr>
        <w:t>资的初始投资成本小于投资时应享有被投资单位可辨认净资产公允价值份额的，其差额计入当期损益，同</w:t>
      </w:r>
      <w:r>
        <w:rPr>
          <w:spacing w:val="-81"/>
        </w:rPr>
        <w:t> </w:t>
      </w:r>
      <w:r>
        <w:rPr>
          <w:spacing w:val="-81"/>
        </w:rPr>
      </w:r>
      <w:r>
        <w:rPr/>
        <w:t>时调整长期股权投资的成本。</w:t>
      </w:r>
    </w:p>
    <w:p>
      <w:pPr>
        <w:pStyle w:val="BodyText"/>
        <w:spacing w:line="408" w:lineRule="auto" w:before="46"/>
        <w:ind w:right="1131" w:firstLine="423"/>
        <w:jc w:val="both"/>
      </w:pPr>
      <w:r>
        <w:rPr>
          <w:spacing w:val="-1"/>
        </w:rPr>
        <w:t>采用权益法核算时，投资方取得长期股权投资后，按照应享有或应分担的被投资单位实现的净损益和</w:t>
      </w:r>
      <w:r>
        <w:rPr/>
        <w:t> </w:t>
      </w:r>
      <w:r>
        <w:rPr>
          <w:spacing w:val="-1"/>
        </w:rPr>
        <w:t>其他综合收益的份额，分别确认投资收益和其他综合收益，同时调整长期股权投资的账面价值；投资方按</w:t>
      </w:r>
      <w:r>
        <w:rPr>
          <w:spacing w:val="-83"/>
        </w:rPr>
        <w:t> </w:t>
      </w:r>
      <w:r>
        <w:rPr>
          <w:spacing w:val="-83"/>
        </w:rPr>
      </w:r>
      <w:r>
        <w:rPr>
          <w:spacing w:val="-1"/>
        </w:rPr>
        <w:t>照被投资单位宣告分派的利润或现金股利计算应享有的部分，相应减少长期股权投资的账面价值；投资方</w:t>
      </w:r>
      <w:r>
        <w:rPr>
          <w:spacing w:val="-81"/>
        </w:rPr>
        <w:t> </w:t>
      </w:r>
      <w:r>
        <w:rPr>
          <w:spacing w:val="-81"/>
        </w:rPr>
      </w:r>
      <w:r>
        <w:rPr>
          <w:spacing w:val="-1"/>
        </w:rPr>
        <w:t>对于被投资单位除净损益、其他综合收益和利润分配以外所有者权益的其他变动，调整长期股权投资的账</w:t>
      </w:r>
      <w:r>
        <w:rPr>
          <w:spacing w:val="-81"/>
        </w:rPr>
        <w:t> </w:t>
      </w:r>
      <w:r>
        <w:rPr>
          <w:spacing w:val="-81"/>
        </w:rPr>
      </w:r>
      <w:r>
        <w:rPr>
          <w:spacing w:val="-1"/>
        </w:rPr>
        <w:t>面价值并计入所有者权益。投资方在确认应享有被投资单位净损益的份额时，以取得投资时被投资单位可</w:t>
      </w:r>
      <w:r>
        <w:rPr>
          <w:spacing w:val="-81"/>
        </w:rPr>
        <w:t> </w:t>
      </w:r>
      <w:r>
        <w:rPr>
          <w:spacing w:val="-81"/>
        </w:rPr>
      </w:r>
      <w:r>
        <w:rPr>
          <w:spacing w:val="-1"/>
        </w:rPr>
        <w:t>辨认净资产的公允价值为基础，对被投资单位的净利润进行调整后确认。被投资单位采用的会计政策及会</w:t>
      </w:r>
      <w:r>
        <w:rPr>
          <w:spacing w:val="-81"/>
        </w:rPr>
        <w:t> </w:t>
      </w:r>
      <w:r>
        <w:rPr>
          <w:spacing w:val="-81"/>
        </w:rPr>
      </w:r>
      <w:r>
        <w:rPr>
          <w:spacing w:val="-1"/>
        </w:rPr>
        <w:t>计期间与投资方不一致的，按照投资方的会计政策及会计期间对被投资单位的财务报表进行调整，并据以</w:t>
      </w:r>
      <w:r>
        <w:rPr>
          <w:spacing w:val="-81"/>
        </w:rPr>
        <w:t> </w:t>
      </w:r>
      <w:r>
        <w:rPr>
          <w:spacing w:val="-81"/>
        </w:rPr>
      </w:r>
      <w:r>
        <w:rPr/>
        <w:t>确认投资收益和其他综合收益等。</w:t>
      </w:r>
    </w:p>
    <w:p>
      <w:pPr>
        <w:pStyle w:val="BodyText"/>
        <w:spacing w:line="408" w:lineRule="auto" w:before="46"/>
        <w:ind w:right="1110" w:firstLine="423"/>
        <w:jc w:val="both"/>
      </w:pPr>
      <w:r>
        <w:rPr>
          <w:spacing w:val="-1"/>
        </w:rPr>
        <w:t>投资方确认被投资单位发生的净亏损，以长期股权投资的账面价值以及其他实质上构成对被投资单位</w:t>
      </w:r>
      <w:r>
        <w:rPr/>
        <w:t> 净投资的长期权益减记至零为限，投资方负有承担额外损失义务的除外。被投资单位以后实现净利润的， 投资方在其收益分享额弥补未确认的亏损分担额后，恢复确认收益分享额。</w:t>
      </w:r>
    </w:p>
    <w:p>
      <w:pPr>
        <w:pStyle w:val="BodyText"/>
        <w:spacing w:line="408" w:lineRule="auto" w:before="46"/>
        <w:ind w:right="0" w:firstLine="423"/>
        <w:jc w:val="left"/>
      </w:pPr>
      <w:r>
        <w:rPr>
          <w:spacing w:val="-1"/>
        </w:rPr>
        <w:t>投资方计算确认应享有或应分担被投资单位的净损益时，与联营企业、合营企业之间发生的未实现内</w:t>
      </w:r>
      <w:r>
        <w:rPr/>
        <w:t> </w:t>
      </w:r>
      <w:r>
        <w:rPr>
          <w:spacing w:val="-1"/>
        </w:rPr>
        <w:t>部交易损益按照应享有的比例计算归属于投资方的部分，予以抵销，在此基础上确认投资收益。投资方与</w:t>
      </w:r>
      <w:r>
        <w:rPr>
          <w:spacing w:val="-83"/>
        </w:rPr>
        <w:t> </w:t>
      </w:r>
      <w:r>
        <w:rPr>
          <w:spacing w:val="-83"/>
        </w:rPr>
      </w:r>
      <w:r>
        <w:rPr/>
        <w:t>被投资单位发生的未实现内部交易损失，按照《企业会计准则第</w:t>
      </w:r>
      <w:r>
        <w:rPr>
          <w:rFonts w:ascii="宋体" w:hAnsi="宋体" w:cs="宋体" w:eastAsia="宋体" w:hint="default"/>
        </w:rPr>
        <w:t>8</w:t>
      </w:r>
      <w:r>
        <w:rPr/>
        <w:t>号——资产减值》等的有关规定属于资 产减值损失的，全额确认。</w:t>
      </w:r>
    </w:p>
    <w:p>
      <w:pPr>
        <w:pStyle w:val="BodyText"/>
        <w:spacing w:line="408" w:lineRule="auto" w:before="46"/>
        <w:ind w:right="1131" w:firstLine="423"/>
        <w:jc w:val="both"/>
      </w:pPr>
      <w:r>
        <w:rPr>
          <w:spacing w:val="-1"/>
        </w:rPr>
        <w:t>投资方对联营企业的权益性投资，其中一部分通过风险投资机构、共同基金、信托公司或包括投连险</w:t>
      </w:r>
      <w:r>
        <w:rPr/>
        <w:t> </w:t>
      </w:r>
      <w:r>
        <w:rPr>
          <w:spacing w:val="-1"/>
        </w:rPr>
        <w:t>基金在内的类似主体间接持有的，无论以上主体是否对这部分投资具有重大影响，投资方都按照金融工具</w:t>
      </w:r>
      <w:r>
        <w:rPr>
          <w:spacing w:val="-81"/>
        </w:rPr>
        <w:t> </w:t>
      </w:r>
      <w:r>
        <w:rPr>
          <w:spacing w:val="-81"/>
        </w:rPr>
      </w:r>
      <w:r>
        <w:rPr>
          <w:spacing w:val="-1"/>
        </w:rPr>
        <w:t>政策的有关规定，对间接持有的该部分投资选择以公允价值计量且其变动计入损益，并对其余部分采用权</w:t>
      </w:r>
      <w:r>
        <w:rPr>
          <w:spacing w:val="-81"/>
        </w:rPr>
        <w:t> </w:t>
      </w:r>
      <w:r>
        <w:rPr>
          <w:spacing w:val="-81"/>
        </w:rPr>
      </w:r>
      <w:r>
        <w:rPr/>
        <w:t>益法核算。</w:t>
      </w:r>
    </w:p>
    <w:p>
      <w:pPr>
        <w:pStyle w:val="BodyText"/>
        <w:spacing w:line="408" w:lineRule="auto" w:before="46"/>
        <w:ind w:left="1557" w:right="0"/>
        <w:jc w:val="left"/>
      </w:pPr>
      <w:r>
        <w:rPr>
          <w:rFonts w:ascii="宋体" w:hAnsi="宋体" w:cs="宋体" w:eastAsia="宋体" w:hint="default"/>
        </w:rPr>
        <w:t>14.3.3</w:t>
      </w:r>
      <w:r>
        <w:rPr/>
        <w:t>因追加投资等原因能够对被投资单位施加重大影响或实施共同控制但不构成控制的处理 </w:t>
      </w:r>
      <w:r>
        <w:rPr>
          <w:spacing w:val="-1"/>
        </w:rPr>
        <w:t>按照《企业会计准则第</w:t>
      </w:r>
      <w:r>
        <w:rPr>
          <w:rFonts w:ascii="宋体" w:hAnsi="宋体" w:cs="宋体" w:eastAsia="宋体" w:hint="default"/>
          <w:spacing w:val="-1"/>
        </w:rPr>
        <w:t>22</w:t>
      </w:r>
      <w:r>
        <w:rPr>
          <w:spacing w:val="-1"/>
        </w:rPr>
        <w:t>号——金融工具确认和计量》确定的原持有的股权投资的公允价值加上新增</w:t>
      </w:r>
    </w:p>
    <w:p>
      <w:pPr>
        <w:pStyle w:val="BodyText"/>
        <w:spacing w:line="408" w:lineRule="auto" w:before="46"/>
        <w:ind w:left="1134" w:right="1131"/>
        <w:jc w:val="both"/>
      </w:pPr>
      <w:r>
        <w:rPr>
          <w:spacing w:val="-1"/>
        </w:rPr>
        <w:t>投资成本之和，作为改按权益法核算的初始投资成本。原持有的股权投资分类为可供出售金融资产的，其</w:t>
      </w:r>
      <w:r>
        <w:rPr>
          <w:spacing w:val="-83"/>
        </w:rPr>
        <w:t> </w:t>
      </w:r>
      <w:r>
        <w:rPr>
          <w:spacing w:val="-83"/>
        </w:rPr>
      </w:r>
      <w:r>
        <w:rPr>
          <w:spacing w:val="-1"/>
        </w:rPr>
        <w:t>公允价值与账面价值之间的差额，以及原计入其他综合收益的累计公允价值变动转入改按权益法核算的当</w:t>
      </w:r>
      <w:r>
        <w:rPr>
          <w:spacing w:val="-81"/>
        </w:rPr>
        <w:t> </w:t>
      </w:r>
      <w:r>
        <w:rPr>
          <w:spacing w:val="-81"/>
        </w:rPr>
      </w:r>
      <w:r>
        <w:rPr/>
        <w:t>期损益。</w:t>
      </w:r>
    </w:p>
    <w:p>
      <w:pPr>
        <w:pStyle w:val="BodyText"/>
        <w:spacing w:line="408" w:lineRule="auto" w:before="46"/>
        <w:ind w:left="1557" w:right="0"/>
        <w:jc w:val="left"/>
      </w:pPr>
      <w:r>
        <w:rPr>
          <w:rFonts w:ascii="宋体" w:hAnsi="宋体" w:cs="宋体" w:eastAsia="宋体" w:hint="default"/>
        </w:rPr>
        <w:t>14.3.4</w:t>
      </w:r>
      <w:r>
        <w:rPr/>
        <w:t>处置部分股权的处理 </w:t>
      </w:r>
      <w:r>
        <w:rPr>
          <w:spacing w:val="-1"/>
        </w:rPr>
        <w:t>因处置部分股权投资等原因丧失了对被投资单位的共同控制或重大影响的，处置后的剩余股权改按本</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left="1134" w:right="1131"/>
        <w:jc w:val="both"/>
      </w:pPr>
      <w:r>
        <w:rPr>
          <w:spacing w:val="-1"/>
        </w:rPr>
        <w:t>附注“金融工具”的政策核算，其在丧失共同控制或重大影响之日的公允价值与账面价值之间的差额计入</w:t>
      </w:r>
      <w:r>
        <w:rPr>
          <w:spacing w:val="-82"/>
        </w:rPr>
        <w:t> </w:t>
      </w:r>
      <w:r>
        <w:rPr>
          <w:spacing w:val="-82"/>
        </w:rPr>
      </w:r>
      <w:r>
        <w:rPr>
          <w:spacing w:val="-1"/>
        </w:rPr>
        <w:t>当期损益。原股权投资因采用权益法核算而确认的其他综合收益，在终止采用权益法核算时采用与被投资</w:t>
      </w:r>
      <w:r>
        <w:rPr>
          <w:spacing w:val="-81"/>
        </w:rPr>
        <w:t> </w:t>
      </w:r>
      <w:r>
        <w:rPr>
          <w:spacing w:val="-81"/>
        </w:rPr>
      </w:r>
      <w:r>
        <w:rPr/>
        <w:t>单位直接处置相关资产或负债相同的基础进行会计处理。</w:t>
      </w:r>
    </w:p>
    <w:p>
      <w:pPr>
        <w:pStyle w:val="BodyText"/>
        <w:spacing w:line="408" w:lineRule="auto" w:before="46"/>
        <w:ind w:right="1131" w:firstLine="423"/>
        <w:jc w:val="both"/>
      </w:pPr>
      <w:r>
        <w:rPr>
          <w:spacing w:val="-1"/>
        </w:rPr>
        <w:t>因处置部分权益性投资等原因丧失了对被投资单位的控制的，在编制个别财务报表时，处置后的剩余</w:t>
      </w:r>
      <w:r>
        <w:rPr/>
        <w:t> </w:t>
      </w:r>
      <w:r>
        <w:rPr>
          <w:spacing w:val="-1"/>
        </w:rPr>
        <w:t>股权能够对被投资单位实施共同控制或施加重大影响的，改按权益法核算，并对该剩余股权视同自取得时</w:t>
      </w:r>
      <w:r>
        <w:rPr>
          <w:spacing w:val="-81"/>
        </w:rPr>
        <w:t> </w:t>
      </w:r>
      <w:r>
        <w:rPr>
          <w:spacing w:val="-81"/>
        </w:rPr>
      </w:r>
      <w:r>
        <w:rPr>
          <w:spacing w:val="-1"/>
        </w:rPr>
        <w:t>即采用权益法核算进行调整；处置后的剩余股权不能对被投资单位实施共同控制或施加重大影响的，改按</w:t>
      </w:r>
      <w:r>
        <w:rPr>
          <w:spacing w:val="-81"/>
        </w:rPr>
        <w:t> </w:t>
      </w:r>
      <w:r>
        <w:rPr>
          <w:spacing w:val="-81"/>
        </w:rPr>
      </w:r>
      <w:r>
        <w:rPr>
          <w:spacing w:val="-1"/>
        </w:rPr>
        <w:t>本附注“金融工具”的有关政策进行会计处理，其在丧失控制之日的公允价值与账面价值间的差额计入当</w:t>
      </w:r>
      <w:r>
        <w:rPr>
          <w:spacing w:val="-82"/>
        </w:rPr>
        <w:t> </w:t>
      </w:r>
      <w:r>
        <w:rPr>
          <w:spacing w:val="-82"/>
        </w:rPr>
      </w:r>
      <w:r>
        <w:rPr/>
        <w:t>期损益。在编制合并财务报表时，按照本附注“合并财务报表的编制方法”的相关内容处理。</w:t>
      </w:r>
    </w:p>
    <w:p>
      <w:pPr>
        <w:pStyle w:val="BodyText"/>
        <w:spacing w:line="408" w:lineRule="auto" w:before="46"/>
        <w:ind w:left="1557" w:right="0"/>
        <w:jc w:val="left"/>
      </w:pPr>
      <w:r>
        <w:rPr>
          <w:rFonts w:ascii="宋体" w:hAnsi="宋体" w:cs="宋体" w:eastAsia="宋体" w:hint="default"/>
        </w:rPr>
        <w:t>14.3.5</w:t>
      </w:r>
      <w:r>
        <w:rPr/>
        <w:t>对联营企业或合营企业的权益性投资全部或部分分类为持有待售资产的处理 </w:t>
      </w:r>
      <w:r>
        <w:rPr>
          <w:spacing w:val="-1"/>
        </w:rPr>
        <w:t>分类为持有待售资产的对联营企业或合营企业的权益性投资，以账面价值与公允价值减去处置费用孰</w:t>
      </w:r>
    </w:p>
    <w:p>
      <w:pPr>
        <w:pStyle w:val="BodyText"/>
        <w:spacing w:line="408" w:lineRule="auto" w:before="46"/>
        <w:ind w:right="1024"/>
        <w:jc w:val="left"/>
      </w:pPr>
      <w:r>
        <w:rPr/>
        <w:t>低的金额列示，公允价值减去处置费用低于原账面价值的金额，确认为资产减值损失。对于未划分为持有 待售资产的剩余权益性投资，采用权益法进行会计处理。已划分为持有待售的对联营企业或合营企业的权 </w:t>
      </w:r>
      <w:r>
        <w:rPr>
          <w:spacing w:val="-3"/>
        </w:rPr>
        <w:t>益性投资，不再符合持有待售资产分类条件的，从被分类为持有待售资产之日起采用权益法进行追溯调整。</w:t>
      </w:r>
      <w:r>
        <w:rPr>
          <w:spacing w:val="-92"/>
        </w:rPr>
        <w:t> </w:t>
      </w:r>
      <w:r>
        <w:rPr>
          <w:spacing w:val="-92"/>
        </w:rPr>
      </w:r>
      <w:r>
        <w:rPr/>
        <w:t>分类为持有待售期间的财务报表作相应调整。</w:t>
      </w:r>
    </w:p>
    <w:p>
      <w:pPr>
        <w:pStyle w:val="BodyText"/>
        <w:spacing w:line="408" w:lineRule="auto" w:before="46"/>
        <w:ind w:left="1557" w:right="0"/>
        <w:jc w:val="left"/>
      </w:pPr>
      <w:r>
        <w:rPr>
          <w:rFonts w:ascii="宋体" w:hAnsi="宋体" w:cs="宋体" w:eastAsia="宋体" w:hint="default"/>
        </w:rPr>
        <w:t>14.3.6</w:t>
      </w:r>
      <w:r>
        <w:rPr/>
        <w:t>处置长期股权投资的处理 </w:t>
      </w:r>
      <w:r>
        <w:rPr>
          <w:spacing w:val="-1"/>
        </w:rPr>
        <w:t>处置长期股权投资，其账面价值与实际取得价款之间的差额，计入当期损益。采用权益法核算的长期</w:t>
      </w:r>
    </w:p>
    <w:p>
      <w:pPr>
        <w:pStyle w:val="BodyText"/>
        <w:spacing w:line="408" w:lineRule="auto" w:before="46"/>
        <w:ind w:right="0"/>
        <w:jc w:val="left"/>
      </w:pPr>
      <w:r>
        <w:rPr>
          <w:spacing w:val="-1"/>
        </w:rPr>
        <w:t>股权投资，在处置该项投资时，采用与被投资单位直接处置相关资产或负债相同的基础，按相应比例对原</w:t>
      </w:r>
      <w:r>
        <w:rPr>
          <w:spacing w:val="-83"/>
        </w:rPr>
        <w:t> </w:t>
      </w:r>
      <w:r>
        <w:rPr>
          <w:spacing w:val="-83"/>
        </w:rPr>
      </w:r>
      <w:r>
        <w:rPr/>
        <w:t>计入其他综合收益的部分进行会计处理。</w:t>
      </w:r>
    </w:p>
    <w:p>
      <w:pPr>
        <w:spacing w:line="412" w:lineRule="auto" w:before="55"/>
        <w:ind w:left="1133" w:right="8653" w:firstLine="0"/>
        <w:jc w:val="left"/>
        <w:rPr>
          <w:rFonts w:ascii="宋体" w:hAnsi="宋体" w:cs="宋体" w:eastAsia="宋体" w:hint="default"/>
          <w:sz w:val="21"/>
          <w:szCs w:val="21"/>
        </w:rPr>
      </w:pPr>
      <w:bookmarkStart w:name="15、投资性房地产" w:id="179"/>
      <w:bookmarkEnd w:id="179"/>
      <w:r>
        <w:rPr/>
      </w:r>
      <w:r>
        <w:rPr>
          <w:rFonts w:ascii="宋体" w:hAnsi="宋体" w:cs="宋体" w:eastAsia="宋体" w:hint="default"/>
          <w:b/>
          <w:bCs/>
          <w:sz w:val="20"/>
          <w:szCs w:val="20"/>
        </w:rPr>
        <w:t>15</w:t>
      </w:r>
      <w:r>
        <w:rPr>
          <w:rFonts w:ascii="宋体" w:hAnsi="宋体" w:cs="宋体" w:eastAsia="宋体" w:hint="default"/>
          <w:b/>
          <w:bCs/>
          <w:sz w:val="20"/>
          <w:szCs w:val="20"/>
        </w:rPr>
        <w:t>、投资性房地产</w:t>
      </w:r>
      <w:r>
        <w:rPr>
          <w:rFonts w:ascii="宋体" w:hAnsi="宋体" w:cs="宋体" w:eastAsia="宋体" w:hint="default"/>
          <w:b/>
          <w:bCs/>
          <w:w w:val="99"/>
          <w:sz w:val="20"/>
          <w:szCs w:val="20"/>
        </w:rPr>
        <w:t> </w:t>
      </w:r>
      <w:r>
        <w:rPr>
          <w:rFonts w:ascii="宋体" w:hAnsi="宋体" w:cs="宋体" w:eastAsia="宋体" w:hint="default"/>
          <w:sz w:val="21"/>
          <w:szCs w:val="21"/>
        </w:rPr>
        <w:t>投资性房地产计量模式 成本法计量 折旧或摊销方法</w:t>
      </w:r>
    </w:p>
    <w:p>
      <w:pPr>
        <w:pStyle w:val="BodyText"/>
        <w:spacing w:line="408" w:lineRule="auto" w:before="42"/>
        <w:ind w:right="0" w:firstLine="420"/>
        <w:jc w:val="left"/>
      </w:pPr>
      <w:r>
        <w:rPr>
          <w:spacing w:val="-1"/>
        </w:rPr>
        <w:t>投资性房地产包括已出租持有并准备增值后转让的土地使用权以及已出租的建筑物，以实际成本进行</w:t>
      </w:r>
      <w:r>
        <w:rPr/>
        <w:t> </w:t>
      </w:r>
      <w:r>
        <w:rPr>
          <w:spacing w:val="-1"/>
        </w:rPr>
        <w:t>初始计量。与投资性房地产有关的后续支出，在相关的经济利益很可能流入本公司且其成本能够可靠的计</w:t>
      </w:r>
      <w:r>
        <w:rPr>
          <w:spacing w:val="-81"/>
        </w:rPr>
        <w:t> </w:t>
      </w:r>
      <w:r>
        <w:rPr>
          <w:spacing w:val="-81"/>
        </w:rPr>
      </w:r>
      <w:r>
        <w:rPr/>
        <w:t>量时，计入投资性房地产成本；否则，在发生时计入当期损益。 </w:t>
      </w:r>
      <w:r>
        <w:rPr>
          <w:spacing w:val="-1"/>
        </w:rPr>
        <w:t>本公司采用成本模式对所有投资性房地产进行后续计量，按其预计使用寿命及净残值率对建筑物和土地使</w:t>
      </w:r>
      <w:r>
        <w:rPr>
          <w:spacing w:val="-81"/>
        </w:rPr>
        <w:t> </w:t>
      </w:r>
      <w:r>
        <w:rPr>
          <w:spacing w:val="-81"/>
        </w:rPr>
      </w:r>
      <w:r>
        <w:rPr/>
        <w:t>用权计提折旧或摊销。投资性房地产的预计使用寿命、净残值率及年折旧</w:t>
      </w:r>
      <w:r>
        <w:rPr>
          <w:rFonts w:ascii="宋体" w:hAnsi="宋体" w:cs="宋体" w:eastAsia="宋体" w:hint="default"/>
        </w:rPr>
        <w:t>(</w:t>
      </w:r>
      <w:r>
        <w:rPr/>
        <w:t>摊销</w:t>
      </w:r>
      <w:r>
        <w:rPr>
          <w:rFonts w:ascii="宋体" w:hAnsi="宋体" w:cs="宋体" w:eastAsia="宋体" w:hint="default"/>
        </w:rPr>
        <w:t>)</w:t>
      </w:r>
      <w:r>
        <w:rPr/>
        <w:t>率列示如下：</w:t>
      </w:r>
    </w:p>
    <w:tbl>
      <w:tblPr>
        <w:tblW w:w="0" w:type="auto"/>
        <w:jc w:val="left"/>
        <w:tblInd w:w="1113" w:type="dxa"/>
        <w:tblLayout w:type="fixed"/>
        <w:tblCellMar>
          <w:top w:w="0" w:type="dxa"/>
          <w:left w:w="0" w:type="dxa"/>
          <w:bottom w:w="0" w:type="dxa"/>
          <w:right w:w="0" w:type="dxa"/>
        </w:tblCellMar>
        <w:tblLook w:val="01E0"/>
      </w:tblPr>
      <w:tblGrid>
        <w:gridCol w:w="2412"/>
        <w:gridCol w:w="2411"/>
        <w:gridCol w:w="2411"/>
        <w:gridCol w:w="2411"/>
      </w:tblGrid>
      <w:tr>
        <w:trPr>
          <w:trHeight w:val="355" w:hRule="exact"/>
        </w:trPr>
        <w:tc>
          <w:tcPr>
            <w:tcW w:w="241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27"/>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4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预计净残值率（</w:t>
            </w:r>
            <w:r>
              <w:rPr>
                <w:rFonts w:ascii="宋体" w:hAnsi="宋体" w:cs="宋体" w:eastAsia="宋体" w:hint="default"/>
                <w:sz w:val="18"/>
                <w:szCs w:val="18"/>
              </w:rPr>
              <w:t>%</w:t>
            </w:r>
            <w:r>
              <w:rPr>
                <w:rFonts w:ascii="宋体" w:hAnsi="宋体" w:cs="宋体" w:eastAsia="宋体" w:hint="default"/>
                <w:sz w:val="18"/>
                <w:szCs w:val="18"/>
              </w:rPr>
              <w:t>）</w:t>
            </w:r>
          </w:p>
        </w:tc>
        <w:tc>
          <w:tcPr>
            <w:tcW w:w="241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
              <w:ind w:left="7" w:right="0"/>
              <w:jc w:val="center"/>
              <w:rPr>
                <w:rFonts w:ascii="宋体" w:hAnsi="宋体" w:cs="宋体" w:eastAsia="宋体" w:hint="default"/>
                <w:sz w:val="18"/>
                <w:szCs w:val="18"/>
              </w:rPr>
            </w:pPr>
            <w:r>
              <w:rPr>
                <w:rFonts w:ascii="宋体" w:hAnsi="宋体" w:cs="宋体" w:eastAsia="宋体" w:hint="default"/>
                <w:sz w:val="18"/>
                <w:szCs w:val="18"/>
              </w:rPr>
              <w:t>年折旧</w:t>
            </w:r>
            <w:r>
              <w:rPr>
                <w:rFonts w:ascii="宋体" w:hAnsi="宋体" w:cs="宋体" w:eastAsia="宋体" w:hint="default"/>
                <w:sz w:val="18"/>
                <w:szCs w:val="18"/>
              </w:rPr>
              <w:t>(</w:t>
            </w:r>
            <w:r>
              <w:rPr>
                <w:rFonts w:ascii="宋体" w:hAnsi="宋体" w:cs="宋体" w:eastAsia="宋体" w:hint="default"/>
                <w:sz w:val="18"/>
                <w:szCs w:val="18"/>
              </w:rPr>
              <w:t>摊销</w:t>
            </w:r>
            <w:r>
              <w:rPr>
                <w:rFonts w:ascii="宋体" w:hAnsi="宋体" w:cs="宋体" w:eastAsia="宋体" w:hint="default"/>
                <w:sz w:val="18"/>
                <w:szCs w:val="18"/>
              </w:rPr>
              <w:t>)</w:t>
            </w:r>
            <w:r>
              <w:rPr>
                <w:rFonts w:ascii="宋体" w:hAnsi="宋体" w:cs="宋体" w:eastAsia="宋体" w:hint="default"/>
                <w:sz w:val="18"/>
                <w:szCs w:val="18"/>
              </w:rPr>
              <w:t>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355" w:hRule="exact"/>
        </w:trPr>
        <w:tc>
          <w:tcPr>
            <w:tcW w:w="241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4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27"/>
              <w:jc w:val="center"/>
              <w:rPr>
                <w:rFonts w:ascii="宋体" w:hAnsi="宋体" w:cs="宋体" w:eastAsia="宋体" w:hint="default"/>
                <w:sz w:val="18"/>
                <w:szCs w:val="18"/>
              </w:rPr>
            </w:pPr>
            <w:r>
              <w:rPr>
                <w:rFonts w:ascii="宋体"/>
                <w:sz w:val="18"/>
              </w:rPr>
              <w:t>20-50</w:t>
            </w:r>
          </w:p>
        </w:tc>
        <w:tc>
          <w:tcPr>
            <w:tcW w:w="24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left="2" w:right="0"/>
              <w:jc w:val="center"/>
              <w:rPr>
                <w:rFonts w:ascii="宋体" w:hAnsi="宋体" w:cs="宋体" w:eastAsia="宋体" w:hint="default"/>
                <w:sz w:val="18"/>
                <w:szCs w:val="18"/>
              </w:rPr>
            </w:pPr>
            <w:r>
              <w:rPr>
                <w:rFonts w:ascii="宋体"/>
                <w:sz w:val="18"/>
              </w:rPr>
              <w:t>5</w:t>
            </w:r>
          </w:p>
        </w:tc>
        <w:tc>
          <w:tcPr>
            <w:tcW w:w="24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
              <w:ind w:left="7" w:right="0"/>
              <w:jc w:val="center"/>
              <w:rPr>
                <w:rFonts w:ascii="宋体" w:hAnsi="宋体" w:cs="宋体" w:eastAsia="宋体" w:hint="default"/>
                <w:sz w:val="18"/>
                <w:szCs w:val="18"/>
              </w:rPr>
            </w:pPr>
            <w:r>
              <w:rPr>
                <w:rFonts w:ascii="宋体"/>
                <w:sz w:val="18"/>
              </w:rPr>
              <w:t>1.90-4.75</w:t>
            </w:r>
          </w:p>
        </w:tc>
      </w:tr>
    </w:tbl>
    <w:p>
      <w:pPr>
        <w:spacing w:after="0" w:line="240" w:lineRule="auto"/>
        <w:jc w:val="center"/>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3" w:right="0" w:firstLine="0"/>
        <w:jc w:val="left"/>
        <w:rPr>
          <w:rFonts w:ascii="宋体" w:hAnsi="宋体" w:cs="宋体" w:eastAsia="宋体" w:hint="default"/>
          <w:sz w:val="20"/>
          <w:szCs w:val="20"/>
        </w:rPr>
      </w:pPr>
      <w:bookmarkStart w:name="16、固定资产" w:id="180"/>
      <w:bookmarkEnd w:id="180"/>
      <w:r>
        <w:rPr/>
      </w:r>
      <w:r>
        <w:rPr>
          <w:rFonts w:ascii="宋体" w:hAnsi="宋体" w:cs="宋体" w:eastAsia="宋体" w:hint="default"/>
          <w:b/>
          <w:bCs/>
          <w:sz w:val="20"/>
          <w:szCs w:val="20"/>
        </w:rPr>
        <w:t>16</w:t>
      </w:r>
      <w:r>
        <w:rPr>
          <w:rFonts w:ascii="宋体" w:hAnsi="宋体" w:cs="宋体" w:eastAsia="宋体" w:hint="default"/>
          <w:b/>
          <w:bCs/>
          <w:sz w:val="20"/>
          <w:szCs w:val="20"/>
        </w:rPr>
        <w:t>、固定资产</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确认条件" w:id="181"/>
      <w:bookmarkEnd w:id="181"/>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）确认条件</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134" w:right="1092" w:firstLine="420"/>
        <w:jc w:val="left"/>
      </w:pPr>
      <w:r>
        <w:rPr>
          <w:spacing w:val="-1"/>
        </w:rPr>
        <w:t>固定资产是指为生产商品、提供劳务、出租或经营管理而持有的，使用寿命超过一个会计年度的有形</w:t>
      </w:r>
      <w:r>
        <w:rPr/>
        <w:t> 资产。固定资产同时满足下列条件的，才能予以确认：①与该固定资产有关的经济利益很可能流入企业；</w:t>
      </w:r>
    </w:p>
    <w:p>
      <w:pPr>
        <w:pStyle w:val="BodyText"/>
        <w:spacing w:line="240" w:lineRule="auto" w:before="46"/>
        <w:ind w:right="0"/>
        <w:jc w:val="left"/>
      </w:pPr>
      <w:r>
        <w:rPr/>
        <w:t>②该固定资产的成本能够可靠地计量。</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折旧方法" w:id="182"/>
      <w:bookmarkEnd w:id="182"/>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）折旧方法</w:t>
      </w:r>
      <w:r>
        <w:rPr>
          <w:rFonts w:ascii="宋体" w:hAnsi="宋体" w:cs="宋体" w:eastAsia="宋体" w:hint="default"/>
          <w:sz w:val="20"/>
          <w:szCs w:val="20"/>
        </w:rPr>
      </w:r>
    </w:p>
    <w:p>
      <w:pPr>
        <w:spacing w:line="240" w:lineRule="auto" w:before="3"/>
        <w:rPr>
          <w:rFonts w:ascii="宋体" w:hAnsi="宋体" w:cs="宋体" w:eastAsia="宋体" w:hint="default"/>
          <w:b/>
          <w:bCs/>
          <w:sz w:val="10"/>
          <w:szCs w:val="10"/>
        </w:rPr>
      </w:pPr>
    </w:p>
    <w:tbl>
      <w:tblPr>
        <w:tblW w:w="0" w:type="auto"/>
        <w:jc w:val="left"/>
        <w:tblInd w:w="1118" w:type="dxa"/>
        <w:tblLayout w:type="fixed"/>
        <w:tblCellMar>
          <w:top w:w="0" w:type="dxa"/>
          <w:left w:w="0" w:type="dxa"/>
          <w:bottom w:w="0" w:type="dxa"/>
          <w:right w:w="0" w:type="dxa"/>
        </w:tblCellMar>
        <w:tblLook w:val="01E0"/>
      </w:tblPr>
      <w:tblGrid>
        <w:gridCol w:w="1915"/>
        <w:gridCol w:w="1914"/>
        <w:gridCol w:w="1914"/>
        <w:gridCol w:w="1914"/>
        <w:gridCol w:w="1913"/>
      </w:tblGrid>
      <w:tr>
        <w:trPr>
          <w:trHeight w:val="415" w:hRule="exact"/>
        </w:trPr>
        <w:tc>
          <w:tcPr>
            <w:tcW w:w="191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7"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20-50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sz w:val="18"/>
              </w:rPr>
              <w:t>1.90%-4.75%</w:t>
            </w:r>
          </w:p>
        </w:tc>
      </w:tr>
      <w:tr>
        <w:trPr>
          <w:trHeight w:val="407"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房屋装修费</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sz w:val="18"/>
              </w:rPr>
              <w:t>9.50%</w:t>
            </w:r>
          </w:p>
        </w:tc>
      </w:tr>
      <w:tr>
        <w:trPr>
          <w:trHeight w:val="407"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3-10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9.50%-31.675</w:t>
            </w:r>
          </w:p>
        </w:tc>
      </w:tr>
      <w:tr>
        <w:trPr>
          <w:trHeight w:val="407"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5-10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sz w:val="18"/>
              </w:rPr>
              <w:t>9.50%-19.00%</w:t>
            </w:r>
          </w:p>
        </w:tc>
      </w:tr>
      <w:tr>
        <w:trPr>
          <w:trHeight w:val="415" w:hRule="exact"/>
        </w:trPr>
        <w:tc>
          <w:tcPr>
            <w:tcW w:w="191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sz w:val="18"/>
              </w:rPr>
              <w:t>19%</w:t>
            </w:r>
          </w:p>
        </w:tc>
      </w:tr>
    </w:tbl>
    <w:p>
      <w:pPr>
        <w:pStyle w:val="BodyText"/>
        <w:spacing w:line="240" w:lineRule="auto" w:before="63"/>
        <w:ind w:left="1134" w:right="0"/>
        <w:jc w:val="left"/>
      </w:pPr>
      <w:r>
        <w:rPr/>
        <w:t>于每年年度终了，对固定资产的预计使用寿命、预计净残值和折旧方法进行复核并作适当调整。</w:t>
      </w:r>
    </w:p>
    <w:p>
      <w:pPr>
        <w:spacing w:line="240" w:lineRule="auto" w:before="6"/>
        <w:rPr>
          <w:rFonts w:ascii="宋体" w:hAnsi="宋体" w:cs="宋体" w:eastAsia="宋体" w:hint="default"/>
          <w:sz w:val="15"/>
          <w:szCs w:val="15"/>
        </w:rPr>
      </w:pPr>
    </w:p>
    <w:p>
      <w:pPr>
        <w:spacing w:line="429" w:lineRule="auto" w:before="0"/>
        <w:ind w:left="1134" w:right="6033" w:firstLine="0"/>
        <w:jc w:val="left"/>
        <w:rPr>
          <w:rFonts w:ascii="宋体" w:hAnsi="宋体" w:cs="宋体" w:eastAsia="宋体" w:hint="default"/>
          <w:sz w:val="20"/>
          <w:szCs w:val="20"/>
        </w:rPr>
      </w:pPr>
      <w:bookmarkStart w:name="（3）融资租入固定资产的认定依据、计价和折旧方法" w:id="183"/>
      <w:bookmarkEnd w:id="183"/>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）融资租入固定资产的认定依据、计价和折旧方法</w:t>
      </w:r>
      <w:r>
        <w:rPr>
          <w:rFonts w:ascii="宋体" w:hAnsi="宋体" w:cs="宋体" w:eastAsia="宋体" w:hint="default"/>
          <w:b/>
          <w:bCs/>
          <w:w w:val="99"/>
          <w:sz w:val="20"/>
          <w:szCs w:val="20"/>
        </w:rPr>
        <w:t> </w:t>
      </w:r>
      <w:bookmarkStart w:name="17、在建工程" w:id="184"/>
      <w:bookmarkEnd w:id="184"/>
      <w:r>
        <w:rPr>
          <w:rFonts w:ascii="宋体" w:hAnsi="宋体" w:cs="宋体" w:eastAsia="宋体" w:hint="default"/>
          <w:b/>
          <w:bCs/>
          <w:w w:val="99"/>
          <w:sz w:val="20"/>
          <w:szCs w:val="20"/>
        </w:rPr>
      </w:r>
      <w:r>
        <w:rPr>
          <w:rFonts w:ascii="宋体" w:hAnsi="宋体" w:cs="宋体" w:eastAsia="宋体" w:hint="default"/>
          <w:b/>
          <w:bCs/>
          <w:sz w:val="20"/>
          <w:szCs w:val="20"/>
        </w:rPr>
        <w:t>17</w:t>
      </w:r>
      <w:r>
        <w:rPr>
          <w:rFonts w:ascii="宋体" w:hAnsi="宋体" w:cs="宋体" w:eastAsia="宋体" w:hint="default"/>
          <w:b/>
          <w:bCs/>
          <w:sz w:val="20"/>
          <w:szCs w:val="20"/>
        </w:rPr>
        <w:t>、在建工程</w:t>
      </w:r>
      <w:r>
        <w:rPr>
          <w:rFonts w:ascii="宋体" w:hAnsi="宋体" w:cs="宋体" w:eastAsia="宋体" w:hint="default"/>
          <w:sz w:val="20"/>
          <w:szCs w:val="20"/>
        </w:rPr>
      </w:r>
    </w:p>
    <w:p>
      <w:pPr>
        <w:pStyle w:val="BodyText"/>
        <w:spacing w:line="408" w:lineRule="auto" w:before="39"/>
        <w:ind w:left="1134" w:right="1131" w:firstLine="420"/>
        <w:jc w:val="both"/>
      </w:pPr>
      <w:r>
        <w:rPr>
          <w:spacing w:val="-1"/>
        </w:rPr>
        <w:t>在建工程按实际发生的成本计量。实际成本包括建筑费用、其他为使在建工程达到预定可使用状态所</w:t>
      </w:r>
      <w:r>
        <w:rPr/>
        <w:t> </w:t>
      </w:r>
      <w:r>
        <w:rPr>
          <w:spacing w:val="-1"/>
        </w:rPr>
        <w:t>发生的必要支出以及在资产达到预定可使用状态之前所发生的符合资本化条件的借款费用。在建工程在达</w:t>
      </w:r>
      <w:r>
        <w:rPr>
          <w:spacing w:val="-81"/>
        </w:rPr>
        <w:t> </w:t>
      </w:r>
      <w:r>
        <w:rPr>
          <w:spacing w:val="-81"/>
        </w:rPr>
      </w:r>
      <w:r>
        <w:rPr/>
        <w:t>到预定可使用状态时，转入固定资产并自次月起开始计提折旧。</w:t>
      </w:r>
    </w:p>
    <w:p>
      <w:pPr>
        <w:spacing w:before="55"/>
        <w:ind w:left="1133" w:right="0" w:firstLine="0"/>
        <w:jc w:val="left"/>
        <w:rPr>
          <w:rFonts w:ascii="宋体" w:hAnsi="宋体" w:cs="宋体" w:eastAsia="宋体" w:hint="default"/>
          <w:sz w:val="20"/>
          <w:szCs w:val="20"/>
        </w:rPr>
      </w:pPr>
      <w:bookmarkStart w:name="18、借款费用" w:id="185"/>
      <w:bookmarkEnd w:id="185"/>
      <w:r>
        <w:rPr/>
      </w:r>
      <w:r>
        <w:rPr>
          <w:rFonts w:ascii="宋体" w:hAnsi="宋体" w:cs="宋体" w:eastAsia="宋体" w:hint="default"/>
          <w:b/>
          <w:bCs/>
          <w:sz w:val="20"/>
          <w:szCs w:val="20"/>
        </w:rPr>
        <w:t>18</w:t>
      </w:r>
      <w:r>
        <w:rPr>
          <w:rFonts w:ascii="宋体" w:hAnsi="宋体" w:cs="宋体" w:eastAsia="宋体" w:hint="default"/>
          <w:b/>
          <w:bCs/>
          <w:sz w:val="20"/>
          <w:szCs w:val="20"/>
        </w:rPr>
        <w:t>、借款费用</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right="1024" w:firstLine="420"/>
        <w:jc w:val="left"/>
      </w:pPr>
      <w:r>
        <w:rPr>
          <w:spacing w:val="3"/>
        </w:rPr>
        <w:t>发生的可直接归属于需要经过相当长时间的购建活动才能达到预定可使用状态之固定资产的购建的</w:t>
      </w:r>
      <w:r>
        <w:rPr/>
        <w:t> </w:t>
      </w:r>
      <w:r>
        <w:rPr>
          <w:spacing w:val="-3"/>
        </w:rPr>
        <w:t>借款费用，在资产支出及借款费用已经发生、为使资产达到预定可使用状态所必要的购建活动已经开始时，</w:t>
      </w:r>
      <w:r>
        <w:rPr>
          <w:spacing w:val="-92"/>
        </w:rPr>
        <w:t> </w:t>
      </w:r>
      <w:r>
        <w:rPr>
          <w:spacing w:val="-92"/>
        </w:rPr>
      </w:r>
      <w:r>
        <w:rPr/>
        <w:t>开始资本化并计入该资产的成本。当购建的资产达到预定可使用状态时停止资本化，其后发生的借款费用</w:t>
      </w:r>
      <w:r>
        <w:rPr/>
        <w:t> 计入当期损益。如果资产的购建活动发生非正常中断，并且中断时间连续超过</w:t>
      </w:r>
      <w:r>
        <w:rPr>
          <w:rFonts w:ascii="宋体" w:hAnsi="宋体" w:cs="宋体" w:eastAsia="宋体" w:hint="default"/>
        </w:rPr>
        <w:t>3</w:t>
      </w:r>
      <w:r>
        <w:rPr/>
        <w:t>个月，暂停借款费用的资</w:t>
      </w:r>
      <w:r>
        <w:rPr>
          <w:spacing w:val="-25"/>
        </w:rPr>
        <w:t> </w:t>
      </w:r>
      <w:r>
        <w:rPr>
          <w:spacing w:val="-25"/>
        </w:rPr>
      </w:r>
      <w:r>
        <w:rPr/>
        <w:t>本化，直至资产的购建活动重新开始。</w:t>
      </w:r>
    </w:p>
    <w:p>
      <w:pPr>
        <w:pStyle w:val="BodyText"/>
        <w:spacing w:line="408" w:lineRule="auto" w:before="46"/>
        <w:ind w:right="1131" w:firstLine="420"/>
        <w:jc w:val="both"/>
      </w:pPr>
      <w:r>
        <w:rPr>
          <w:spacing w:val="-1"/>
        </w:rPr>
        <w:t>在资本化期间内，专门借款（指为购建或者生产符合资本化条件的资产而专门借入的款项）以专门借</w:t>
      </w:r>
      <w:r>
        <w:rPr/>
        <w:t> </w:t>
      </w:r>
      <w:r>
        <w:rPr>
          <w:spacing w:val="-1"/>
        </w:rPr>
        <w:t>款当期实际发生的利息费用，减去将尚未动用的借款资金存入银行取得的利息收入或进行暂时性投资取得</w:t>
      </w:r>
      <w:r>
        <w:rPr>
          <w:spacing w:val="-81"/>
        </w:rPr>
        <w:t> </w:t>
      </w:r>
      <w:r>
        <w:rPr>
          <w:spacing w:val="-81"/>
        </w:rPr>
      </w:r>
      <w:r>
        <w:rPr>
          <w:spacing w:val="-1"/>
        </w:rPr>
        <w:t>的投资收益后确定应予资本化的利息金额；一般借款则根据累计资产支出超过专门借款部分的资产支出加</w:t>
      </w:r>
      <w:r>
        <w:rPr>
          <w:spacing w:val="-81"/>
        </w:rPr>
        <w:t> </w:t>
      </w:r>
      <w:r>
        <w:rPr>
          <w:spacing w:val="-81"/>
        </w:rPr>
      </w:r>
      <w:r>
        <w:rPr>
          <w:spacing w:val="-1"/>
        </w:rPr>
        <w:t>权平均数乘以所占用一般借款的资本化率，计算确定一般借款应予资本化的利息金额。资本化率根据一般</w:t>
      </w:r>
      <w:r>
        <w:rPr>
          <w:spacing w:val="-81"/>
        </w:rPr>
        <w:t> </w:t>
      </w:r>
      <w:r>
        <w:rPr>
          <w:spacing w:val="-81"/>
        </w:rPr>
      </w:r>
      <w:r>
        <w:rPr/>
        <w:t>借款加权平均利率计算确定。</w:t>
      </w:r>
    </w:p>
    <w:p>
      <w:pPr>
        <w:pStyle w:val="BodyText"/>
        <w:spacing w:line="240" w:lineRule="auto" w:before="46"/>
        <w:ind w:left="1554" w:right="0"/>
        <w:jc w:val="left"/>
      </w:pPr>
      <w:r>
        <w:rPr/>
        <w:t>借款存在折价或者溢价的，按照实际利率法确定每一会计期间应摊销的折价或者溢价金额，调整每期</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right="0"/>
        <w:jc w:val="left"/>
      </w:pPr>
      <w:r>
        <w:rPr/>
        <w:t>利息金额。</w:t>
      </w:r>
    </w:p>
    <w:p>
      <w:pPr>
        <w:spacing w:line="240" w:lineRule="auto" w:before="6"/>
        <w:rPr>
          <w:rFonts w:ascii="宋体" w:hAnsi="宋体" w:cs="宋体" w:eastAsia="宋体" w:hint="default"/>
          <w:sz w:val="15"/>
          <w:szCs w:val="15"/>
        </w:rPr>
      </w:pPr>
    </w:p>
    <w:p>
      <w:pPr>
        <w:spacing w:before="0"/>
        <w:ind w:left="1133" w:right="0" w:firstLine="0"/>
        <w:jc w:val="left"/>
        <w:rPr>
          <w:rFonts w:ascii="宋体" w:hAnsi="宋体" w:cs="宋体" w:eastAsia="宋体" w:hint="default"/>
          <w:sz w:val="20"/>
          <w:szCs w:val="20"/>
        </w:rPr>
      </w:pPr>
      <w:bookmarkStart w:name="19、生物资产" w:id="186"/>
      <w:bookmarkEnd w:id="186"/>
      <w:r>
        <w:rPr/>
      </w:r>
      <w:r>
        <w:rPr>
          <w:rFonts w:ascii="宋体" w:hAnsi="宋体" w:cs="宋体" w:eastAsia="宋体" w:hint="default"/>
          <w:b/>
          <w:bCs/>
          <w:sz w:val="20"/>
          <w:szCs w:val="20"/>
        </w:rPr>
        <w:t>19</w:t>
      </w:r>
      <w:r>
        <w:rPr>
          <w:rFonts w:ascii="宋体" w:hAnsi="宋体" w:cs="宋体" w:eastAsia="宋体" w:hint="default"/>
          <w:b/>
          <w:bCs/>
          <w:sz w:val="20"/>
          <w:szCs w:val="20"/>
        </w:rPr>
        <w:t>、生物资产</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20、油气资产" w:id="187"/>
      <w:bookmarkEnd w:id="187"/>
      <w:r>
        <w:rPr/>
      </w:r>
      <w:r>
        <w:rPr>
          <w:rFonts w:ascii="宋体" w:hAnsi="宋体" w:cs="宋体" w:eastAsia="宋体" w:hint="default"/>
          <w:b/>
          <w:bCs/>
          <w:sz w:val="20"/>
          <w:szCs w:val="20"/>
        </w:rPr>
        <w:t>20</w:t>
      </w:r>
      <w:r>
        <w:rPr>
          <w:rFonts w:ascii="宋体" w:hAnsi="宋体" w:cs="宋体" w:eastAsia="宋体" w:hint="default"/>
          <w:b/>
          <w:bCs/>
          <w:sz w:val="20"/>
          <w:szCs w:val="20"/>
        </w:rPr>
        <w:t>、油气资产</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21、无形资产" w:id="188"/>
      <w:bookmarkEnd w:id="188"/>
      <w:r>
        <w:rPr/>
      </w:r>
      <w:r>
        <w:rPr>
          <w:rFonts w:ascii="宋体" w:hAnsi="宋体" w:cs="宋体" w:eastAsia="宋体" w:hint="default"/>
          <w:b/>
          <w:bCs/>
          <w:sz w:val="20"/>
          <w:szCs w:val="20"/>
        </w:rPr>
        <w:t>21</w:t>
      </w:r>
      <w:r>
        <w:rPr>
          <w:rFonts w:ascii="宋体" w:hAnsi="宋体" w:cs="宋体" w:eastAsia="宋体" w:hint="default"/>
          <w:b/>
          <w:bCs/>
          <w:sz w:val="20"/>
          <w:szCs w:val="20"/>
        </w:rPr>
        <w:t>、无形资产</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计价方法、使用寿命、减值测试" w:id="189"/>
      <w:bookmarkEnd w:id="189"/>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）计价方法、使用寿命、减值测试</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right="1131" w:firstLine="423"/>
        <w:jc w:val="both"/>
      </w:pPr>
      <w:r>
        <w:rPr/>
        <w:t>无形资产包括土地使用权、专利权及非专利技术、通过建设经营移交方式</w:t>
      </w:r>
      <w:r>
        <w:rPr>
          <w:rFonts w:ascii="宋体" w:hAnsi="宋体" w:cs="宋体" w:eastAsia="宋体" w:hint="default"/>
        </w:rPr>
        <w:t>(BOT)</w:t>
      </w:r>
      <w:r>
        <w:rPr/>
        <w:t>取得的资产等。无形 </w:t>
      </w:r>
      <w:r>
        <w:rPr>
          <w:spacing w:val="-1"/>
        </w:rPr>
        <w:t>资产以实际成本计量。公司制改建时国有股股东投入的无形资产，按国有资产管理部门确认的评估值作为</w:t>
      </w:r>
      <w:r>
        <w:rPr>
          <w:spacing w:val="-81"/>
        </w:rPr>
        <w:t> </w:t>
      </w:r>
      <w:r>
        <w:rPr>
          <w:spacing w:val="-81"/>
        </w:rPr>
      </w:r>
      <w:r>
        <w:rPr/>
        <w:t>入账价值。</w:t>
      </w:r>
    </w:p>
    <w:p>
      <w:pPr>
        <w:pStyle w:val="BodyText"/>
        <w:spacing w:line="408" w:lineRule="auto" w:before="46"/>
        <w:ind w:right="1133" w:firstLine="423"/>
        <w:jc w:val="both"/>
      </w:pPr>
      <w:r>
        <w:rPr>
          <w:spacing w:val="-1"/>
        </w:rPr>
        <w:t>土地使用权按使用年限</w:t>
      </w:r>
      <w:r>
        <w:rPr>
          <w:rFonts w:ascii="宋体" w:hAnsi="宋体" w:cs="宋体" w:eastAsia="宋体" w:hint="default"/>
          <w:spacing w:val="-1"/>
        </w:rPr>
        <w:t>50</w:t>
      </w:r>
      <w:r>
        <w:rPr>
          <w:spacing w:val="-1"/>
        </w:rPr>
        <w:t>年平均摊销。外购土地及建筑物的价款难以在土地使用权与建筑物之间合理</w:t>
      </w:r>
      <w:r>
        <w:rPr/>
        <w:t> 分配的，全部作为固定资产。专利权按法律规定的有效年限</w:t>
      </w:r>
      <w:r>
        <w:rPr>
          <w:rFonts w:ascii="宋体" w:hAnsi="宋体" w:cs="宋体" w:eastAsia="宋体" w:hint="default"/>
        </w:rPr>
        <w:t>10</w:t>
      </w:r>
      <w:r>
        <w:rPr/>
        <w:t>年平均摊销。软件按</w:t>
      </w:r>
      <w:r>
        <w:rPr>
          <w:rFonts w:ascii="宋体" w:hAnsi="宋体" w:cs="宋体" w:eastAsia="宋体" w:hint="default"/>
        </w:rPr>
        <w:t>10</w:t>
      </w:r>
      <w:r>
        <w:rPr/>
        <w:t>年平均摊销。</w:t>
      </w:r>
    </w:p>
    <w:p>
      <w:pPr>
        <w:pStyle w:val="BodyText"/>
        <w:spacing w:line="240" w:lineRule="auto" w:before="46"/>
        <w:ind w:left="1557" w:right="0"/>
        <w:jc w:val="left"/>
      </w:pPr>
      <w:r>
        <w:rPr/>
        <w:t>对使用寿命有限的无形资产的预计使用寿命及摊销方法于每年年度终了进行复核并作适当调整。</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内部研究开发支出会计政策" w:id="190"/>
      <w:bookmarkEnd w:id="190"/>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）内部研究开发支出会计政策</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134" w:right="1132" w:firstLine="423"/>
        <w:jc w:val="both"/>
      </w:pPr>
      <w:r>
        <w:rPr>
          <w:spacing w:val="-1"/>
        </w:rPr>
        <w:t>根据内部研究开发项目支出的性质以及研发活动最终形成无形资产是否具有较大不确定性，分为研究</w:t>
      </w:r>
      <w:r>
        <w:rPr/>
        <w:t> 阶段支出和开发阶段支出。</w:t>
      </w:r>
    </w:p>
    <w:p>
      <w:pPr>
        <w:pStyle w:val="BodyText"/>
        <w:spacing w:line="408" w:lineRule="auto" w:before="46"/>
        <w:ind w:left="1557" w:right="1014"/>
        <w:jc w:val="left"/>
      </w:pPr>
      <w:r>
        <w:rPr>
          <w:spacing w:val="-3"/>
        </w:rPr>
        <w:t>研究阶段的支出，于发生时计入当期损益；开发阶段的支出，同时满足下列条件的，确认为无形资产：</w:t>
      </w:r>
      <w:r>
        <w:rPr>
          <w:spacing w:val="-102"/>
        </w:rPr>
        <w:t> </w:t>
      </w:r>
      <w:r>
        <w:rPr>
          <w:spacing w:val="-102"/>
        </w:rPr>
      </w:r>
      <w:r>
        <w:rPr>
          <w:rFonts w:ascii="宋体" w:hAnsi="宋体" w:cs="宋体" w:eastAsia="宋体" w:hint="default"/>
        </w:rPr>
        <w:t>1</w:t>
      </w:r>
      <w:r>
        <w:rPr/>
        <w:t>）完成该无形资产以使其能够使用或出售在技术上具有可行性；</w:t>
      </w:r>
    </w:p>
    <w:p>
      <w:pPr>
        <w:pStyle w:val="BodyText"/>
        <w:spacing w:line="240" w:lineRule="auto" w:before="46"/>
        <w:ind w:left="1557" w:right="0"/>
        <w:jc w:val="left"/>
      </w:pPr>
      <w:r>
        <w:rPr>
          <w:rFonts w:ascii="宋体" w:hAnsi="宋体" w:cs="宋体" w:eastAsia="宋体" w:hint="default"/>
        </w:rPr>
        <w:t>2</w:t>
      </w:r>
      <w:r>
        <w:rPr/>
        <w:t>）管理层具有完成该无形资产并使用或出售的意图；</w:t>
      </w:r>
    </w:p>
    <w:p>
      <w:pPr>
        <w:spacing w:line="240" w:lineRule="auto" w:before="10"/>
        <w:rPr>
          <w:rFonts w:ascii="宋体" w:hAnsi="宋体" w:cs="宋体" w:eastAsia="宋体" w:hint="default"/>
          <w:sz w:val="14"/>
          <w:szCs w:val="14"/>
        </w:rPr>
      </w:pPr>
    </w:p>
    <w:p>
      <w:pPr>
        <w:pStyle w:val="BodyText"/>
        <w:spacing w:line="240" w:lineRule="auto"/>
        <w:ind w:left="1557" w:right="0"/>
        <w:jc w:val="left"/>
      </w:pPr>
      <w:r>
        <w:rPr>
          <w:rFonts w:ascii="宋体" w:hAnsi="宋体" w:cs="宋体" w:eastAsia="宋体" w:hint="default"/>
        </w:rPr>
        <w:t>3</w:t>
      </w:r>
      <w:r>
        <w:rPr/>
        <w:t>）能够证明该无形资产将如何产生经济利益；</w:t>
      </w:r>
    </w:p>
    <w:p>
      <w:pPr>
        <w:spacing w:line="240" w:lineRule="auto" w:before="10"/>
        <w:rPr>
          <w:rFonts w:ascii="宋体" w:hAnsi="宋体" w:cs="宋体" w:eastAsia="宋体" w:hint="default"/>
          <w:sz w:val="14"/>
          <w:szCs w:val="14"/>
        </w:rPr>
      </w:pPr>
    </w:p>
    <w:p>
      <w:pPr>
        <w:pStyle w:val="BodyText"/>
        <w:spacing w:line="408" w:lineRule="auto"/>
        <w:ind w:left="1134" w:right="1139" w:firstLine="423"/>
        <w:jc w:val="both"/>
      </w:pPr>
      <w:r>
        <w:rPr>
          <w:rFonts w:ascii="宋体" w:hAnsi="宋体" w:cs="宋体" w:eastAsia="宋体" w:hint="default"/>
        </w:rPr>
        <w:t>4</w:t>
      </w:r>
      <w:r>
        <w:rPr/>
        <w:t>）有足够的技术、财务资源和其他资源支持，以完成该无形资产的开发，并有能力使用或出售该无 形资产；</w:t>
      </w:r>
    </w:p>
    <w:p>
      <w:pPr>
        <w:pStyle w:val="BodyText"/>
        <w:spacing w:line="408" w:lineRule="auto" w:before="46"/>
        <w:ind w:left="1557" w:right="0"/>
        <w:jc w:val="left"/>
      </w:pPr>
      <w:r>
        <w:rPr>
          <w:rFonts w:ascii="宋体" w:hAnsi="宋体" w:cs="宋体" w:eastAsia="宋体" w:hint="default"/>
        </w:rPr>
        <w:t>5</w:t>
      </w:r>
      <w:r>
        <w:rPr/>
        <w:t>）归属于该无形资产开发阶段的支出能够可靠地计量。 </w:t>
      </w:r>
      <w:r>
        <w:rPr>
          <w:spacing w:val="-1"/>
        </w:rPr>
        <w:t>不满足上述条件的开发阶段的支出，于发生时计入当期损益。前期已计入损益的开发支出不在以后期</w:t>
      </w:r>
    </w:p>
    <w:p>
      <w:pPr>
        <w:pStyle w:val="BodyText"/>
        <w:spacing w:line="408" w:lineRule="auto" w:before="46"/>
        <w:ind w:left="1134" w:right="0"/>
        <w:jc w:val="left"/>
      </w:pPr>
      <w:r>
        <w:rPr>
          <w:spacing w:val="-1"/>
        </w:rPr>
        <w:t>间确认为资产。已资本化的开发阶段的支出在资产负债表上列示为开发支出，自该项目达到预定可使用状</w:t>
      </w:r>
      <w:r>
        <w:rPr>
          <w:spacing w:val="-81"/>
        </w:rPr>
        <w:t> </w:t>
      </w:r>
      <w:r>
        <w:rPr>
          <w:spacing w:val="-81"/>
        </w:rPr>
      </w:r>
      <w:r>
        <w:rPr/>
        <w:t>态之日起转为无形资产。</w:t>
      </w:r>
    </w:p>
    <w:p>
      <w:pPr>
        <w:pStyle w:val="BodyText"/>
        <w:spacing w:line="240" w:lineRule="auto" w:before="46"/>
        <w:ind w:left="1557" w:right="0"/>
        <w:jc w:val="left"/>
      </w:pPr>
      <w:r>
        <w:rPr/>
        <w:t>当开发支出的可收回金额低于其账面价值时，账面价值减记至可收回金额。</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2、长期资产减值" w:id="191"/>
      <w:bookmarkEnd w:id="191"/>
      <w:r>
        <w:rPr/>
      </w:r>
      <w:r>
        <w:rPr>
          <w:rFonts w:ascii="宋体" w:hAnsi="宋体" w:cs="宋体" w:eastAsia="宋体" w:hint="default"/>
          <w:b/>
          <w:bCs/>
          <w:sz w:val="20"/>
          <w:szCs w:val="20"/>
        </w:rPr>
        <w:t>22</w:t>
      </w:r>
      <w:r>
        <w:rPr>
          <w:rFonts w:ascii="宋体" w:hAnsi="宋体" w:cs="宋体" w:eastAsia="宋体" w:hint="default"/>
          <w:b/>
          <w:bCs/>
          <w:sz w:val="20"/>
          <w:szCs w:val="20"/>
        </w:rPr>
        <w:t>、长期资产减值</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right="1131" w:firstLine="423"/>
        <w:jc w:val="both"/>
      </w:pPr>
      <w:r>
        <w:rPr>
          <w:spacing w:val="-1"/>
        </w:rPr>
        <w:t>在财务报表中单独列示的商誉和使用寿命不确定的无形资产，无论是否存在减值迹象，至少每年进行</w:t>
      </w:r>
      <w:r>
        <w:rPr/>
        <w:t> </w:t>
      </w:r>
      <w:r>
        <w:rPr>
          <w:spacing w:val="-1"/>
        </w:rPr>
        <w:t>减值测试。固定资产、无形资产、以成本模式计量的投资性房地产及长期股权投资等，于资产负债表日存</w:t>
      </w:r>
      <w:r>
        <w:rPr>
          <w:spacing w:val="-86"/>
        </w:rPr>
        <w:t> </w:t>
      </w:r>
      <w:r>
        <w:rPr>
          <w:spacing w:val="-86"/>
        </w:rPr>
      </w:r>
      <w:r>
        <w:rPr>
          <w:spacing w:val="-1"/>
        </w:rPr>
        <w:t>在减值迹象的，进行减值测试。减值测试结果表明资产的可收回金额低于其账面价值的，按其差额计提减</w:t>
      </w:r>
      <w:r>
        <w:rPr>
          <w:spacing w:val="-83"/>
        </w:rPr>
        <w:t> </w:t>
      </w:r>
      <w:r>
        <w:rPr>
          <w:spacing w:val="-83"/>
        </w:rPr>
      </w:r>
      <w:r>
        <w:rPr>
          <w:spacing w:val="-1"/>
        </w:rPr>
        <w:t>值准备并计入减值损失。可收回金额为资产的公允价值减去处置费用后的净额与资产预计未来现金流量的</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right="1131"/>
        <w:jc w:val="both"/>
      </w:pPr>
      <w:r>
        <w:rPr>
          <w:spacing w:val="-1"/>
        </w:rPr>
        <w:t>现值两者之间的较高者。资产减值准备按单项资产为基础计算并确认，如果难以对单项资产的可收回金额</w:t>
      </w:r>
      <w:r>
        <w:rPr>
          <w:spacing w:val="-81"/>
        </w:rPr>
        <w:t> </w:t>
      </w:r>
      <w:r>
        <w:rPr>
          <w:spacing w:val="-81"/>
        </w:rPr>
      </w:r>
      <w:r>
        <w:rPr>
          <w:spacing w:val="-1"/>
        </w:rPr>
        <w:t>进行估计的，以该资产所属的资产组确定资产组的可收回金额。资产组是能够独立产生现金流入的最小资</w:t>
      </w:r>
      <w:r>
        <w:rPr>
          <w:spacing w:val="-81"/>
        </w:rPr>
        <w:t> </w:t>
      </w:r>
      <w:r>
        <w:rPr>
          <w:spacing w:val="-81"/>
        </w:rPr>
      </w:r>
      <w:r>
        <w:rPr/>
        <w:t>产组合。前述资产减值损失一经确认，如果在以后期间价值得以恢复，也不予转回。</w:t>
      </w:r>
    </w:p>
    <w:p>
      <w:pPr>
        <w:spacing w:before="56"/>
        <w:ind w:left="1133" w:right="0" w:firstLine="0"/>
        <w:jc w:val="left"/>
        <w:rPr>
          <w:rFonts w:ascii="宋体" w:hAnsi="宋体" w:cs="宋体" w:eastAsia="宋体" w:hint="default"/>
          <w:sz w:val="20"/>
          <w:szCs w:val="20"/>
        </w:rPr>
      </w:pPr>
      <w:bookmarkStart w:name="23、长期待摊费用" w:id="192"/>
      <w:bookmarkEnd w:id="192"/>
      <w:r>
        <w:rPr/>
      </w:r>
      <w:r>
        <w:rPr>
          <w:rFonts w:ascii="宋体" w:hAnsi="宋体" w:cs="宋体" w:eastAsia="宋体" w:hint="default"/>
          <w:b/>
          <w:bCs/>
          <w:sz w:val="20"/>
          <w:szCs w:val="20"/>
        </w:rPr>
        <w:t>23</w:t>
      </w:r>
      <w:r>
        <w:rPr>
          <w:rFonts w:ascii="宋体" w:hAnsi="宋体" w:cs="宋体" w:eastAsia="宋体" w:hint="default"/>
          <w:b/>
          <w:bCs/>
          <w:sz w:val="20"/>
          <w:szCs w:val="20"/>
        </w:rPr>
        <w:t>、长期待摊费用</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12" w:lineRule="auto"/>
        <w:ind w:right="1116" w:firstLine="423"/>
        <w:jc w:val="left"/>
        <w:rPr>
          <w:rFonts w:ascii="宋体" w:hAnsi="宋体" w:cs="宋体" w:eastAsia="宋体" w:hint="default"/>
          <w:sz w:val="20"/>
          <w:szCs w:val="20"/>
        </w:rPr>
      </w:pPr>
      <w:r>
        <w:rPr>
          <w:spacing w:val="3"/>
        </w:rPr>
        <w:t>长期待摊费用包括经营租入固定资产改良及其他已经发生但应由本期和以后各期负担的分摊期限在</w:t>
      </w:r>
      <w:r>
        <w:rPr/>
        <w:t> 一年以上的各项费用，按预计受益期间分期平均摊销，并以实际支出减去累计摊销后的净额列示。 </w:t>
      </w:r>
      <w:bookmarkStart w:name="24、职工薪酬" w:id="193"/>
      <w:bookmarkEnd w:id="193"/>
      <w:r>
        <w:rPr/>
      </w:r>
      <w:r>
        <w:rPr>
          <w:rFonts w:ascii="宋体" w:hAnsi="宋体" w:cs="宋体" w:eastAsia="宋体" w:hint="default"/>
          <w:b/>
          <w:bCs/>
          <w:sz w:val="20"/>
          <w:szCs w:val="20"/>
        </w:rPr>
        <w:t>24</w:t>
      </w:r>
      <w:r>
        <w:rPr>
          <w:rFonts w:ascii="宋体" w:hAnsi="宋体" w:cs="宋体" w:eastAsia="宋体" w:hint="default"/>
          <w:b/>
          <w:bCs/>
          <w:sz w:val="20"/>
          <w:szCs w:val="20"/>
        </w:rPr>
        <w:t>、职工薪酬</w:t>
      </w:r>
      <w:r>
        <w:rPr>
          <w:rFonts w:ascii="宋体" w:hAnsi="宋体" w:cs="宋体" w:eastAsia="宋体" w:hint="default"/>
          <w:sz w:val="20"/>
          <w:szCs w:val="20"/>
        </w:rPr>
      </w:r>
    </w:p>
    <w:p>
      <w:pPr>
        <w:spacing w:before="62"/>
        <w:ind w:left="1134" w:right="0" w:firstLine="0"/>
        <w:jc w:val="left"/>
        <w:rPr>
          <w:rFonts w:ascii="宋体" w:hAnsi="宋体" w:cs="宋体" w:eastAsia="宋体" w:hint="default"/>
          <w:sz w:val="20"/>
          <w:szCs w:val="20"/>
        </w:rPr>
      </w:pPr>
      <w:bookmarkStart w:name="（1）短期薪酬的会计处理方法" w:id="194"/>
      <w:bookmarkEnd w:id="194"/>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）短期薪酬的会计处理方法</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right="1109" w:firstLine="423"/>
        <w:jc w:val="right"/>
      </w:pPr>
      <w:r>
        <w:rPr>
          <w:spacing w:val="-1"/>
        </w:rPr>
        <w:t>在职工为公司提供服务的会计期间，将实际发生的短期薪酬确认为负债，并计入当期损益或相关资产</w:t>
      </w:r>
      <w:r>
        <w:rPr/>
        <w:t> </w:t>
      </w:r>
      <w:r>
        <w:rPr>
          <w:spacing w:val="-1"/>
        </w:rPr>
        <w:t>成本。发生的职工福利费，在实际发生时根据实际发生额计入当期损益或相关资产成本。职工福利费为非</w:t>
      </w:r>
      <w:r>
        <w:rPr/>
        <w:t> </w:t>
      </w:r>
      <w:r>
        <w:rPr>
          <w:spacing w:val="-1"/>
        </w:rPr>
        <w:t>货币性福利的，按照公允价值计量。为职工缴纳的医疗保险费、工伤保险费、生育保险费等社会保险费和</w:t>
      </w:r>
      <w:r>
        <w:rPr/>
        <w:t> </w:t>
      </w:r>
      <w:r>
        <w:rPr>
          <w:spacing w:val="-1"/>
        </w:rPr>
        <w:t>住房公积金，以及按规定提取的工会经费和职工教育经费，在职工为公司提供服务的会计期间，根据规定</w:t>
      </w:r>
      <w:r>
        <w:rPr/>
        <w:t> 的计提基础和计提比例计算确定相应的职工薪酬金额，并确认相应负债，计入当期损益或相关资产成本。 </w:t>
      </w:r>
      <w:r>
        <w:rPr>
          <w:spacing w:val="-1"/>
        </w:rPr>
        <w:t>在职工提供服务从而增加了其未来享有的带薪缺勤权利时，确认与累积带薪缺勤相关的职工薪酬，并</w:t>
      </w:r>
      <w:r>
        <w:rPr/>
        <w:t> </w:t>
      </w:r>
      <w:r>
        <w:rPr>
          <w:spacing w:val="-1"/>
        </w:rPr>
        <w:t>以累积未行使权利而增加的预期支付金额计量。在职工实际发生缺勤的会计期间确认与非累积带薪缺勤相</w:t>
      </w:r>
    </w:p>
    <w:p>
      <w:pPr>
        <w:pStyle w:val="BodyText"/>
        <w:spacing w:line="408" w:lineRule="auto" w:before="46"/>
        <w:ind w:left="1557" w:right="4029" w:hanging="424"/>
        <w:jc w:val="left"/>
      </w:pPr>
      <w:r>
        <w:rPr/>
        <w:t>关的职工薪酬。 利润分享计划同时满足下列条件时，公司确认相关的应付职工薪酬： </w:t>
      </w:r>
      <w:r>
        <w:rPr>
          <w:rFonts w:ascii="宋体" w:hAnsi="宋体" w:cs="宋体" w:eastAsia="宋体" w:hint="default"/>
        </w:rPr>
        <w:t>1</w:t>
      </w:r>
      <w:r>
        <w:rPr/>
        <w:t>）因过去事项导致现在具有支付职工薪酬的法定义务或推定义务；</w:t>
      </w:r>
    </w:p>
    <w:p>
      <w:pPr>
        <w:pStyle w:val="BodyText"/>
        <w:spacing w:line="240" w:lineRule="auto" w:before="46"/>
        <w:ind w:left="1557" w:right="0"/>
        <w:jc w:val="left"/>
      </w:pPr>
      <w:r>
        <w:rPr>
          <w:rFonts w:ascii="宋体" w:hAnsi="宋体" w:cs="宋体" w:eastAsia="宋体" w:hint="default"/>
        </w:rPr>
        <w:t>2</w:t>
      </w:r>
      <w:r>
        <w:rPr/>
        <w:t>）因利润分享计划所产生的应付职工薪酬义务金额能够可靠估计。</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离职后福利的会计处理方法" w:id="195"/>
      <w:bookmarkEnd w:id="195"/>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）离职后福利的会计处理方法</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557" w:right="0"/>
        <w:jc w:val="left"/>
      </w:pPr>
      <w:r>
        <w:rPr>
          <w:rFonts w:ascii="宋体" w:hAnsi="宋体" w:cs="宋体" w:eastAsia="宋体" w:hint="default"/>
        </w:rPr>
        <w:t>1.</w:t>
      </w:r>
      <w:r>
        <w:rPr/>
        <w:t>设定提存计划 </w:t>
      </w:r>
      <w:r>
        <w:rPr>
          <w:spacing w:val="-1"/>
        </w:rPr>
        <w:t>公司在职工为其提供服务的会计期间，将根据设定提存计划计算的应缴存金额确认为负债，并计入当</w:t>
      </w:r>
    </w:p>
    <w:p>
      <w:pPr>
        <w:pStyle w:val="BodyText"/>
        <w:spacing w:line="408" w:lineRule="auto" w:before="46"/>
        <w:ind w:left="1134" w:right="1131"/>
        <w:jc w:val="both"/>
      </w:pPr>
      <w:r>
        <w:rPr>
          <w:spacing w:val="-1"/>
        </w:rPr>
        <w:t>期损益或相关资产成本。根据设定提存计划，预期不会在职工提供相关服务的年度报告期结束后十二个月</w:t>
      </w:r>
      <w:r>
        <w:rPr>
          <w:spacing w:val="-81"/>
        </w:rPr>
        <w:t> </w:t>
      </w:r>
      <w:r>
        <w:rPr>
          <w:spacing w:val="-81"/>
        </w:rPr>
      </w:r>
      <w:r>
        <w:rPr/>
        <w:t>内支付全部应缴存金额的，公司将全部应缴存金额以折现后的金额计量应付职工薪酬。</w:t>
      </w:r>
    </w:p>
    <w:p>
      <w:pPr>
        <w:pStyle w:val="BodyText"/>
        <w:spacing w:line="408" w:lineRule="auto" w:before="46"/>
        <w:ind w:left="1557" w:right="5499"/>
        <w:jc w:val="left"/>
      </w:pPr>
      <w:r>
        <w:rPr>
          <w:rFonts w:ascii="宋体" w:hAnsi="宋体" w:cs="宋体" w:eastAsia="宋体" w:hint="default"/>
        </w:rPr>
        <w:t>2.</w:t>
      </w:r>
      <w:r>
        <w:rPr/>
        <w:t>设定受益计划 公司对设定受益计划的会计处理包括下列四个步骤：</w:t>
      </w:r>
    </w:p>
    <w:p>
      <w:pPr>
        <w:pStyle w:val="BodyText"/>
        <w:spacing w:line="408" w:lineRule="auto" w:before="46"/>
        <w:ind w:right="1131" w:firstLine="423"/>
        <w:jc w:val="both"/>
      </w:pPr>
      <w:r>
        <w:rPr>
          <w:rFonts w:ascii="宋体" w:hAnsi="宋体" w:cs="宋体" w:eastAsia="宋体" w:hint="default"/>
        </w:rPr>
        <w:t>1</w:t>
      </w:r>
      <w:r>
        <w:rPr/>
        <w:t>）根据预期累计福利单位法，采用无偏且相互一致的精算假设对有关人口统计变量和财务变量等做 </w:t>
      </w:r>
      <w:r>
        <w:rPr>
          <w:spacing w:val="-1"/>
        </w:rPr>
        <w:t>出估计，计量设定受益计划所产生的义务，并确定相关义务的归属期间。公司将设定受益计划所产生的义</w:t>
      </w:r>
      <w:r>
        <w:rPr>
          <w:spacing w:val="-83"/>
        </w:rPr>
        <w:t> </w:t>
      </w:r>
      <w:r>
        <w:rPr>
          <w:spacing w:val="-83"/>
        </w:rPr>
      </w:r>
      <w:r>
        <w:rPr/>
        <w:t>务予以折现，以确定设定受益计划义务的现值和当期服务成本。</w:t>
      </w:r>
    </w:p>
    <w:p>
      <w:pPr>
        <w:pStyle w:val="BodyText"/>
        <w:spacing w:line="240" w:lineRule="auto" w:before="46"/>
        <w:ind w:left="1557" w:right="0"/>
        <w:jc w:val="left"/>
      </w:pPr>
      <w:r>
        <w:rPr>
          <w:rFonts w:ascii="宋体" w:hAnsi="宋体" w:cs="宋体" w:eastAsia="宋体" w:hint="default"/>
        </w:rPr>
        <w:t>2</w:t>
      </w:r>
      <w:r>
        <w:rPr/>
        <w:t>）设定受益计划存在资产的，公司将设定受益计划义务现值减去设定受益计划资产公允价值所形成</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right="1131"/>
        <w:jc w:val="both"/>
      </w:pPr>
      <w:r>
        <w:rPr>
          <w:spacing w:val="-1"/>
        </w:rPr>
        <w:t>的赤字或盈余确认为一项设定受益计划净负债或净资产。设定受益计划存在盈余的，公司以设定受益计划</w:t>
      </w:r>
      <w:r>
        <w:rPr>
          <w:spacing w:val="-81"/>
        </w:rPr>
        <w:t> </w:t>
      </w:r>
      <w:r>
        <w:rPr>
          <w:spacing w:val="-81"/>
        </w:rPr>
      </w:r>
      <w:r>
        <w:rPr/>
        <w:t>的盈余和资产上限两项的孰低者计量设定受益计划净资产。</w:t>
      </w:r>
    </w:p>
    <w:p>
      <w:pPr>
        <w:pStyle w:val="BodyText"/>
        <w:spacing w:line="240" w:lineRule="auto" w:before="46"/>
        <w:ind w:left="1557" w:right="0"/>
        <w:jc w:val="left"/>
      </w:pPr>
      <w:r>
        <w:rPr>
          <w:rFonts w:ascii="宋体" w:hAnsi="宋体" w:cs="宋体" w:eastAsia="宋体" w:hint="default"/>
        </w:rPr>
        <w:t>3</w:t>
      </w:r>
      <w:r>
        <w:rPr/>
        <w:t>）确定应当计入当期损益的金额。</w:t>
      </w:r>
    </w:p>
    <w:p>
      <w:pPr>
        <w:spacing w:line="240" w:lineRule="auto" w:before="10"/>
        <w:rPr>
          <w:rFonts w:ascii="宋体" w:hAnsi="宋体" w:cs="宋体" w:eastAsia="宋体" w:hint="default"/>
          <w:sz w:val="14"/>
          <w:szCs w:val="14"/>
        </w:rPr>
      </w:pPr>
    </w:p>
    <w:p>
      <w:pPr>
        <w:pStyle w:val="BodyText"/>
        <w:spacing w:line="408" w:lineRule="auto"/>
        <w:ind w:left="1557" w:right="0"/>
        <w:jc w:val="left"/>
      </w:pPr>
      <w:r>
        <w:rPr>
          <w:rFonts w:ascii="宋体" w:hAnsi="宋体" w:cs="宋体" w:eastAsia="宋体" w:hint="default"/>
        </w:rPr>
        <w:t>4</w:t>
      </w:r>
      <w:r>
        <w:rPr/>
        <w:t>）确定应当计入其他综合收益的金额。 </w:t>
      </w:r>
      <w:r>
        <w:rPr>
          <w:spacing w:val="3"/>
        </w:rPr>
        <w:t>公司根据预期累计福利单位法确定的公式将设定受益计划产生的福利义务归属于职工提供服务的期</w:t>
      </w:r>
    </w:p>
    <w:p>
      <w:pPr>
        <w:pStyle w:val="BodyText"/>
        <w:spacing w:line="408" w:lineRule="auto" w:before="46"/>
        <w:ind w:right="1130"/>
        <w:jc w:val="both"/>
      </w:pPr>
      <w:r>
        <w:rPr>
          <w:spacing w:val="-1"/>
        </w:rPr>
        <w:t>间，并计入当期损益或相关资产成本。当职工后续年度的服务将导致其享有的设定受益计划福利水平显著</w:t>
      </w:r>
      <w:r>
        <w:rPr>
          <w:spacing w:val="-80"/>
        </w:rPr>
        <w:t> </w:t>
      </w:r>
      <w:r>
        <w:rPr>
          <w:spacing w:val="-80"/>
        </w:rPr>
      </w:r>
      <w:r>
        <w:rPr>
          <w:spacing w:val="-1"/>
        </w:rPr>
        <w:t>高于以前年度时，按照直线法将累计设定受益计划义务分摊确认于职工提供服务而导致企业第一次产生设</w:t>
      </w:r>
      <w:r>
        <w:rPr>
          <w:spacing w:val="-81"/>
        </w:rPr>
        <w:t> </w:t>
      </w:r>
      <w:r>
        <w:rPr>
          <w:spacing w:val="-81"/>
        </w:rPr>
      </w:r>
      <w:r>
        <w:rPr/>
        <w:t>定受益计划福利义务至职工提供服务不再导致该福利义务显著增加的期间。</w:t>
      </w:r>
    </w:p>
    <w:p>
      <w:pPr>
        <w:pStyle w:val="BodyText"/>
        <w:spacing w:line="408" w:lineRule="auto" w:before="46"/>
        <w:ind w:right="0" w:firstLine="423"/>
        <w:jc w:val="left"/>
      </w:pPr>
      <w:r>
        <w:rPr>
          <w:spacing w:val="-1"/>
        </w:rPr>
        <w:t>报告期末，公司将设定受益计划产生的职工薪酬成本确认为：服务成本、设定受益计划净负债或净资</w:t>
      </w:r>
      <w:r>
        <w:rPr/>
        <w:t> 产的利息净额，以及重新计量设定受益计划净负债或净资产所产生的变动。</w:t>
      </w:r>
    </w:p>
    <w:p>
      <w:pPr>
        <w:pStyle w:val="BodyText"/>
        <w:spacing w:line="408" w:lineRule="auto" w:before="46"/>
        <w:ind w:left="1557" w:right="3189"/>
        <w:jc w:val="left"/>
      </w:pPr>
      <w:r>
        <w:rPr/>
        <w:t>在设定受益计划下，公司在下列日期孰早日将过去服务成本确认为当期费用： </w:t>
      </w:r>
      <w:r>
        <w:rPr>
          <w:rFonts w:ascii="宋体" w:hAnsi="宋体" w:cs="宋体" w:eastAsia="宋体" w:hint="default"/>
        </w:rPr>
        <w:t>1</w:t>
      </w:r>
      <w:r>
        <w:rPr/>
        <w:t>）修改设定受益计划时。</w:t>
      </w:r>
    </w:p>
    <w:p>
      <w:pPr>
        <w:pStyle w:val="BodyText"/>
        <w:spacing w:line="408" w:lineRule="auto" w:before="46"/>
        <w:ind w:left="1557" w:right="5079"/>
        <w:jc w:val="left"/>
      </w:pPr>
      <w:r>
        <w:rPr>
          <w:rFonts w:ascii="宋体" w:hAnsi="宋体" w:cs="宋体" w:eastAsia="宋体" w:hint="default"/>
        </w:rPr>
        <w:t>2</w:t>
      </w:r>
      <w:r>
        <w:rPr/>
        <w:t>）企业确认相关重组费用或辞退福利时。 公司在设定受益计划结算时，确认一项结算利得或损失。</w:t>
      </w:r>
    </w:p>
    <w:p>
      <w:pPr>
        <w:pStyle w:val="BodyText"/>
        <w:spacing w:line="415" w:lineRule="auto" w:before="55"/>
        <w:ind w:left="1557" w:right="1014" w:hanging="424"/>
        <w:jc w:val="left"/>
      </w:pPr>
      <w:bookmarkStart w:name="（3）辞退福利的会计处理方法" w:id="196"/>
      <w:bookmarkEnd w:id="196"/>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）辞退福利的会计处理方法</w:t>
      </w:r>
      <w:r>
        <w:rPr>
          <w:rFonts w:ascii="宋体" w:hAnsi="宋体" w:cs="宋体" w:eastAsia="宋体" w:hint="default"/>
          <w:b/>
          <w:bCs/>
          <w:w w:val="99"/>
          <w:sz w:val="20"/>
          <w:szCs w:val="20"/>
        </w:rPr>
        <w:t> </w:t>
      </w:r>
      <w:r>
        <w:rPr>
          <w:spacing w:val="-3"/>
        </w:rPr>
        <w:t>公司向职工提供辞退福利的，在下列两者孰早日确认辞退福利产生的职工薪酬负债，并计入当期损益：</w:t>
      </w:r>
      <w:r>
        <w:rPr/>
        <w:t> </w:t>
      </w:r>
      <w:r>
        <w:rPr>
          <w:rFonts w:ascii="宋体" w:hAnsi="宋体" w:cs="宋体" w:eastAsia="宋体" w:hint="default"/>
        </w:rPr>
        <w:t>1</w:t>
      </w:r>
      <w:r>
        <w:rPr/>
        <w:t>）公司不能单方面撤回因解除劳动关系计划或裁减建议所提供的辞退福利时。</w:t>
      </w:r>
    </w:p>
    <w:p>
      <w:pPr>
        <w:pStyle w:val="BodyText"/>
        <w:spacing w:line="408" w:lineRule="auto" w:before="40"/>
        <w:ind w:left="1557" w:right="2979"/>
        <w:jc w:val="left"/>
      </w:pPr>
      <w:r>
        <w:rPr>
          <w:rFonts w:ascii="宋体" w:hAnsi="宋体" w:cs="宋体" w:eastAsia="宋体" w:hint="default"/>
        </w:rPr>
        <w:t>2</w:t>
      </w:r>
      <w:r>
        <w:rPr/>
        <w:t>）公司确认与涉及支付辞退福利的重组相关的成本或费用时。 公司按照辞退计划条款的规定，合理预计并确认辞退福利产生的应付职工薪酬。</w:t>
      </w:r>
    </w:p>
    <w:p>
      <w:pPr>
        <w:spacing w:before="55"/>
        <w:ind w:left="1134" w:right="0" w:firstLine="0"/>
        <w:jc w:val="left"/>
        <w:rPr>
          <w:rFonts w:ascii="宋体" w:hAnsi="宋体" w:cs="宋体" w:eastAsia="宋体" w:hint="default"/>
          <w:sz w:val="20"/>
          <w:szCs w:val="20"/>
        </w:rPr>
      </w:pPr>
      <w:bookmarkStart w:name="（4）其他长期职工福利的会计处理方法" w:id="197"/>
      <w:bookmarkEnd w:id="197"/>
      <w:r>
        <w:rPr/>
      </w: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）其他长期职工福利的会计处理方法</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right="1116" w:firstLine="423"/>
        <w:jc w:val="left"/>
      </w:pPr>
      <w:r>
        <w:rPr>
          <w:spacing w:val="-1"/>
        </w:rPr>
        <w:t>公司向职工提供的其他长期职工福利，符合设定提存计划条件的，按照关于设定提存计划的有关政策</w:t>
      </w:r>
      <w:r>
        <w:rPr/>
        <w:t> 进行处理。</w:t>
      </w:r>
    </w:p>
    <w:p>
      <w:pPr>
        <w:pStyle w:val="BodyText"/>
        <w:spacing w:line="408" w:lineRule="auto" w:before="46"/>
        <w:ind w:right="0" w:firstLine="423"/>
        <w:jc w:val="left"/>
      </w:pPr>
      <w:r>
        <w:rPr>
          <w:spacing w:val="-1"/>
        </w:rPr>
        <w:t>除上述情形外，公司按照关于设定受益计划的有关政策，确认和计量其他长期职工福利净负债或净资</w:t>
      </w:r>
      <w:r>
        <w:rPr/>
        <w:t> 产。在报告期末，将其他长期职工福利产生的职工薪酬成本确认为下列组成部分：</w:t>
      </w:r>
    </w:p>
    <w:p>
      <w:pPr>
        <w:pStyle w:val="BodyText"/>
        <w:spacing w:line="240" w:lineRule="auto" w:before="46"/>
        <w:ind w:left="1557" w:right="0"/>
        <w:jc w:val="left"/>
      </w:pPr>
      <w:r>
        <w:rPr>
          <w:rFonts w:ascii="宋体" w:hAnsi="宋体" w:cs="宋体" w:eastAsia="宋体" w:hint="default"/>
        </w:rPr>
        <w:t>1</w:t>
      </w:r>
      <w:r>
        <w:rPr/>
        <w:t>）服务成本。</w:t>
      </w:r>
    </w:p>
    <w:p>
      <w:pPr>
        <w:spacing w:line="240" w:lineRule="auto" w:before="10"/>
        <w:rPr>
          <w:rFonts w:ascii="宋体" w:hAnsi="宋体" w:cs="宋体" w:eastAsia="宋体" w:hint="default"/>
          <w:sz w:val="14"/>
          <w:szCs w:val="14"/>
        </w:rPr>
      </w:pPr>
    </w:p>
    <w:p>
      <w:pPr>
        <w:pStyle w:val="BodyText"/>
        <w:spacing w:line="240" w:lineRule="auto"/>
        <w:ind w:left="1557" w:right="0"/>
        <w:jc w:val="left"/>
      </w:pPr>
      <w:r>
        <w:rPr>
          <w:rFonts w:ascii="宋体" w:hAnsi="宋体" w:cs="宋体" w:eastAsia="宋体" w:hint="default"/>
        </w:rPr>
        <w:t>2</w:t>
      </w:r>
      <w:r>
        <w:rPr/>
        <w:t>）其他长期职工福利净负债或净资产的利息净额。</w:t>
      </w:r>
    </w:p>
    <w:p>
      <w:pPr>
        <w:spacing w:line="240" w:lineRule="auto" w:before="10"/>
        <w:rPr>
          <w:rFonts w:ascii="宋体" w:hAnsi="宋体" w:cs="宋体" w:eastAsia="宋体" w:hint="default"/>
          <w:sz w:val="14"/>
          <w:szCs w:val="14"/>
        </w:rPr>
      </w:pPr>
    </w:p>
    <w:p>
      <w:pPr>
        <w:pStyle w:val="BodyText"/>
        <w:spacing w:line="408" w:lineRule="auto"/>
        <w:ind w:left="1557" w:right="0"/>
        <w:jc w:val="left"/>
      </w:pPr>
      <w:r>
        <w:rPr>
          <w:rFonts w:ascii="宋体" w:hAnsi="宋体" w:cs="宋体" w:eastAsia="宋体" w:hint="default"/>
        </w:rPr>
        <w:t>3</w:t>
      </w:r>
      <w:r>
        <w:rPr/>
        <w:t>）重新计量其他长期职工福利净负债或净资产所产生的变动。 为简化相关会计处理，上述项目的总净额应计入当期损益或相关资产成本。 </w:t>
      </w:r>
      <w:r>
        <w:rPr>
          <w:spacing w:val="-1"/>
        </w:rPr>
        <w:t>长期残疾福利水平取决于职工提供服务期间长短的，公司在职工提供服务的期间确认应付长期残疾福</w:t>
      </w:r>
    </w:p>
    <w:p>
      <w:pPr>
        <w:pStyle w:val="BodyText"/>
        <w:spacing w:line="240" w:lineRule="auto" w:before="46"/>
        <w:ind w:right="0"/>
        <w:jc w:val="left"/>
      </w:pPr>
      <w:r>
        <w:rPr/>
        <w:t>利义务；长期残疾福利与职工提供服务期间长短无关的，公司在导致职工长期残疾的事件发生的当期确认</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right="0"/>
        <w:jc w:val="both"/>
      </w:pPr>
      <w:r>
        <w:rPr/>
        <w:t>应付长期残疾福利义务。</w:t>
      </w:r>
    </w:p>
    <w:p>
      <w:pPr>
        <w:spacing w:line="240" w:lineRule="auto" w:before="6"/>
        <w:rPr>
          <w:rFonts w:ascii="宋体" w:hAnsi="宋体" w:cs="宋体" w:eastAsia="宋体" w:hint="default"/>
          <w:sz w:val="15"/>
          <w:szCs w:val="15"/>
        </w:rPr>
      </w:pPr>
    </w:p>
    <w:p>
      <w:pPr>
        <w:spacing w:before="0"/>
        <w:ind w:left="1133" w:right="0" w:firstLine="0"/>
        <w:jc w:val="both"/>
        <w:rPr>
          <w:rFonts w:ascii="宋体" w:hAnsi="宋体" w:cs="宋体" w:eastAsia="宋体" w:hint="default"/>
          <w:sz w:val="20"/>
          <w:szCs w:val="20"/>
        </w:rPr>
      </w:pPr>
      <w:bookmarkStart w:name="25、预计负债" w:id="198"/>
      <w:bookmarkEnd w:id="198"/>
      <w:r>
        <w:rPr/>
      </w:r>
      <w:r>
        <w:rPr>
          <w:rFonts w:ascii="宋体" w:hAnsi="宋体" w:cs="宋体" w:eastAsia="宋体" w:hint="default"/>
          <w:b/>
          <w:bCs/>
          <w:sz w:val="20"/>
          <w:szCs w:val="20"/>
        </w:rPr>
        <w:t>25</w:t>
      </w:r>
      <w:r>
        <w:rPr>
          <w:rFonts w:ascii="宋体" w:hAnsi="宋体" w:cs="宋体" w:eastAsia="宋体" w:hint="default"/>
          <w:b/>
          <w:bCs/>
          <w:sz w:val="20"/>
          <w:szCs w:val="20"/>
        </w:rPr>
        <w:t>、预计负债</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right="1133" w:firstLine="423"/>
        <w:jc w:val="both"/>
      </w:pPr>
      <w:r>
        <w:rPr>
          <w:spacing w:val="-1"/>
        </w:rPr>
        <w:t>对因产品质量保证、亏损合同等形成的现时义务，其履行很可能导致经济利益的流出，在该义务的金</w:t>
      </w:r>
      <w:r>
        <w:rPr/>
        <w:t> 额能够可靠计量时，确认为预计负债。对于未来经营亏损，不确认预计负债。</w:t>
      </w:r>
    </w:p>
    <w:p>
      <w:pPr>
        <w:pStyle w:val="BodyText"/>
        <w:spacing w:line="408" w:lineRule="auto" w:before="46"/>
        <w:ind w:right="1131" w:firstLine="423"/>
        <w:jc w:val="both"/>
      </w:pPr>
      <w:r>
        <w:rPr>
          <w:spacing w:val="-1"/>
        </w:rPr>
        <w:t>预计负债按照履行相关现时义务所需支出的最佳估计数进行初始计量，并综合考虑与或有事项有关的</w:t>
      </w:r>
      <w:r>
        <w:rPr/>
        <w:t> </w:t>
      </w:r>
      <w:r>
        <w:rPr>
          <w:spacing w:val="-1"/>
        </w:rPr>
        <w:t>风险、不确定性和货币时间价值等因素。货币时间价值影响重大的，通过对相关未来现金流出进行折现后</w:t>
      </w:r>
      <w:r>
        <w:rPr>
          <w:spacing w:val="-83"/>
        </w:rPr>
        <w:t> </w:t>
      </w:r>
      <w:r>
        <w:rPr>
          <w:spacing w:val="-83"/>
        </w:rPr>
      </w:r>
      <w:r>
        <w:rPr>
          <w:spacing w:val="-1"/>
        </w:rPr>
        <w:t>确定最佳估计数；因随着时间推移所进行的折现还原而导致的预计负债账面价值的增加金额，确认为利息</w:t>
      </w:r>
      <w:r>
        <w:rPr>
          <w:spacing w:val="-81"/>
        </w:rPr>
        <w:t> </w:t>
      </w:r>
      <w:r>
        <w:rPr>
          <w:spacing w:val="-81"/>
        </w:rPr>
      </w:r>
      <w:r>
        <w:rPr/>
        <w:t>费用。</w:t>
      </w:r>
    </w:p>
    <w:p>
      <w:pPr>
        <w:pStyle w:val="BodyText"/>
        <w:spacing w:line="240" w:lineRule="auto" w:before="46"/>
        <w:ind w:left="1557" w:right="0"/>
        <w:jc w:val="left"/>
      </w:pPr>
      <w:r>
        <w:rPr/>
        <w:t>于资产负债表日，对预计负债的账面价值进行复核并作适当调整，以反映当前的最佳估计数。</w:t>
      </w:r>
    </w:p>
    <w:p>
      <w:pPr>
        <w:spacing w:line="240" w:lineRule="auto" w:before="6"/>
        <w:rPr>
          <w:rFonts w:ascii="宋体" w:hAnsi="宋体" w:cs="宋体" w:eastAsia="宋体" w:hint="default"/>
          <w:sz w:val="15"/>
          <w:szCs w:val="15"/>
        </w:rPr>
      </w:pPr>
    </w:p>
    <w:p>
      <w:pPr>
        <w:spacing w:before="0"/>
        <w:ind w:left="1133" w:right="0" w:firstLine="0"/>
        <w:jc w:val="both"/>
        <w:rPr>
          <w:rFonts w:ascii="宋体" w:hAnsi="宋体" w:cs="宋体" w:eastAsia="宋体" w:hint="default"/>
          <w:sz w:val="20"/>
          <w:szCs w:val="20"/>
        </w:rPr>
      </w:pPr>
      <w:bookmarkStart w:name="26、股份支付" w:id="199"/>
      <w:bookmarkEnd w:id="199"/>
      <w:r>
        <w:rPr/>
      </w:r>
      <w:r>
        <w:rPr>
          <w:rFonts w:ascii="宋体" w:hAnsi="宋体" w:cs="宋体" w:eastAsia="宋体" w:hint="default"/>
          <w:b/>
          <w:bCs/>
          <w:sz w:val="20"/>
          <w:szCs w:val="20"/>
        </w:rPr>
        <w:t>26</w:t>
      </w:r>
      <w:r>
        <w:rPr>
          <w:rFonts w:ascii="宋体" w:hAnsi="宋体" w:cs="宋体" w:eastAsia="宋体" w:hint="default"/>
          <w:b/>
          <w:bCs/>
          <w:sz w:val="20"/>
          <w:szCs w:val="20"/>
        </w:rPr>
        <w:t>、股份支付</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both"/>
        <w:rPr>
          <w:rFonts w:ascii="宋体" w:hAnsi="宋体" w:cs="宋体" w:eastAsia="宋体" w:hint="default"/>
          <w:sz w:val="20"/>
          <w:szCs w:val="20"/>
        </w:rPr>
      </w:pPr>
      <w:bookmarkStart w:name="27、优先股、永续债等其他金融工具" w:id="200"/>
      <w:bookmarkEnd w:id="200"/>
      <w:r>
        <w:rPr/>
      </w:r>
      <w:r>
        <w:rPr>
          <w:rFonts w:ascii="宋体" w:hAnsi="宋体" w:cs="宋体" w:eastAsia="宋体" w:hint="default"/>
          <w:b/>
          <w:bCs/>
          <w:sz w:val="20"/>
          <w:szCs w:val="20"/>
        </w:rPr>
        <w:t>27</w:t>
      </w:r>
      <w:r>
        <w:rPr>
          <w:rFonts w:ascii="宋体" w:hAnsi="宋体" w:cs="宋体" w:eastAsia="宋体" w:hint="default"/>
          <w:b/>
          <w:bCs/>
          <w:sz w:val="20"/>
          <w:szCs w:val="20"/>
        </w:rPr>
        <w:t>、优先股、永续债等其他金融工具</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both"/>
        <w:rPr>
          <w:rFonts w:ascii="宋体" w:hAnsi="宋体" w:cs="宋体" w:eastAsia="宋体" w:hint="default"/>
          <w:sz w:val="20"/>
          <w:szCs w:val="20"/>
        </w:rPr>
      </w:pPr>
      <w:bookmarkStart w:name="28、收入" w:id="201"/>
      <w:bookmarkEnd w:id="201"/>
      <w:r>
        <w:rPr/>
      </w:r>
      <w:r>
        <w:rPr>
          <w:rFonts w:ascii="宋体" w:hAnsi="宋体" w:cs="宋体" w:eastAsia="宋体" w:hint="default"/>
          <w:b/>
          <w:bCs/>
          <w:sz w:val="20"/>
          <w:szCs w:val="20"/>
        </w:rPr>
        <w:t>28</w:t>
      </w:r>
      <w:r>
        <w:rPr>
          <w:rFonts w:ascii="宋体" w:hAnsi="宋体" w:cs="宋体" w:eastAsia="宋体" w:hint="default"/>
          <w:b/>
          <w:bCs/>
          <w:sz w:val="20"/>
          <w:szCs w:val="20"/>
        </w:rPr>
        <w:t>、收入</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right="1133" w:firstLine="423"/>
        <w:jc w:val="both"/>
      </w:pPr>
      <w:r>
        <w:rPr>
          <w:spacing w:val="-1"/>
        </w:rPr>
        <w:t>收入的金额按照本公司在日常经营活动中销售商品和提供劳务时，已收或应收合同或协议价款的公允</w:t>
      </w:r>
      <w:r>
        <w:rPr/>
        <w:t> 价值确定。收入按扣除增值税、商业折扣、销售折让及销售退回的净额列示。</w:t>
      </w:r>
    </w:p>
    <w:p>
      <w:pPr>
        <w:pStyle w:val="BodyText"/>
        <w:spacing w:line="408" w:lineRule="auto" w:before="46"/>
        <w:ind w:right="1133" w:firstLine="423"/>
        <w:jc w:val="both"/>
      </w:pPr>
      <w:r>
        <w:rPr>
          <w:spacing w:val="-1"/>
        </w:rPr>
        <w:t>与交易相关的经济利益能够流入本公司，相关的收入能够可靠计量且满足下列各项经营活动的特定收</w:t>
      </w:r>
      <w:r>
        <w:rPr/>
        <w:t> 入确认标准时，确认相关的收入。</w:t>
      </w:r>
    </w:p>
    <w:p>
      <w:pPr>
        <w:pStyle w:val="BodyText"/>
        <w:spacing w:line="408" w:lineRule="auto" w:before="46"/>
        <w:ind w:left="1557" w:right="1116"/>
        <w:jc w:val="left"/>
      </w:pPr>
      <w:r>
        <w:rPr/>
        <w:t>①销售商品 </w:t>
      </w:r>
      <w:r>
        <w:rPr>
          <w:spacing w:val="-1"/>
        </w:rPr>
        <w:t>商品销售在商品所有权上的主要风险和报酬已转移给买方，本公司不再对该商品实施继续管理权和实</w:t>
      </w:r>
    </w:p>
    <w:p>
      <w:pPr>
        <w:pStyle w:val="BodyText"/>
        <w:spacing w:line="408" w:lineRule="auto" w:before="46"/>
        <w:ind w:right="0"/>
        <w:jc w:val="left"/>
      </w:pPr>
      <w:r>
        <w:rPr>
          <w:spacing w:val="-1"/>
        </w:rPr>
        <w:t>际控制权，与交易相关的经济利益很可能流入企业，并且与销售该商品相关的收入和成本能够可靠地计量</w:t>
      </w:r>
      <w:r>
        <w:rPr>
          <w:spacing w:val="-81"/>
        </w:rPr>
        <w:t> </w:t>
      </w:r>
      <w:r>
        <w:rPr>
          <w:spacing w:val="-81"/>
        </w:rPr>
      </w:r>
      <w:r>
        <w:rPr/>
        <w:t>时，确认营业收入的实现。</w:t>
      </w:r>
    </w:p>
    <w:p>
      <w:pPr>
        <w:pStyle w:val="BodyText"/>
        <w:spacing w:line="408" w:lineRule="auto" w:before="46"/>
        <w:ind w:left="1557" w:right="1116"/>
        <w:jc w:val="left"/>
      </w:pPr>
      <w:r>
        <w:rPr/>
        <w:t>②提供劳务 </w:t>
      </w:r>
      <w:r>
        <w:rPr>
          <w:spacing w:val="-1"/>
        </w:rPr>
        <w:t>提供的劳务在同一会计年度开始并完成的，在劳务已经提供，收到价款或取得收取价款的证据时，确</w:t>
      </w:r>
    </w:p>
    <w:p>
      <w:pPr>
        <w:pStyle w:val="BodyText"/>
        <w:spacing w:line="408" w:lineRule="auto" w:before="46"/>
        <w:ind w:right="1131"/>
        <w:jc w:val="both"/>
      </w:pPr>
      <w:r>
        <w:rPr>
          <w:spacing w:val="-1"/>
        </w:rPr>
        <w:t>认营业收入的实现；劳务的开始和完成分属不同会计年度的，在劳务合同的总收入、劳务的完成程度能够</w:t>
      </w:r>
      <w:r>
        <w:rPr>
          <w:spacing w:val="-83"/>
        </w:rPr>
        <w:t> </w:t>
      </w:r>
      <w:r>
        <w:rPr>
          <w:spacing w:val="-83"/>
        </w:rPr>
      </w:r>
      <w:r>
        <w:rPr>
          <w:spacing w:val="-1"/>
        </w:rPr>
        <w:t>可靠地确定，与交易相关的价款能够流入，已经发生的成本和为完成劳务将要发生的成本能够可靠地计量</w:t>
      </w:r>
      <w:r>
        <w:rPr>
          <w:spacing w:val="-81"/>
        </w:rPr>
        <w:t> </w:t>
      </w:r>
      <w:r>
        <w:rPr>
          <w:spacing w:val="-81"/>
        </w:rPr>
      </w:r>
      <w:r>
        <w:rPr>
          <w:spacing w:val="-1"/>
        </w:rPr>
        <w:t>时，按完工百分比法确认营业收入的实现；长期合同工程在合同结果已经能够合理地预见时，按结账时已</w:t>
      </w:r>
      <w:r>
        <w:rPr>
          <w:spacing w:val="-83"/>
        </w:rPr>
        <w:t> </w:t>
      </w:r>
      <w:r>
        <w:rPr>
          <w:spacing w:val="-83"/>
        </w:rPr>
      </w:r>
      <w:r>
        <w:rPr/>
        <w:t>完成工程进度的百分比法确认营业收入的实现。</w:t>
      </w:r>
    </w:p>
    <w:p>
      <w:pPr>
        <w:pStyle w:val="BodyText"/>
        <w:spacing w:line="408" w:lineRule="auto" w:before="46"/>
        <w:ind w:left="1557" w:right="0"/>
        <w:jc w:val="left"/>
      </w:pPr>
      <w:r>
        <w:rPr/>
        <w:t>③让渡资产使用权 </w:t>
      </w:r>
      <w:r>
        <w:rPr>
          <w:spacing w:val="-1"/>
        </w:rPr>
        <w:t>让渡资产使用权取得的利息收入和使用费收入，在与交易相关的经济利益能够流入企业，且收入的金</w:t>
      </w:r>
    </w:p>
    <w:p>
      <w:pPr>
        <w:pStyle w:val="BodyText"/>
        <w:spacing w:line="240" w:lineRule="auto" w:before="46"/>
        <w:ind w:left="1134" w:right="0"/>
        <w:jc w:val="both"/>
      </w:pPr>
      <w:r>
        <w:rPr/>
        <w:t>额能够可靠地计量时，确认收入的实现。</w:t>
      </w:r>
    </w:p>
    <w:p>
      <w:pPr>
        <w:spacing w:after="0" w:line="240"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3" w:right="0" w:firstLine="0"/>
        <w:jc w:val="left"/>
        <w:rPr>
          <w:rFonts w:ascii="宋体" w:hAnsi="宋体" w:cs="宋体" w:eastAsia="宋体" w:hint="default"/>
          <w:sz w:val="20"/>
          <w:szCs w:val="20"/>
        </w:rPr>
      </w:pPr>
      <w:bookmarkStart w:name="29、政府补助" w:id="202"/>
      <w:bookmarkEnd w:id="202"/>
      <w:r>
        <w:rPr/>
      </w:r>
      <w:r>
        <w:rPr>
          <w:rFonts w:ascii="宋体" w:hAnsi="宋体" w:cs="宋体" w:eastAsia="宋体" w:hint="default"/>
          <w:b/>
          <w:bCs/>
          <w:sz w:val="20"/>
          <w:szCs w:val="20"/>
        </w:rPr>
        <w:t>29</w:t>
      </w:r>
      <w:r>
        <w:rPr>
          <w:rFonts w:ascii="宋体" w:hAnsi="宋体" w:cs="宋体" w:eastAsia="宋体" w:hint="default"/>
          <w:b/>
          <w:bCs/>
          <w:sz w:val="20"/>
          <w:szCs w:val="20"/>
        </w:rPr>
        <w:t>、政府补助</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与资产相关的政府补助判断依据及会计处理方法" w:id="203"/>
      <w:bookmarkEnd w:id="203"/>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）与资产相关的政府补助判断依据及会计处理方法</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134" w:right="1133" w:firstLine="423"/>
        <w:jc w:val="both"/>
      </w:pPr>
      <w:r>
        <w:rPr>
          <w:spacing w:val="-1"/>
        </w:rPr>
        <w:t>与资产相关的政府补助，是指公司取得的、用于购建或以其他方式形成长期资产的政府补助。与资产</w:t>
      </w:r>
      <w:r>
        <w:rPr/>
        <w:t> </w:t>
      </w:r>
      <w:r>
        <w:rPr>
          <w:spacing w:val="-1"/>
        </w:rPr>
        <w:t>相关的政府补助，确认为递延收益，并在相关资产使用寿命内平均分配，计入当期损益。但是，按照名义</w:t>
      </w:r>
      <w:r>
        <w:rPr>
          <w:spacing w:val="-83"/>
        </w:rPr>
        <w:t> </w:t>
      </w:r>
      <w:r>
        <w:rPr>
          <w:spacing w:val="-83"/>
        </w:rPr>
      </w:r>
      <w:r>
        <w:rPr/>
        <w:t>金额计量的政府补助，直接计入当期损益。</w:t>
      </w:r>
    </w:p>
    <w:p>
      <w:pPr>
        <w:spacing w:before="55"/>
        <w:ind w:left="1134" w:right="0" w:firstLine="0"/>
        <w:jc w:val="left"/>
        <w:rPr>
          <w:rFonts w:ascii="宋体" w:hAnsi="宋体" w:cs="宋体" w:eastAsia="宋体" w:hint="default"/>
          <w:sz w:val="20"/>
          <w:szCs w:val="20"/>
        </w:rPr>
      </w:pPr>
      <w:bookmarkStart w:name="（2）与收益相关的政府补助判断依据及会计处理方法" w:id="204"/>
      <w:bookmarkEnd w:id="204"/>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）与收益相关的政府补助判断依据及会计处理方法</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134" w:right="1110" w:firstLine="423"/>
        <w:jc w:val="both"/>
      </w:pPr>
      <w:r>
        <w:rPr>
          <w:spacing w:val="-1"/>
        </w:rPr>
        <w:t>与收益相关的政府补助，是指除与资产相关的政府补助之外的政府补助。与收益相关的政府补助，用</w:t>
      </w:r>
      <w:r>
        <w:rPr/>
        <w:t> 于补偿公司以后期间的相关费用或损失的，确认为递延收益，并在确认相关费用的期间，计入当期损益； 用于补偿公司已发生的相关费用或损失的，直接计入当期损益。</w:t>
      </w:r>
    </w:p>
    <w:p>
      <w:pPr>
        <w:spacing w:before="55"/>
        <w:ind w:left="1134" w:right="0" w:firstLine="0"/>
        <w:jc w:val="left"/>
        <w:rPr>
          <w:rFonts w:ascii="宋体" w:hAnsi="宋体" w:cs="宋体" w:eastAsia="宋体" w:hint="default"/>
          <w:sz w:val="20"/>
          <w:szCs w:val="20"/>
        </w:rPr>
      </w:pPr>
      <w:bookmarkStart w:name="30、递延所得税资产/递延所得税负债" w:id="205"/>
      <w:bookmarkEnd w:id="205"/>
      <w:r>
        <w:rPr/>
      </w:r>
      <w:r>
        <w:rPr>
          <w:rFonts w:ascii="宋体" w:hAnsi="宋体" w:cs="宋体" w:eastAsia="宋体" w:hint="default"/>
          <w:b/>
          <w:bCs/>
          <w:sz w:val="20"/>
          <w:szCs w:val="20"/>
        </w:rPr>
        <w:t>30</w:t>
      </w:r>
      <w:r>
        <w:rPr>
          <w:rFonts w:ascii="宋体" w:hAnsi="宋体" w:cs="宋体" w:eastAsia="宋体" w:hint="default"/>
          <w:b/>
          <w:bCs/>
          <w:sz w:val="20"/>
          <w:szCs w:val="20"/>
        </w:rPr>
        <w:t>、递延所得税资产</w:t>
      </w:r>
      <w:r>
        <w:rPr>
          <w:rFonts w:ascii="宋体" w:hAnsi="宋体" w:cs="宋体" w:eastAsia="宋体" w:hint="default"/>
          <w:b/>
          <w:bCs/>
          <w:sz w:val="20"/>
          <w:szCs w:val="20"/>
        </w:rPr>
        <w:t>/</w:t>
      </w:r>
      <w:r>
        <w:rPr>
          <w:rFonts w:ascii="宋体" w:hAnsi="宋体" w:cs="宋体" w:eastAsia="宋体" w:hint="default"/>
          <w:b/>
          <w:bCs/>
          <w:sz w:val="20"/>
          <w:szCs w:val="20"/>
        </w:rPr>
        <w:t>递延所得税负债</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right="1129" w:firstLine="423"/>
        <w:jc w:val="both"/>
      </w:pPr>
      <w:r>
        <w:rPr/>
        <w:t>递延所得税资产和递延所得税负债根据资产和负债的计税基础与其账面价值的差额</w:t>
      </w:r>
      <w:r>
        <w:rPr>
          <w:rFonts w:ascii="宋体" w:hAnsi="宋体" w:cs="宋体" w:eastAsia="宋体" w:hint="default"/>
        </w:rPr>
        <w:t>(</w:t>
      </w:r>
      <w:r>
        <w:rPr/>
        <w:t>包括应纳税暂时 性差异和可抵扣暂时性差异</w:t>
      </w:r>
      <w:r>
        <w:rPr>
          <w:rFonts w:ascii="宋体" w:hAnsi="宋体" w:cs="宋体" w:eastAsia="宋体" w:hint="default"/>
        </w:rPr>
        <w:t>)</w:t>
      </w:r>
      <w:r>
        <w:rPr/>
        <w:t>计算确认。对于按照税法规定能够于以后年度抵减应纳税所得额的可抵扣亏</w:t>
      </w:r>
      <w:r>
        <w:rPr>
          <w:spacing w:val="-31"/>
        </w:rPr>
        <w:t> </w:t>
      </w:r>
      <w:r>
        <w:rPr>
          <w:spacing w:val="-31"/>
        </w:rPr>
      </w:r>
      <w:r>
        <w:rPr>
          <w:spacing w:val="-1"/>
        </w:rPr>
        <w:t>损，视同可抵扣暂时性差异。对于商誉的初始确认产生的暂时性差异，不确认相应的递延所得税负债。对</w:t>
      </w:r>
      <w:r>
        <w:rPr>
          <w:spacing w:val="-85"/>
        </w:rPr>
        <w:t> </w:t>
      </w:r>
      <w:r>
        <w:rPr>
          <w:spacing w:val="-85"/>
        </w:rPr>
      </w:r>
      <w:r>
        <w:rPr>
          <w:spacing w:val="3"/>
        </w:rPr>
        <w:t>于既不影响会计利润也不影响应纳税所得额</w:t>
      </w:r>
      <w:r>
        <w:rPr>
          <w:rFonts w:ascii="宋体" w:hAnsi="宋体" w:cs="宋体" w:eastAsia="宋体" w:hint="default"/>
          <w:spacing w:val="3"/>
        </w:rPr>
        <w:t>(</w:t>
      </w:r>
      <w:r>
        <w:rPr>
          <w:spacing w:val="3"/>
        </w:rPr>
        <w:t>或可抵扣亏损</w:t>
      </w:r>
      <w:r>
        <w:rPr>
          <w:rFonts w:ascii="宋体" w:hAnsi="宋体" w:cs="宋体" w:eastAsia="宋体" w:hint="default"/>
          <w:spacing w:val="3"/>
        </w:rPr>
        <w:t>)</w:t>
      </w:r>
      <w:r>
        <w:rPr>
          <w:spacing w:val="3"/>
        </w:rPr>
        <w:t>的非企业合并的交易中产生的资产或负债的</w:t>
      </w:r>
      <w:r>
        <w:rPr>
          <w:spacing w:val="-82"/>
        </w:rPr>
        <w:t> </w:t>
      </w:r>
      <w:r>
        <w:rPr>
          <w:spacing w:val="-82"/>
        </w:rPr>
      </w:r>
      <w:r>
        <w:rPr>
          <w:spacing w:val="-1"/>
        </w:rPr>
        <w:t>初始确认形成的暂时性差异，不确认相应的递延所得税资产和递延所得税负债。于资产负债表日，递延所</w:t>
      </w:r>
      <w:r>
        <w:rPr>
          <w:spacing w:val="-83"/>
        </w:rPr>
        <w:t> </w:t>
      </w:r>
      <w:r>
        <w:rPr>
          <w:spacing w:val="-83"/>
        </w:rPr>
      </w:r>
      <w:r>
        <w:rPr/>
        <w:t>得税资产和递延所得税负债，按照预期收回该资产或清偿该负债期间的适用税率计量。</w:t>
      </w:r>
    </w:p>
    <w:p>
      <w:pPr>
        <w:pStyle w:val="BodyText"/>
        <w:spacing w:line="408" w:lineRule="auto" w:before="46"/>
        <w:ind w:right="1132" w:firstLine="420"/>
        <w:jc w:val="both"/>
      </w:pPr>
      <w:r>
        <w:rPr>
          <w:spacing w:val="-1"/>
        </w:rPr>
        <w:t>递延所得税资产的确认以本公司很可能取得用来抵扣可抵扣暂时性差异、可抵扣亏损和税款抵减的应</w:t>
      </w:r>
      <w:r>
        <w:rPr/>
        <w:t> 纳税所得额为限。</w:t>
      </w:r>
    </w:p>
    <w:p>
      <w:pPr>
        <w:pStyle w:val="BodyText"/>
        <w:spacing w:line="408" w:lineRule="auto" w:before="46"/>
        <w:ind w:right="1130" w:firstLine="420"/>
        <w:jc w:val="both"/>
      </w:pPr>
      <w:r>
        <w:rPr>
          <w:spacing w:val="-1"/>
        </w:rPr>
        <w:t>对子公司、联营企业及合营企业投资相关的暂时性差异产生的递延所得税资产和递延所得税负债，予</w:t>
      </w:r>
      <w:r>
        <w:rPr/>
        <w:t> </w:t>
      </w:r>
      <w:r>
        <w:rPr>
          <w:spacing w:val="-1"/>
        </w:rPr>
        <w:t>以确认。但本公司能够控制暂时性差异转回的时间且该暂时性差异在可预见的未来很可能不会转回的，不</w:t>
      </w:r>
      <w:r>
        <w:rPr>
          <w:spacing w:val="-80"/>
        </w:rPr>
        <w:t> </w:t>
      </w:r>
      <w:r>
        <w:rPr>
          <w:spacing w:val="-80"/>
        </w:rPr>
      </w:r>
      <w:r>
        <w:rPr/>
        <w:t>予确认。</w:t>
      </w:r>
    </w:p>
    <w:p>
      <w:pPr>
        <w:spacing w:before="55"/>
        <w:ind w:left="1133" w:right="0" w:firstLine="0"/>
        <w:jc w:val="left"/>
        <w:rPr>
          <w:rFonts w:ascii="宋体" w:hAnsi="宋体" w:cs="宋体" w:eastAsia="宋体" w:hint="default"/>
          <w:sz w:val="20"/>
          <w:szCs w:val="20"/>
        </w:rPr>
      </w:pPr>
      <w:bookmarkStart w:name="31、租赁" w:id="206"/>
      <w:bookmarkEnd w:id="206"/>
      <w:r>
        <w:rPr/>
      </w:r>
      <w:r>
        <w:rPr>
          <w:rFonts w:ascii="宋体" w:hAnsi="宋体" w:cs="宋体" w:eastAsia="宋体" w:hint="default"/>
          <w:b/>
          <w:bCs/>
          <w:sz w:val="20"/>
          <w:szCs w:val="20"/>
        </w:rPr>
        <w:t>31</w:t>
      </w:r>
      <w:r>
        <w:rPr>
          <w:rFonts w:ascii="宋体" w:hAnsi="宋体" w:cs="宋体" w:eastAsia="宋体" w:hint="default"/>
          <w:b/>
          <w:bCs/>
          <w:sz w:val="20"/>
          <w:szCs w:val="20"/>
        </w:rPr>
        <w:t>、租赁</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经营租赁的会计处理方法" w:id="207"/>
      <w:bookmarkEnd w:id="207"/>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）经营租赁的会计处理方法</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553" w:right="0"/>
        <w:jc w:val="left"/>
      </w:pPr>
      <w:r>
        <w:rPr/>
        <w:t>经营租赁的租金支出在租赁期内按照直线法计入相关资产成本或当期损益。</w:t>
      </w:r>
    </w:p>
    <w:p>
      <w:pPr>
        <w:spacing w:line="240" w:lineRule="auto" w:before="6"/>
        <w:rPr>
          <w:rFonts w:ascii="宋体" w:hAnsi="宋体" w:cs="宋体" w:eastAsia="宋体" w:hint="default"/>
          <w:sz w:val="15"/>
          <w:szCs w:val="15"/>
        </w:rPr>
      </w:pPr>
    </w:p>
    <w:p>
      <w:pPr>
        <w:spacing w:before="0"/>
        <w:ind w:left="1133" w:right="0" w:firstLine="0"/>
        <w:jc w:val="left"/>
        <w:rPr>
          <w:rFonts w:ascii="宋体" w:hAnsi="宋体" w:cs="宋体" w:eastAsia="宋体" w:hint="default"/>
          <w:sz w:val="20"/>
          <w:szCs w:val="20"/>
        </w:rPr>
      </w:pPr>
      <w:bookmarkStart w:name="（2）融资租赁的会计处理方法" w:id="208"/>
      <w:bookmarkEnd w:id="208"/>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）融资租赁的会计处理方法</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right="1131" w:firstLine="420"/>
        <w:jc w:val="both"/>
      </w:pPr>
      <w:r>
        <w:rPr>
          <w:spacing w:val="-1"/>
        </w:rPr>
        <w:t>按租赁资产的公允价值与最低租赁付款额的现值两者中较低者作为租入资产的入账价值，租入资产的</w:t>
      </w:r>
      <w:r>
        <w:rPr/>
        <w:t> </w:t>
      </w:r>
      <w:r>
        <w:rPr>
          <w:spacing w:val="-1"/>
        </w:rPr>
        <w:t>入账价值与最低租赁付款额之间的差额为未确认融资费用，在租赁期内按实际利率法摊销。最低租赁付款</w:t>
      </w:r>
      <w:r>
        <w:rPr>
          <w:spacing w:val="-81"/>
        </w:rPr>
        <w:t> </w:t>
      </w:r>
      <w:r>
        <w:rPr>
          <w:spacing w:val="-81"/>
        </w:rPr>
      </w:r>
      <w:r>
        <w:rPr/>
        <w:t>额扣除未确认融资费用后的余额以长期应付款列示。</w:t>
      </w:r>
    </w:p>
    <w:p>
      <w:pPr>
        <w:spacing w:before="55"/>
        <w:ind w:left="1134" w:right="0" w:firstLine="0"/>
        <w:jc w:val="left"/>
        <w:rPr>
          <w:rFonts w:ascii="宋体" w:hAnsi="宋体" w:cs="宋体" w:eastAsia="宋体" w:hint="default"/>
          <w:sz w:val="20"/>
          <w:szCs w:val="20"/>
        </w:rPr>
      </w:pPr>
      <w:bookmarkStart w:name="32、其他重要的会计政策和会计估计" w:id="209"/>
      <w:bookmarkEnd w:id="209"/>
      <w:r>
        <w:rPr/>
      </w:r>
      <w:r>
        <w:rPr>
          <w:rFonts w:ascii="宋体" w:hAnsi="宋体" w:cs="宋体" w:eastAsia="宋体" w:hint="default"/>
          <w:b/>
          <w:bCs/>
          <w:sz w:val="20"/>
          <w:szCs w:val="20"/>
        </w:rPr>
        <w:t>32</w:t>
      </w:r>
      <w:r>
        <w:rPr>
          <w:rFonts w:ascii="宋体" w:hAnsi="宋体" w:cs="宋体" w:eastAsia="宋体" w:hint="default"/>
          <w:b/>
          <w:bCs/>
          <w:sz w:val="20"/>
          <w:szCs w:val="20"/>
        </w:rPr>
        <w:t>、其他重要的会计政策和会计估计</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506" w:right="0"/>
        <w:jc w:val="left"/>
      </w:pPr>
      <w:r>
        <w:rPr/>
        <w:t>商誉：</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right="0" w:firstLine="372"/>
        <w:jc w:val="left"/>
      </w:pPr>
      <w:r>
        <w:rPr/>
        <w:t>商誉为股权投资成本超过应享有的被投资单位于投资取得日的公允价值份额的差额，或者为非同一控 制下企业合并成本超过企业合并中取得的被购买方可辨认净资产于购买日的公允价值份额的差额。</w:t>
      </w:r>
    </w:p>
    <w:p>
      <w:pPr>
        <w:pStyle w:val="BodyText"/>
        <w:spacing w:line="408" w:lineRule="auto" w:before="46"/>
        <w:ind w:right="0" w:firstLine="372"/>
        <w:jc w:val="left"/>
      </w:pPr>
      <w:r>
        <w:rPr/>
        <w:t>企业合并形成的商誉在合并财务报表上单独列示。购买联营企业和合营企业股权投资成本超过投资时 应享有被投资单位的公允价值份额的差额，包含于长期股权投资。</w:t>
      </w:r>
    </w:p>
    <w:p>
      <w:pPr>
        <w:pStyle w:val="BodyText"/>
        <w:spacing w:line="412" w:lineRule="auto" w:before="46"/>
        <w:ind w:right="1116" w:firstLine="420"/>
        <w:jc w:val="left"/>
        <w:rPr>
          <w:rFonts w:ascii="宋体" w:hAnsi="宋体" w:cs="宋体" w:eastAsia="宋体" w:hint="default"/>
          <w:sz w:val="20"/>
          <w:szCs w:val="20"/>
        </w:rPr>
      </w:pPr>
      <w:r>
        <w:rPr>
          <w:spacing w:val="-1"/>
        </w:rPr>
        <w:t>企业合并形成的商誉每年进行减值测试。减值测试时，商誉的账面价值根据企业合并的协同效应分摊</w:t>
      </w:r>
      <w:r>
        <w:rPr/>
        <w:t> 至受益的资产组或资产组组合。期末商誉按成本减去累计减值损失后的净额列示。 </w:t>
      </w:r>
      <w:bookmarkStart w:name="33、重要会计政策和会计估计变更" w:id="210"/>
      <w:bookmarkEnd w:id="210"/>
      <w:r>
        <w:rPr/>
      </w:r>
      <w:r>
        <w:rPr>
          <w:rFonts w:ascii="宋体" w:hAnsi="宋体" w:cs="宋体" w:eastAsia="宋体" w:hint="default"/>
          <w:b/>
          <w:bCs/>
          <w:sz w:val="20"/>
          <w:szCs w:val="20"/>
        </w:rPr>
        <w:t>33</w:t>
      </w:r>
      <w:r>
        <w:rPr>
          <w:rFonts w:ascii="宋体" w:hAnsi="宋体" w:cs="宋体" w:eastAsia="宋体" w:hint="default"/>
          <w:b/>
          <w:bCs/>
          <w:sz w:val="20"/>
          <w:szCs w:val="20"/>
        </w:rPr>
        <w:t>、重要会计政策和会计估计变更</w:t>
      </w:r>
      <w:r>
        <w:rPr>
          <w:rFonts w:ascii="宋体" w:hAnsi="宋体" w:cs="宋体" w:eastAsia="宋体" w:hint="default"/>
          <w:sz w:val="20"/>
          <w:szCs w:val="20"/>
        </w:rPr>
      </w:r>
    </w:p>
    <w:p>
      <w:pPr>
        <w:spacing w:before="62"/>
        <w:ind w:left="1133" w:right="0" w:firstLine="0"/>
        <w:jc w:val="left"/>
        <w:rPr>
          <w:rFonts w:ascii="宋体" w:hAnsi="宋体" w:cs="宋体" w:eastAsia="宋体" w:hint="default"/>
          <w:sz w:val="20"/>
          <w:szCs w:val="20"/>
        </w:rPr>
      </w:pPr>
      <w:bookmarkStart w:name="（1）重要会计政策变更" w:id="211"/>
      <w:bookmarkEnd w:id="211"/>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）重要会计政策变更</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重要会计估计变更" w:id="212"/>
      <w:bookmarkEnd w:id="212"/>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）重要会计估计变更</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line="391" w:lineRule="auto" w:before="0"/>
        <w:ind w:left="1134" w:right="9045" w:firstLine="0"/>
        <w:jc w:val="left"/>
        <w:rPr>
          <w:rFonts w:ascii="宋体" w:hAnsi="宋体" w:cs="宋体" w:eastAsia="宋体" w:hint="default"/>
          <w:sz w:val="20"/>
          <w:szCs w:val="20"/>
        </w:rPr>
      </w:pPr>
      <w:bookmarkStart w:name="34、其他" w:id="213"/>
      <w:bookmarkEnd w:id="213"/>
      <w:r>
        <w:rPr/>
      </w:r>
      <w:r>
        <w:rPr>
          <w:rFonts w:ascii="宋体" w:hAnsi="宋体" w:cs="宋体" w:eastAsia="宋体" w:hint="default"/>
          <w:b/>
          <w:bCs/>
          <w:sz w:val="20"/>
          <w:szCs w:val="20"/>
        </w:rPr>
        <w:t>34</w:t>
      </w:r>
      <w:r>
        <w:rPr>
          <w:rFonts w:ascii="宋体" w:hAnsi="宋体" w:cs="宋体" w:eastAsia="宋体" w:hint="default"/>
          <w:b/>
          <w:bCs/>
          <w:sz w:val="20"/>
          <w:szCs w:val="20"/>
        </w:rPr>
        <w:t>、其他</w:t>
      </w:r>
      <w:r>
        <w:rPr>
          <w:rFonts w:ascii="宋体" w:hAnsi="宋体" w:cs="宋体" w:eastAsia="宋体" w:hint="default"/>
          <w:b/>
          <w:bCs/>
          <w:w w:val="99"/>
          <w:sz w:val="20"/>
          <w:szCs w:val="20"/>
        </w:rPr>
        <w:t> </w:t>
      </w:r>
      <w:bookmarkStart w:name="六、税项" w:id="214"/>
      <w:bookmarkEnd w:id="214"/>
      <w:r>
        <w:rPr>
          <w:rFonts w:ascii="宋体" w:hAnsi="宋体" w:cs="宋体" w:eastAsia="宋体" w:hint="default"/>
          <w:b/>
          <w:bCs/>
          <w:w w:val="99"/>
          <w:sz w:val="20"/>
          <w:szCs w:val="20"/>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5"/>
      <w:bookmarkEnd w:id="215"/>
      <w:r>
        <w:rPr>
          <w:rFonts w:ascii="宋体" w:hAnsi="宋体" w:cs="宋体" w:eastAsia="宋体" w:hint="default"/>
          <w:b/>
          <w:bCs/>
          <w:spacing w:val="1"/>
          <w:w w:val="99"/>
          <w:sz w:val="24"/>
          <w:szCs w:val="24"/>
        </w:rPr>
      </w:r>
      <w:r>
        <w:rPr>
          <w:rFonts w:ascii="宋体" w:hAnsi="宋体" w:cs="宋体" w:eastAsia="宋体" w:hint="default"/>
          <w:b/>
          <w:bCs/>
          <w:sz w:val="20"/>
          <w:szCs w:val="20"/>
        </w:rPr>
        <w:t>1</w:t>
      </w:r>
      <w:r>
        <w:rPr>
          <w:rFonts w:ascii="宋体" w:hAnsi="宋体" w:cs="宋体" w:eastAsia="宋体" w:hint="default"/>
          <w:b/>
          <w:bCs/>
          <w:sz w:val="20"/>
          <w:szCs w:val="20"/>
        </w:rPr>
        <w:t>、主要税种及税率</w:t>
      </w:r>
      <w:r>
        <w:rPr>
          <w:rFonts w:ascii="宋体" w:hAnsi="宋体" w:cs="宋体" w:eastAsia="宋体" w:hint="default"/>
          <w:sz w:val="20"/>
          <w:szCs w:val="20"/>
        </w:rPr>
      </w:r>
    </w:p>
    <w:tbl>
      <w:tblPr>
        <w:tblW w:w="0" w:type="auto"/>
        <w:jc w:val="left"/>
        <w:tblInd w:w="1118" w:type="dxa"/>
        <w:tblLayout w:type="fixed"/>
        <w:tblCellMar>
          <w:top w:w="0" w:type="dxa"/>
          <w:left w:w="0" w:type="dxa"/>
          <w:bottom w:w="0" w:type="dxa"/>
          <w:right w:w="0" w:type="dxa"/>
        </w:tblCellMar>
        <w:tblLook w:val="01E0"/>
      </w:tblPr>
      <w:tblGrid>
        <w:gridCol w:w="3191"/>
        <w:gridCol w:w="5175"/>
        <w:gridCol w:w="1204"/>
      </w:tblGrid>
      <w:tr>
        <w:trPr>
          <w:trHeight w:val="415"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税种</w:t>
            </w:r>
          </w:p>
        </w:tc>
        <w:tc>
          <w:tcPr>
            <w:tcW w:w="517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20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3" w:hRule="exact"/>
        </w:trPr>
        <w:tc>
          <w:tcPr>
            <w:tcW w:w="3191" w:type="dxa"/>
            <w:tcBorders>
              <w:top w:val="single" w:sz="6" w:space="0" w:color="000000"/>
              <w:left w:val="single" w:sz="12" w:space="0" w:color="000000"/>
              <w:bottom w:val="nil" w:sz="6" w:space="0" w:color="auto"/>
              <w:right w:val="single" w:sz="6" w:space="0" w:color="000000"/>
            </w:tcBorders>
            <w:shd w:val="clear" w:color="auto" w:fill="D2D2D2"/>
          </w:tcPr>
          <w:p>
            <w:pPr/>
          </w:p>
        </w:tc>
        <w:tc>
          <w:tcPr>
            <w:tcW w:w="5175" w:type="dxa"/>
            <w:vMerge w:val="restart"/>
            <w:tcBorders>
              <w:top w:val="single" w:sz="6" w:space="0" w:color="000000"/>
              <w:left w:val="single" w:sz="9" w:space="0" w:color="D2D2D2"/>
              <w:right w:val="single" w:sz="6" w:space="0" w:color="000000"/>
            </w:tcBorders>
          </w:tcPr>
          <w:p>
            <w:pPr>
              <w:pStyle w:val="TableParagraph"/>
              <w:spacing w:line="316" w:lineRule="auto" w:before="51"/>
              <w:ind w:left="16" w:right="189"/>
              <w:jc w:val="left"/>
              <w:rPr>
                <w:rFonts w:ascii="宋体" w:hAnsi="宋体" w:cs="宋体" w:eastAsia="宋体" w:hint="default"/>
                <w:sz w:val="18"/>
                <w:szCs w:val="18"/>
              </w:rPr>
            </w:pPr>
            <w:r>
              <w:rPr>
                <w:rFonts w:ascii="宋体" w:hAnsi="宋体" w:cs="宋体" w:eastAsia="宋体" w:hint="default"/>
                <w:sz w:val="18"/>
                <w:szCs w:val="18"/>
              </w:rPr>
              <w:t>应纳税增值额</w:t>
            </w:r>
            <w:r>
              <w:rPr>
                <w:rFonts w:ascii="宋体" w:hAnsi="宋体" w:cs="宋体" w:eastAsia="宋体" w:hint="default"/>
                <w:sz w:val="18"/>
                <w:szCs w:val="18"/>
              </w:rPr>
              <w:t>(</w:t>
            </w:r>
            <w:r>
              <w:rPr>
                <w:rFonts w:ascii="宋体" w:hAnsi="宋体" w:cs="宋体" w:eastAsia="宋体" w:hint="default"/>
                <w:sz w:val="18"/>
                <w:szCs w:val="18"/>
              </w:rPr>
              <w:t>应纳税额按应纳税销售额乘以适用税率扣除当期 允计抵扣的进项税后的余额计算</w:t>
            </w:r>
            <w:r>
              <w:rPr>
                <w:rFonts w:ascii="宋体" w:hAnsi="宋体" w:cs="宋体" w:eastAsia="宋体" w:hint="default"/>
                <w:sz w:val="18"/>
                <w:szCs w:val="18"/>
              </w:rPr>
              <w:t>)</w:t>
            </w:r>
          </w:p>
        </w:tc>
        <w:tc>
          <w:tcPr>
            <w:tcW w:w="1204" w:type="dxa"/>
            <w:vMerge w:val="restart"/>
            <w:tcBorders>
              <w:top w:val="single" w:sz="6" w:space="0" w:color="000000"/>
              <w:left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6%</w:t>
            </w:r>
          </w:p>
        </w:tc>
      </w:tr>
      <w:tr>
        <w:trPr>
          <w:trHeight w:val="392" w:hRule="exact"/>
        </w:trPr>
        <w:tc>
          <w:tcPr>
            <w:tcW w:w="3191"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175" w:type="dxa"/>
            <w:vMerge/>
            <w:tcBorders>
              <w:left w:val="single" w:sz="9" w:space="0" w:color="D2D2D2"/>
              <w:right w:val="single" w:sz="6" w:space="0" w:color="000000"/>
            </w:tcBorders>
          </w:tcPr>
          <w:p>
            <w:pPr/>
          </w:p>
        </w:tc>
        <w:tc>
          <w:tcPr>
            <w:tcW w:w="1204" w:type="dxa"/>
            <w:vMerge/>
            <w:tcBorders>
              <w:left w:val="single" w:sz="6" w:space="0" w:color="000000"/>
              <w:right w:val="single" w:sz="12" w:space="0" w:color="000000"/>
            </w:tcBorders>
          </w:tcPr>
          <w:p>
            <w:pPr/>
          </w:p>
        </w:tc>
      </w:tr>
      <w:tr>
        <w:trPr>
          <w:trHeight w:val="163" w:hRule="exact"/>
        </w:trPr>
        <w:tc>
          <w:tcPr>
            <w:tcW w:w="3191" w:type="dxa"/>
            <w:tcBorders>
              <w:top w:val="nil" w:sz="6" w:space="0" w:color="auto"/>
              <w:left w:val="single" w:sz="12" w:space="0" w:color="000000"/>
              <w:bottom w:val="single" w:sz="6" w:space="0" w:color="000000"/>
              <w:right w:val="single" w:sz="6" w:space="0" w:color="000000"/>
            </w:tcBorders>
            <w:shd w:val="clear" w:color="auto" w:fill="D2D2D2"/>
          </w:tcPr>
          <w:p>
            <w:pPr/>
          </w:p>
        </w:tc>
        <w:tc>
          <w:tcPr>
            <w:tcW w:w="5175" w:type="dxa"/>
            <w:vMerge/>
            <w:tcBorders>
              <w:left w:val="single" w:sz="9" w:space="0" w:color="D2D2D2"/>
              <w:bottom w:val="single" w:sz="6" w:space="0" w:color="000000"/>
              <w:right w:val="single" w:sz="6" w:space="0" w:color="000000"/>
            </w:tcBorders>
          </w:tcPr>
          <w:p>
            <w:pPr/>
          </w:p>
        </w:tc>
        <w:tc>
          <w:tcPr>
            <w:tcW w:w="1204" w:type="dxa"/>
            <w:vMerge/>
            <w:tcBorders>
              <w:left w:val="single" w:sz="6" w:space="0" w:color="000000"/>
              <w:bottom w:val="single" w:sz="6" w:space="0" w:color="000000"/>
              <w:right w:val="single" w:sz="12" w:space="0" w:color="000000"/>
            </w:tcBorders>
          </w:tcPr>
          <w:p>
            <w:pP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517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1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3%</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17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应纳增值税、营业税、消费税额</w:t>
            </w:r>
          </w:p>
        </w:tc>
        <w:tc>
          <w:tcPr>
            <w:tcW w:w="1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sz w:val="18"/>
              </w:rPr>
              <w:t>7%</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17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w:t>
            </w:r>
            <w:r>
              <w:rPr>
                <w:rFonts w:ascii="宋体" w:hAnsi="宋体" w:cs="宋体" w:eastAsia="宋体" w:hint="default"/>
                <w:sz w:val="18"/>
                <w:szCs w:val="18"/>
              </w:rPr>
              <w:t>15%</w:t>
            </w:r>
          </w:p>
        </w:tc>
      </w:tr>
      <w:tr>
        <w:trPr>
          <w:trHeight w:val="415" w:hRule="exact"/>
        </w:trPr>
        <w:tc>
          <w:tcPr>
            <w:tcW w:w="31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51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应纳增值税、营业税、消费税额</w:t>
            </w:r>
          </w:p>
        </w:tc>
        <w:tc>
          <w:tcPr>
            <w:tcW w:w="120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w:t>
            </w:r>
          </w:p>
        </w:tc>
      </w:tr>
    </w:tbl>
    <w:p>
      <w:pPr>
        <w:pStyle w:val="BodyText"/>
        <w:spacing w:line="240" w:lineRule="auto" w:before="71"/>
        <w:ind w:left="1134" w:right="0"/>
        <w:jc w:val="left"/>
      </w:pPr>
      <w:r>
        <w:rPr/>
        <w:t>存在不同企业所得税税率纳税主体的，披露情况说明</w:t>
      </w:r>
    </w:p>
    <w:p>
      <w:pPr>
        <w:spacing w:line="240" w:lineRule="auto" w:before="12"/>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4783"/>
        <w:gridCol w:w="4785"/>
      </w:tblGrid>
      <w:tr>
        <w:trPr>
          <w:trHeight w:val="415" w:hRule="exact"/>
        </w:trPr>
        <w:tc>
          <w:tcPr>
            <w:tcW w:w="478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光一科技股份有限公司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sz w:val="18"/>
              </w:rPr>
              <w:t>15%</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江苏苏源光一科技有限公司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sz w:val="18"/>
              </w:rPr>
              <w:t>25%</w:t>
            </w:r>
          </w:p>
        </w:tc>
      </w:tr>
      <w:tr>
        <w:trPr>
          <w:trHeight w:val="408"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sz w:val="18"/>
              </w:rPr>
              <w:t>25%</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南京智友尚云信息技术有限公司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25%</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江苏光一贵仁股权投资基金管理有限公司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25%</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江苏德能电气工程有限公司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25%</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sz w:val="18"/>
              </w:rPr>
              <w:t>25%</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sz w:val="18"/>
              </w:rPr>
              <w:t>15%</w:t>
            </w:r>
          </w:p>
        </w:tc>
      </w:tr>
      <w:tr>
        <w:trPr>
          <w:trHeight w:val="416" w:hRule="exact"/>
        </w:trPr>
        <w:tc>
          <w:tcPr>
            <w:tcW w:w="478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湖北鼎瑞科技有限公司</w:t>
            </w:r>
          </w:p>
        </w:tc>
        <w:tc>
          <w:tcPr>
            <w:tcW w:w="47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sz w:val="18"/>
              </w:rPr>
              <w:t>25%</w:t>
            </w:r>
          </w:p>
        </w:tc>
      </w:tr>
    </w:tbl>
    <w:p>
      <w:pPr>
        <w:spacing w:after="0" w:line="240" w:lineRule="auto"/>
        <w:jc w:val="center"/>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4783"/>
        <w:gridCol w:w="4785"/>
      </w:tblGrid>
      <w:tr>
        <w:trPr>
          <w:trHeight w:val="415" w:hRule="exact"/>
        </w:trPr>
        <w:tc>
          <w:tcPr>
            <w:tcW w:w="478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武汉睿博电气有限责任公司</w:t>
            </w:r>
          </w:p>
        </w:tc>
        <w:tc>
          <w:tcPr>
            <w:tcW w:w="478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25%</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荆州市山源科技有限公司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25%</w:t>
            </w:r>
          </w:p>
        </w:tc>
      </w:tr>
      <w:tr>
        <w:trPr>
          <w:trHeight w:val="415" w:hRule="exact"/>
        </w:trPr>
        <w:tc>
          <w:tcPr>
            <w:tcW w:w="478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湖北瑞云软件科技有限公司</w:t>
            </w:r>
          </w:p>
        </w:tc>
        <w:tc>
          <w:tcPr>
            <w:tcW w:w="47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25%</w:t>
            </w:r>
          </w:p>
        </w:tc>
      </w:tr>
    </w:tbl>
    <w:p>
      <w:pPr>
        <w:spacing w:before="73"/>
        <w:ind w:left="1134" w:right="0" w:firstLine="0"/>
        <w:jc w:val="left"/>
        <w:rPr>
          <w:rFonts w:ascii="宋体" w:hAnsi="宋体" w:cs="宋体" w:eastAsia="宋体" w:hint="default"/>
          <w:sz w:val="20"/>
          <w:szCs w:val="20"/>
        </w:rPr>
      </w:pPr>
      <w:bookmarkStart w:name="2、税收优惠" w:id="216"/>
      <w:bookmarkEnd w:id="216"/>
      <w:r>
        <w:rPr/>
      </w:r>
      <w:r>
        <w:rPr>
          <w:rFonts w:ascii="宋体" w:hAnsi="宋体" w:cs="宋体" w:eastAsia="宋体" w:hint="default"/>
          <w:b/>
          <w:bCs/>
          <w:sz w:val="20"/>
          <w:szCs w:val="20"/>
        </w:rPr>
        <w:t>2</w:t>
      </w:r>
      <w:r>
        <w:rPr>
          <w:rFonts w:ascii="宋体" w:hAnsi="宋体" w:cs="宋体" w:eastAsia="宋体" w:hint="default"/>
          <w:b/>
          <w:bCs/>
          <w:sz w:val="20"/>
          <w:szCs w:val="20"/>
        </w:rPr>
        <w:t>、税收优惠</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702" w:right="0"/>
        <w:jc w:val="left"/>
      </w:pPr>
      <w:r>
        <w:rPr/>
        <w:t>企业所得税：</w:t>
      </w:r>
    </w:p>
    <w:p>
      <w:pPr>
        <w:spacing w:line="240" w:lineRule="auto" w:before="10"/>
        <w:rPr>
          <w:rFonts w:ascii="宋体" w:hAnsi="宋体" w:cs="宋体" w:eastAsia="宋体" w:hint="default"/>
          <w:sz w:val="14"/>
          <w:szCs w:val="14"/>
        </w:rPr>
      </w:pPr>
    </w:p>
    <w:p>
      <w:pPr>
        <w:pStyle w:val="BodyText"/>
        <w:spacing w:line="408" w:lineRule="auto"/>
        <w:ind w:left="1274" w:right="1132" w:firstLine="427"/>
        <w:jc w:val="both"/>
      </w:pPr>
      <w:r>
        <w:rPr/>
        <w:t>本公司于</w:t>
      </w:r>
      <w:r>
        <w:rPr>
          <w:spacing w:val="-49"/>
        </w:rPr>
        <w:t> </w:t>
      </w:r>
      <w:r>
        <w:rPr>
          <w:rFonts w:ascii="宋体" w:hAnsi="宋体" w:cs="宋体" w:eastAsia="宋体" w:hint="default"/>
        </w:rPr>
        <w:t>2014</w:t>
      </w:r>
      <w:r>
        <w:rPr>
          <w:rFonts w:ascii="宋体" w:hAnsi="宋体" w:cs="宋体" w:eastAsia="宋体" w:hint="default"/>
          <w:spacing w:val="-48"/>
        </w:rPr>
        <w:t> </w:t>
      </w:r>
      <w:r>
        <w:rPr/>
        <w:t>年</w:t>
      </w:r>
      <w:r>
        <w:rPr>
          <w:spacing w:val="-50"/>
        </w:rPr>
        <w:t> </w:t>
      </w:r>
      <w:r>
        <w:rPr>
          <w:rFonts w:ascii="宋体" w:hAnsi="宋体" w:cs="宋体" w:eastAsia="宋体" w:hint="default"/>
        </w:rPr>
        <w:t>10</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spacing w:val="-3"/>
        </w:rPr>
        <w:t>日通过高新技术企业评审，取得《高新技术企业证书》，享受高新技术企</w:t>
      </w:r>
      <w:r>
        <w:rPr/>
        <w:t> 业所得税优惠政策，有效期三年。在此期间内按</w:t>
      </w:r>
      <w:r>
        <w:rPr>
          <w:spacing w:val="-54"/>
        </w:rPr>
        <w:t> </w:t>
      </w:r>
      <w:r>
        <w:rPr>
          <w:rFonts w:ascii="宋体" w:hAnsi="宋体" w:cs="宋体" w:eastAsia="宋体" w:hint="default"/>
        </w:rPr>
        <w:t>15%</w:t>
      </w:r>
      <w:r>
        <w:rPr/>
        <w:t>的税率缴纳企业所得税。</w:t>
      </w:r>
    </w:p>
    <w:p>
      <w:pPr>
        <w:pStyle w:val="BodyText"/>
        <w:spacing w:line="408" w:lineRule="auto" w:before="46"/>
        <w:ind w:left="1274" w:right="1129" w:firstLine="427"/>
        <w:jc w:val="both"/>
      </w:pPr>
      <w:r>
        <w:rPr/>
        <w:t>本公司子公司湖北索瑞电气有限公司（以下简称“索瑞电气”或“湖北索瑞”）于</w:t>
      </w:r>
      <w:r>
        <w:rPr>
          <w:spacing w:val="-56"/>
        </w:rPr>
        <w:t> </w:t>
      </w:r>
      <w:r>
        <w:rPr>
          <w:rFonts w:ascii="宋体" w:hAnsi="宋体" w:cs="宋体" w:eastAsia="宋体" w:hint="default"/>
        </w:rPr>
        <w:t>2014</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6"/>
        </w:rPr>
        <w:t> </w:t>
      </w:r>
      <w:r>
        <w:rPr/>
        <w:t>月</w:t>
      </w:r>
      <w:r>
        <w:rPr>
          <w:spacing w:val="-58"/>
        </w:rPr>
        <w:t> </w:t>
      </w:r>
      <w:r>
        <w:rPr>
          <w:rFonts w:ascii="宋体" w:hAnsi="宋体" w:cs="宋体" w:eastAsia="宋体" w:hint="default"/>
        </w:rPr>
        <w:t>14 </w:t>
      </w:r>
      <w:r>
        <w:rPr/>
        <w:t>日通过高新技术企业评审，取得《高新技术企业证书》，享受高新技术企业所得税优惠政策，有效期三</w:t>
      </w:r>
      <w:r>
        <w:rPr>
          <w:spacing w:val="-68"/>
        </w:rPr>
        <w:t> </w:t>
      </w:r>
      <w:r>
        <w:rPr>
          <w:spacing w:val="-68"/>
        </w:rPr>
      </w:r>
      <w:r>
        <w:rPr/>
        <w:t>年。在此期间内按</w:t>
      </w:r>
      <w:r>
        <w:rPr>
          <w:spacing w:val="-54"/>
        </w:rPr>
        <w:t> </w:t>
      </w:r>
      <w:r>
        <w:rPr>
          <w:rFonts w:ascii="宋体" w:hAnsi="宋体" w:cs="宋体" w:eastAsia="宋体" w:hint="default"/>
        </w:rPr>
        <w:t>15%</w:t>
      </w:r>
      <w:r>
        <w:rPr/>
        <w:t>的税率缴纳企业所得税。</w:t>
      </w:r>
    </w:p>
    <w:p>
      <w:pPr>
        <w:pStyle w:val="BodyText"/>
        <w:spacing w:line="240" w:lineRule="auto" w:before="46"/>
        <w:ind w:left="1702" w:right="0"/>
        <w:jc w:val="left"/>
      </w:pPr>
      <w:r>
        <w:rPr/>
        <w:t>增值税：</w:t>
      </w:r>
    </w:p>
    <w:p>
      <w:pPr>
        <w:spacing w:line="240" w:lineRule="auto" w:before="10"/>
        <w:rPr>
          <w:rFonts w:ascii="宋体" w:hAnsi="宋体" w:cs="宋体" w:eastAsia="宋体" w:hint="default"/>
          <w:sz w:val="14"/>
          <w:szCs w:val="14"/>
        </w:rPr>
      </w:pPr>
    </w:p>
    <w:p>
      <w:pPr>
        <w:pStyle w:val="BodyText"/>
        <w:spacing w:line="408" w:lineRule="auto"/>
        <w:ind w:left="1274" w:right="1128" w:firstLine="427"/>
        <w:jc w:val="both"/>
      </w:pPr>
      <w:r>
        <w:rPr/>
        <w:t>公司及各子公司根据国务院</w:t>
      </w:r>
      <w:r>
        <w:rPr>
          <w:spacing w:val="-47"/>
        </w:rPr>
        <w:t> </w:t>
      </w:r>
      <w:r>
        <w:rPr>
          <w:rFonts w:ascii="宋体" w:hAnsi="宋体" w:cs="宋体" w:eastAsia="宋体" w:hint="default"/>
        </w:rPr>
        <w:t>2011</w:t>
      </w:r>
      <w:r>
        <w:rPr>
          <w:rFonts w:ascii="宋体" w:hAnsi="宋体" w:cs="宋体" w:eastAsia="宋体" w:hint="default"/>
          <w:spacing w:val="-46"/>
        </w:rPr>
        <w:t> </w:t>
      </w:r>
      <w:r>
        <w:rPr/>
        <w:t>年</w:t>
      </w:r>
      <w:r>
        <w:rPr>
          <w:spacing w:val="-47"/>
        </w:rPr>
        <w:t> </w:t>
      </w:r>
      <w:r>
        <w:rPr>
          <w:rFonts w:ascii="宋体" w:hAnsi="宋体" w:cs="宋体" w:eastAsia="宋体" w:hint="default"/>
        </w:rPr>
        <w:t>1</w:t>
      </w:r>
      <w:r>
        <w:rPr>
          <w:rFonts w:ascii="宋体" w:hAnsi="宋体" w:cs="宋体" w:eastAsia="宋体" w:hint="default"/>
          <w:spacing w:val="-46"/>
        </w:rPr>
        <w:t> </w:t>
      </w:r>
      <w:r>
        <w:rPr/>
        <w:t>月</w:t>
      </w:r>
      <w:r>
        <w:rPr>
          <w:spacing w:val="-47"/>
        </w:rPr>
        <w:t> </w:t>
      </w:r>
      <w:r>
        <w:rPr>
          <w:rFonts w:ascii="宋体" w:hAnsi="宋体" w:cs="宋体" w:eastAsia="宋体" w:hint="default"/>
        </w:rPr>
        <w:t>28</w:t>
      </w:r>
      <w:r>
        <w:rPr>
          <w:rFonts w:ascii="宋体" w:hAnsi="宋体" w:cs="宋体" w:eastAsia="宋体" w:hint="default"/>
          <w:spacing w:val="-46"/>
        </w:rPr>
        <w:t> </w:t>
      </w:r>
      <w:r>
        <w:rPr/>
        <w:t>日下发的《国务院关于印发进一步鼓励软件产业和集成 电路产业发展若干政策的通知》国发</w:t>
      </w:r>
      <w:r>
        <w:rPr>
          <w:rFonts w:ascii="宋体" w:hAnsi="宋体" w:cs="宋体" w:eastAsia="宋体" w:hint="default"/>
        </w:rPr>
        <w:t>[2011]4</w:t>
      </w:r>
      <w:r>
        <w:rPr>
          <w:rFonts w:ascii="宋体" w:hAnsi="宋体" w:cs="宋体" w:eastAsia="宋体" w:hint="default"/>
          <w:spacing w:val="36"/>
        </w:rPr>
        <w:t> </w:t>
      </w:r>
      <w:r>
        <w:rPr/>
        <w:t>号文件，对增值税一般纳税人销售其自行开发生产的软件</w:t>
      </w:r>
      <w:r>
        <w:rPr>
          <w:spacing w:val="-100"/>
        </w:rPr>
        <w:t> </w:t>
      </w:r>
      <w:r>
        <w:rPr>
          <w:spacing w:val="-8"/>
        </w:rPr>
        <w:t>产品，按</w:t>
      </w:r>
      <w:r>
        <w:rPr>
          <w:spacing w:val="-66"/>
        </w:rPr>
        <w:t> </w:t>
      </w:r>
      <w:r>
        <w:rPr>
          <w:rFonts w:ascii="宋体" w:hAnsi="宋体" w:cs="宋体" w:eastAsia="宋体" w:hint="default"/>
        </w:rPr>
        <w:t>17%</w:t>
      </w:r>
      <w:r>
        <w:rPr/>
        <w:t>的法定税率征收增值税后，对其增值税实际税负超过</w:t>
      </w:r>
      <w:r>
        <w:rPr>
          <w:spacing w:val="-66"/>
        </w:rPr>
        <w:t> </w:t>
      </w:r>
      <w:r>
        <w:rPr>
          <w:rFonts w:ascii="宋体" w:hAnsi="宋体" w:cs="宋体" w:eastAsia="宋体" w:hint="default"/>
        </w:rPr>
        <w:t>3</w:t>
      </w:r>
      <w:r>
        <w:rPr/>
        <w:t>％的部分实行即征即退的增值税优惠 政策。</w:t>
      </w:r>
    </w:p>
    <w:p>
      <w:pPr>
        <w:spacing w:before="56"/>
        <w:ind w:left="1133" w:right="0" w:firstLine="0"/>
        <w:jc w:val="left"/>
        <w:rPr>
          <w:rFonts w:ascii="宋体" w:hAnsi="宋体" w:cs="宋体" w:eastAsia="宋体" w:hint="default"/>
          <w:sz w:val="20"/>
          <w:szCs w:val="20"/>
        </w:rPr>
      </w:pPr>
      <w:bookmarkStart w:name="3、其他" w:id="217"/>
      <w:bookmarkEnd w:id="217"/>
      <w:r>
        <w:rPr/>
      </w:r>
      <w:r>
        <w:rPr>
          <w:rFonts w:ascii="宋体" w:hAnsi="宋体" w:cs="宋体" w:eastAsia="宋体" w:hint="default"/>
          <w:b/>
          <w:bCs/>
          <w:sz w:val="20"/>
          <w:szCs w:val="20"/>
        </w:rPr>
        <w:t>3</w:t>
      </w:r>
      <w:r>
        <w:rPr>
          <w:rFonts w:ascii="宋体" w:hAnsi="宋体" w:cs="宋体" w:eastAsia="宋体" w:hint="default"/>
          <w:b/>
          <w:bCs/>
          <w:sz w:val="20"/>
          <w:szCs w:val="20"/>
        </w:rPr>
        <w:t>、其他</w:t>
      </w:r>
      <w:r>
        <w:rPr>
          <w:rFonts w:ascii="宋体" w:hAnsi="宋体" w:cs="宋体" w:eastAsia="宋体" w:hint="default"/>
          <w:sz w:val="20"/>
          <w:szCs w:val="20"/>
        </w:rPr>
      </w:r>
    </w:p>
    <w:p>
      <w:pPr>
        <w:spacing w:line="240" w:lineRule="auto" w:before="5"/>
        <w:rPr>
          <w:rFonts w:ascii="宋体" w:hAnsi="宋体" w:cs="宋体" w:eastAsia="宋体" w:hint="default"/>
          <w:b/>
          <w:bCs/>
          <w:sz w:val="16"/>
          <w:szCs w:val="16"/>
        </w:rPr>
      </w:pPr>
    </w:p>
    <w:p>
      <w:pPr>
        <w:pStyle w:val="Heading2"/>
        <w:spacing w:line="240" w:lineRule="auto" w:before="0"/>
        <w:ind w:right="0"/>
        <w:jc w:val="left"/>
        <w:rPr>
          <w:b w:val="0"/>
          <w:bCs w:val="0"/>
        </w:rPr>
      </w:pPr>
      <w:bookmarkStart w:name="七、合并财务报表项目注释" w:id="218"/>
      <w:bookmarkEnd w:id="218"/>
      <w:r>
        <w:rPr>
          <w:b w:val="0"/>
          <w:bCs w:val="0"/>
        </w:rPr>
      </w:r>
      <w:r>
        <w:rPr/>
        <w:t>七、合并财务报表项目注释</w:t>
      </w:r>
      <w:r>
        <w:rPr>
          <w:b w:val="0"/>
          <w:bCs w:val="0"/>
        </w:rPr>
      </w:r>
    </w:p>
    <w:p>
      <w:pPr>
        <w:spacing w:before="151"/>
        <w:ind w:left="1133" w:right="0" w:firstLine="0"/>
        <w:jc w:val="left"/>
        <w:rPr>
          <w:rFonts w:ascii="宋体" w:hAnsi="宋体" w:cs="宋体" w:eastAsia="宋体" w:hint="default"/>
          <w:sz w:val="20"/>
          <w:szCs w:val="20"/>
        </w:rPr>
      </w:pPr>
      <w:bookmarkStart w:name="1、货币资金" w:id="219"/>
      <w:bookmarkEnd w:id="219"/>
      <w:r>
        <w:rPr/>
      </w:r>
      <w:r>
        <w:rPr>
          <w:rFonts w:ascii="宋体" w:hAnsi="宋体" w:cs="宋体" w:eastAsia="宋体" w:hint="default"/>
          <w:b/>
          <w:bCs/>
          <w:sz w:val="20"/>
          <w:szCs w:val="20"/>
        </w:rPr>
        <w:t>1</w:t>
      </w:r>
      <w:r>
        <w:rPr>
          <w:rFonts w:ascii="宋体" w:hAnsi="宋体" w:cs="宋体" w:eastAsia="宋体" w:hint="default"/>
          <w:b/>
          <w:bCs/>
          <w:sz w:val="20"/>
          <w:szCs w:val="20"/>
        </w:rPr>
        <w:t>、货币资金</w:t>
      </w:r>
      <w:r>
        <w:rPr>
          <w:rFonts w:ascii="宋体" w:hAnsi="宋体" w:cs="宋体" w:eastAsia="宋体" w:hint="default"/>
          <w:sz w:val="20"/>
          <w:szCs w:val="20"/>
        </w:rPr>
      </w:r>
    </w:p>
    <w:p>
      <w:pPr>
        <w:spacing w:line="240" w:lineRule="auto" w:before="4"/>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3173"/>
        <w:gridCol w:w="3201"/>
        <w:gridCol w:w="3189"/>
      </w:tblGrid>
      <w:tr>
        <w:trPr>
          <w:trHeight w:val="415" w:hRule="exact"/>
        </w:trPr>
        <w:tc>
          <w:tcPr>
            <w:tcW w:w="317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214,817.58</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161,167.83</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192,620,443.87</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354,415,297.20</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18,830,642.31</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22,088,921.07</w:t>
            </w:r>
          </w:p>
        </w:tc>
      </w:tr>
      <w:tr>
        <w:trPr>
          <w:trHeight w:val="416" w:hRule="exact"/>
        </w:trPr>
        <w:tc>
          <w:tcPr>
            <w:tcW w:w="31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211,665,903.76</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376,665,386.10</w:t>
            </w:r>
          </w:p>
        </w:tc>
      </w:tr>
    </w:tbl>
    <w:p>
      <w:pPr>
        <w:pStyle w:val="BodyText"/>
        <w:spacing w:line="240" w:lineRule="auto" w:before="63"/>
        <w:ind w:left="1134" w:right="0"/>
        <w:jc w:val="left"/>
      </w:pPr>
      <w:r>
        <w:rPr/>
        <w:t>其他说明</w:t>
      </w:r>
    </w:p>
    <w:p>
      <w:pPr>
        <w:spacing w:line="240" w:lineRule="auto" w:before="10"/>
        <w:rPr>
          <w:rFonts w:ascii="宋体" w:hAnsi="宋体" w:cs="宋体" w:eastAsia="宋体" w:hint="default"/>
          <w:sz w:val="14"/>
          <w:szCs w:val="14"/>
        </w:rPr>
      </w:pPr>
    </w:p>
    <w:p>
      <w:pPr>
        <w:pStyle w:val="BodyText"/>
        <w:spacing w:line="408" w:lineRule="auto"/>
        <w:ind w:right="1116" w:firstLine="315"/>
        <w:jc w:val="left"/>
      </w:pP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日其他货币资金</w:t>
      </w:r>
      <w:r>
        <w:rPr>
          <w:rFonts w:ascii="宋体" w:hAnsi="宋体" w:cs="宋体" w:eastAsia="宋体" w:hint="default"/>
        </w:rPr>
        <w:t>18,830,642.31</w:t>
      </w:r>
      <w:r>
        <w:rPr/>
        <w:t>元，其中银行承兑汇票保证金</w:t>
      </w:r>
      <w:r>
        <w:rPr>
          <w:rFonts w:ascii="宋体" w:hAnsi="宋体" w:cs="宋体" w:eastAsia="宋体" w:hint="default"/>
        </w:rPr>
        <w:t>11,581,005.16</w:t>
      </w:r>
      <w:r>
        <w:rPr/>
        <w:t>元，履约保 </w:t>
      </w:r>
      <w:r>
        <w:rPr>
          <w:spacing w:val="-1"/>
        </w:rPr>
        <w:t>函保证金</w:t>
      </w:r>
      <w:r>
        <w:rPr>
          <w:rFonts w:ascii="宋体" w:hAnsi="宋体" w:cs="宋体" w:eastAsia="宋体" w:hint="default"/>
          <w:spacing w:val="-1"/>
        </w:rPr>
        <w:t>7,249,637.15</w:t>
      </w:r>
      <w:r>
        <w:rPr>
          <w:spacing w:val="-1"/>
        </w:rPr>
        <w:t>元；货币资金减少</w:t>
      </w:r>
      <w:r>
        <w:rPr>
          <w:rFonts w:ascii="宋体" w:hAnsi="宋体" w:cs="宋体" w:eastAsia="宋体" w:hint="default"/>
          <w:spacing w:val="-1"/>
        </w:rPr>
        <w:t>164,999,482.34</w:t>
      </w:r>
      <w:r>
        <w:rPr>
          <w:spacing w:val="-1"/>
        </w:rPr>
        <w:t>元，主要原因为本期支付股权转让款及对外投资</w:t>
      </w:r>
      <w:r>
        <w:rPr>
          <w:spacing w:val="-70"/>
        </w:rPr>
        <w:t> </w:t>
      </w:r>
      <w:r>
        <w:rPr>
          <w:spacing w:val="-70"/>
        </w:rPr>
      </w:r>
      <w:r>
        <w:rPr/>
        <w:t>所致。</w:t>
      </w:r>
    </w:p>
    <w:p>
      <w:pPr>
        <w:spacing w:before="56"/>
        <w:ind w:left="1133" w:right="0" w:firstLine="0"/>
        <w:jc w:val="left"/>
        <w:rPr>
          <w:rFonts w:ascii="宋体" w:hAnsi="宋体" w:cs="宋体" w:eastAsia="宋体" w:hint="default"/>
          <w:sz w:val="20"/>
          <w:szCs w:val="20"/>
        </w:rPr>
      </w:pPr>
      <w:bookmarkStart w:name="2、以公允价值计量且其变动计入当期损益的金融资产" w:id="220"/>
      <w:bookmarkEnd w:id="220"/>
      <w:r>
        <w:rPr/>
      </w:r>
      <w:r>
        <w:rPr>
          <w:rFonts w:ascii="宋体" w:hAnsi="宋体" w:cs="宋体" w:eastAsia="宋体" w:hint="default"/>
          <w:b/>
          <w:bCs/>
          <w:sz w:val="20"/>
          <w:szCs w:val="20"/>
        </w:rPr>
        <w:t>2</w:t>
      </w:r>
      <w:r>
        <w:rPr>
          <w:rFonts w:ascii="宋体" w:hAnsi="宋体" w:cs="宋体" w:eastAsia="宋体" w:hint="default"/>
          <w:b/>
          <w:bCs/>
          <w:sz w:val="20"/>
          <w:szCs w:val="20"/>
        </w:rPr>
        <w:t>、以公允价值计量且其变动计入当期损益的金融资产</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3" w:right="0" w:firstLine="0"/>
        <w:jc w:val="left"/>
        <w:rPr>
          <w:rFonts w:ascii="宋体" w:hAnsi="宋体" w:cs="宋体" w:eastAsia="宋体" w:hint="default"/>
          <w:sz w:val="20"/>
          <w:szCs w:val="20"/>
        </w:rPr>
      </w:pPr>
      <w:bookmarkStart w:name="3、衍生金融资产" w:id="221"/>
      <w:bookmarkEnd w:id="221"/>
      <w:r>
        <w:rPr/>
      </w:r>
      <w:r>
        <w:rPr>
          <w:rFonts w:ascii="宋体" w:hAnsi="宋体" w:cs="宋体" w:eastAsia="宋体" w:hint="default"/>
          <w:b/>
          <w:bCs/>
          <w:sz w:val="20"/>
          <w:szCs w:val="20"/>
        </w:rPr>
        <w:t>3</w:t>
      </w:r>
      <w:r>
        <w:rPr>
          <w:rFonts w:ascii="宋体" w:hAnsi="宋体" w:cs="宋体" w:eastAsia="宋体" w:hint="default"/>
          <w:b/>
          <w:bCs/>
          <w:sz w:val="20"/>
          <w:szCs w:val="20"/>
        </w:rPr>
        <w:t>、衍生金融资产</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4、应收票据" w:id="222"/>
      <w:bookmarkEnd w:id="222"/>
      <w:r>
        <w:rPr/>
      </w:r>
      <w:r>
        <w:rPr>
          <w:rFonts w:ascii="宋体" w:hAnsi="宋体" w:cs="宋体" w:eastAsia="宋体" w:hint="default"/>
          <w:b/>
          <w:bCs/>
          <w:sz w:val="20"/>
          <w:szCs w:val="20"/>
        </w:rPr>
        <w:t>4</w:t>
      </w:r>
      <w:r>
        <w:rPr>
          <w:rFonts w:ascii="宋体" w:hAnsi="宋体" w:cs="宋体" w:eastAsia="宋体" w:hint="default"/>
          <w:b/>
          <w:bCs/>
          <w:sz w:val="20"/>
          <w:szCs w:val="20"/>
        </w:rPr>
        <w:t>、应收票据</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应收票据分类列示" w:id="223"/>
      <w:bookmarkEnd w:id="223"/>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）应收票据分类列示</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173"/>
        <w:gridCol w:w="3201"/>
        <w:gridCol w:w="3189"/>
      </w:tblGrid>
      <w:tr>
        <w:trPr>
          <w:trHeight w:val="413" w:hRule="exact"/>
        </w:trPr>
        <w:tc>
          <w:tcPr>
            <w:tcW w:w="317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27,558,737.36</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7,850,720.00</w:t>
            </w:r>
          </w:p>
        </w:tc>
      </w:tr>
      <w:tr>
        <w:trPr>
          <w:trHeight w:val="408"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6" w:space="0" w:color="000000"/>
              <w:left w:val="single" w:sz="9" w:space="0" w:color="D2D2D2"/>
              <w:bottom w:val="single" w:sz="6" w:space="0" w:color="000000"/>
              <w:right w:val="single" w:sz="6" w:space="0" w:color="000000"/>
            </w:tcBorders>
          </w:tcPr>
          <w:p>
            <w:pP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600,000.00</w:t>
            </w:r>
          </w:p>
        </w:tc>
      </w:tr>
      <w:tr>
        <w:trPr>
          <w:trHeight w:val="415" w:hRule="exact"/>
        </w:trPr>
        <w:tc>
          <w:tcPr>
            <w:tcW w:w="31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27,558,737.36</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8,450,720.00</w:t>
            </w:r>
          </w:p>
        </w:tc>
      </w:tr>
    </w:tbl>
    <w:p>
      <w:pPr>
        <w:spacing w:before="72"/>
        <w:ind w:left="1134" w:right="0" w:firstLine="0"/>
        <w:jc w:val="left"/>
        <w:rPr>
          <w:rFonts w:ascii="宋体" w:hAnsi="宋体" w:cs="宋体" w:eastAsia="宋体" w:hint="default"/>
          <w:sz w:val="20"/>
          <w:szCs w:val="20"/>
        </w:rPr>
      </w:pPr>
      <w:bookmarkStart w:name="（2）期末公司已质押的应收票据" w:id="224"/>
      <w:bookmarkEnd w:id="224"/>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）期末公司已质押的应收票据</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4768"/>
        <w:gridCol w:w="4794"/>
      </w:tblGrid>
      <w:tr>
        <w:trPr>
          <w:trHeight w:val="415" w:hRule="exact"/>
        </w:trPr>
        <w:tc>
          <w:tcPr>
            <w:tcW w:w="476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193"/>
              <w:jc w:val="right"/>
              <w:rPr>
                <w:rFonts w:ascii="宋体" w:hAnsi="宋体" w:cs="宋体" w:eastAsia="宋体" w:hint="default"/>
                <w:sz w:val="18"/>
                <w:szCs w:val="18"/>
              </w:rPr>
            </w:pPr>
            <w:r>
              <w:rPr>
                <w:rFonts w:ascii="宋体" w:hAnsi="宋体" w:cs="宋体" w:eastAsia="宋体" w:hint="default"/>
                <w:sz w:val="18"/>
                <w:szCs w:val="18"/>
              </w:rPr>
              <w:t>项目</w:t>
            </w:r>
          </w:p>
        </w:tc>
        <w:tc>
          <w:tcPr>
            <w:tcW w:w="47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7" w:hRule="exact"/>
        </w:trPr>
        <w:tc>
          <w:tcPr>
            <w:tcW w:w="47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15,822,356.12</w:t>
            </w:r>
          </w:p>
        </w:tc>
      </w:tr>
      <w:tr>
        <w:trPr>
          <w:trHeight w:val="414" w:hRule="exact"/>
        </w:trPr>
        <w:tc>
          <w:tcPr>
            <w:tcW w:w="476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2193"/>
              <w:jc w:val="righ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15,822,356.12</w:t>
            </w:r>
          </w:p>
        </w:tc>
      </w:tr>
    </w:tbl>
    <w:p>
      <w:pPr>
        <w:spacing w:before="72"/>
        <w:ind w:left="1134" w:right="0" w:firstLine="0"/>
        <w:jc w:val="left"/>
        <w:rPr>
          <w:rFonts w:ascii="宋体" w:hAnsi="宋体" w:cs="宋体" w:eastAsia="宋体" w:hint="default"/>
          <w:sz w:val="20"/>
          <w:szCs w:val="20"/>
        </w:rPr>
      </w:pPr>
      <w:bookmarkStart w:name="（3）期末公司已背书或贴现且在资产负债表日尚未到期的应收票据" w:id="225"/>
      <w:bookmarkEnd w:id="225"/>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）期末公司已背书或贴现且在资产负债表日尚未到期的应收票据</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173"/>
        <w:gridCol w:w="3201"/>
        <w:gridCol w:w="3189"/>
      </w:tblGrid>
      <w:tr>
        <w:trPr>
          <w:trHeight w:val="415" w:hRule="exact"/>
        </w:trPr>
        <w:tc>
          <w:tcPr>
            <w:tcW w:w="317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20,396,668.14</w:t>
            </w:r>
          </w:p>
        </w:tc>
        <w:tc>
          <w:tcPr>
            <w:tcW w:w="3189"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20,396,668.14</w:t>
            </w:r>
          </w:p>
        </w:tc>
        <w:tc>
          <w:tcPr>
            <w:tcW w:w="3189" w:type="dxa"/>
            <w:tcBorders>
              <w:top w:val="single" w:sz="6" w:space="0" w:color="000000"/>
              <w:left w:val="single" w:sz="6" w:space="0" w:color="000000"/>
              <w:bottom w:val="single" w:sz="12" w:space="0" w:color="000000"/>
              <w:right w:val="single" w:sz="12" w:space="0" w:color="000000"/>
            </w:tcBorders>
          </w:tcPr>
          <w:p>
            <w:pPr/>
          </w:p>
        </w:tc>
      </w:tr>
    </w:tbl>
    <w:p>
      <w:pPr>
        <w:spacing w:before="72"/>
        <w:ind w:left="1134" w:right="0" w:firstLine="0"/>
        <w:jc w:val="left"/>
        <w:rPr>
          <w:rFonts w:ascii="宋体" w:hAnsi="宋体" w:cs="宋体" w:eastAsia="宋体" w:hint="default"/>
          <w:sz w:val="20"/>
          <w:szCs w:val="20"/>
        </w:rPr>
      </w:pPr>
      <w:bookmarkStart w:name="（4）期末公司因出票人未履约而将其转应收账款的票据" w:id="226"/>
      <w:bookmarkEnd w:id="226"/>
      <w:r>
        <w:rPr/>
      </w: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）期末公司因出票人未履约而将其转应收账款的票据</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134" w:right="8968"/>
        <w:jc w:val="left"/>
      </w:pPr>
      <w:r>
        <w:rPr/>
        <w:t>□ 适用 √</w:t>
      </w:r>
      <w:r>
        <w:rPr>
          <w:spacing w:val="-1"/>
        </w:rPr>
        <w:t> </w:t>
      </w:r>
      <w:r>
        <w:rPr/>
        <w:t>不适用</w:t>
      </w:r>
      <w:r>
        <w:rPr/>
        <w:t> 其他说明</w:t>
      </w:r>
    </w:p>
    <w:p>
      <w:pPr>
        <w:pStyle w:val="BodyText"/>
        <w:spacing w:line="408" w:lineRule="auto" w:before="46"/>
        <w:ind w:left="1134" w:right="1118" w:firstLine="420"/>
        <w:jc w:val="left"/>
      </w:pPr>
      <w:r>
        <w:rPr/>
        <w:t>应收票据年末数比年初数增加</w:t>
      </w:r>
      <w:r>
        <w:rPr>
          <w:spacing w:val="-44"/>
        </w:rPr>
        <w:t> </w:t>
      </w:r>
      <w:r>
        <w:rPr>
          <w:rFonts w:ascii="宋体" w:hAnsi="宋体" w:cs="宋体" w:eastAsia="宋体" w:hint="default"/>
        </w:rPr>
        <w:t>19,108,017.36</w:t>
      </w:r>
      <w:r>
        <w:rPr>
          <w:rFonts w:ascii="宋体" w:hAnsi="宋体" w:cs="宋体" w:eastAsia="宋体" w:hint="default"/>
          <w:spacing w:val="-43"/>
        </w:rPr>
        <w:t> </w:t>
      </w:r>
      <w:r>
        <w:rPr/>
        <w:t>元，增加比例</w:t>
      </w:r>
      <w:r>
        <w:rPr>
          <w:spacing w:val="-44"/>
        </w:rPr>
        <w:t> </w:t>
      </w:r>
      <w:r>
        <w:rPr>
          <w:rFonts w:ascii="宋体" w:hAnsi="宋体" w:cs="宋体" w:eastAsia="宋体" w:hint="default"/>
        </w:rPr>
        <w:t>226.11%</w:t>
      </w:r>
      <w:r>
        <w:rPr/>
        <w:t>，主要原因为期末收到客户开具 的票据增加。</w:t>
      </w:r>
    </w:p>
    <w:p>
      <w:pPr>
        <w:spacing w:before="55"/>
        <w:ind w:left="1134" w:right="0" w:firstLine="0"/>
        <w:jc w:val="left"/>
        <w:rPr>
          <w:rFonts w:ascii="宋体" w:hAnsi="宋体" w:cs="宋体" w:eastAsia="宋体" w:hint="default"/>
          <w:sz w:val="20"/>
          <w:szCs w:val="20"/>
        </w:rPr>
      </w:pPr>
      <w:bookmarkStart w:name="5、应收账款" w:id="227"/>
      <w:bookmarkEnd w:id="227"/>
      <w:r>
        <w:rPr/>
      </w:r>
      <w:r>
        <w:rPr>
          <w:rFonts w:ascii="宋体" w:hAnsi="宋体" w:cs="宋体" w:eastAsia="宋体" w:hint="default"/>
          <w:b/>
          <w:bCs/>
          <w:sz w:val="20"/>
          <w:szCs w:val="20"/>
        </w:rPr>
        <w:t>5</w:t>
      </w:r>
      <w:r>
        <w:rPr>
          <w:rFonts w:ascii="宋体" w:hAnsi="宋体" w:cs="宋体" w:eastAsia="宋体" w:hint="default"/>
          <w:b/>
          <w:bCs/>
          <w:sz w:val="20"/>
          <w:szCs w:val="20"/>
        </w:rPr>
        <w:t>、应收账款</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应收账款分类披露" w:id="228"/>
      <w:bookmarkEnd w:id="228"/>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）应收账款分类披露</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38" w:type="dxa"/>
        <w:tblLayout w:type="fixed"/>
        <w:tblCellMar>
          <w:top w:w="0" w:type="dxa"/>
          <w:left w:w="0" w:type="dxa"/>
          <w:bottom w:w="0" w:type="dxa"/>
          <w:right w:w="0" w:type="dxa"/>
        </w:tblCellMar>
        <w:tblLook w:val="01E0"/>
      </w:tblPr>
      <w:tblGrid>
        <w:gridCol w:w="719"/>
        <w:gridCol w:w="1404"/>
        <w:gridCol w:w="762"/>
        <w:gridCol w:w="1236"/>
        <w:gridCol w:w="568"/>
        <w:gridCol w:w="1416"/>
        <w:gridCol w:w="1418"/>
        <w:gridCol w:w="708"/>
        <w:gridCol w:w="1242"/>
        <w:gridCol w:w="568"/>
        <w:gridCol w:w="1364"/>
      </w:tblGrid>
      <w:tr>
        <w:trPr>
          <w:trHeight w:val="335" w:hRule="exact"/>
        </w:trPr>
        <w:tc>
          <w:tcPr>
            <w:tcW w:w="719" w:type="dxa"/>
            <w:vMerge w:val="restart"/>
            <w:tcBorders>
              <w:top w:val="single" w:sz="12" w:space="0" w:color="000000"/>
              <w:left w:val="single" w:sz="12" w:space="0" w:color="000000"/>
              <w:right w:val="single" w:sz="6" w:space="0" w:color="000000"/>
            </w:tcBorders>
            <w:shd w:val="clear" w:color="auto" w:fill="D2D2D2"/>
          </w:tcPr>
          <w:p>
            <w:pPr/>
          </w:p>
        </w:tc>
        <w:tc>
          <w:tcPr>
            <w:tcW w:w="5386" w:type="dxa"/>
            <w:gridSpan w:val="5"/>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301"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3" w:hRule="exact"/>
        </w:trPr>
        <w:tc>
          <w:tcPr>
            <w:tcW w:w="719" w:type="dxa"/>
            <w:vMerge/>
            <w:tcBorders>
              <w:left w:val="single" w:sz="12" w:space="0" w:color="000000"/>
              <w:bottom w:val="nil" w:sz="6" w:space="0" w:color="auto"/>
              <w:right w:val="single" w:sz="6" w:space="0" w:color="000000"/>
            </w:tcBorders>
            <w:shd w:val="clear" w:color="auto" w:fill="D2D2D2"/>
          </w:tcPr>
          <w:p>
            <w:pPr/>
          </w:p>
        </w:tc>
        <w:tc>
          <w:tcPr>
            <w:tcW w:w="216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left="7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04"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left="53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6" w:type="dxa"/>
            <w:vMerge w:val="restart"/>
            <w:tcBorders>
              <w:top w:val="single" w:sz="6" w:space="0" w:color="000000"/>
              <w:left w:val="single" w:sz="6" w:space="0" w:color="000000"/>
              <w:right w:val="single" w:sz="6" w:space="0" w:color="000000"/>
            </w:tcBorders>
            <w:shd w:val="clear" w:color="auto" w:fill="D2D2D2"/>
          </w:tcPr>
          <w:p>
            <w:pPr/>
          </w:p>
        </w:tc>
        <w:tc>
          <w:tcPr>
            <w:tcW w:w="212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left="6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1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left="5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4"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10"/>
              <w:ind w:left="31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4" w:hRule="exact"/>
        </w:trPr>
        <w:tc>
          <w:tcPr>
            <w:tcW w:w="719"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11"/>
              <w:ind w:left="16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166" w:type="dxa"/>
            <w:gridSpan w:val="2"/>
            <w:vMerge/>
            <w:tcBorders>
              <w:left w:val="single" w:sz="6" w:space="0" w:color="000000"/>
              <w:bottom w:val="single" w:sz="6" w:space="0" w:color="000000"/>
              <w:right w:val="single" w:sz="6" w:space="0" w:color="000000"/>
            </w:tcBorders>
            <w:shd w:val="clear" w:color="auto" w:fill="D2D2D2"/>
          </w:tcPr>
          <w:p>
            <w:pPr/>
          </w:p>
        </w:tc>
        <w:tc>
          <w:tcPr>
            <w:tcW w:w="1804" w:type="dxa"/>
            <w:gridSpan w:val="2"/>
            <w:vMerge/>
            <w:tcBorders>
              <w:left w:val="single" w:sz="6" w:space="0" w:color="000000"/>
              <w:bottom w:val="single" w:sz="6" w:space="0" w:color="000000"/>
              <w:right w:val="single" w:sz="6" w:space="0" w:color="000000"/>
            </w:tcBorders>
            <w:shd w:val="clear" w:color="auto" w:fill="D2D2D2"/>
          </w:tcPr>
          <w:p>
            <w:pPr/>
          </w:p>
        </w:tc>
        <w:tc>
          <w:tcPr>
            <w:tcW w:w="1416" w:type="dxa"/>
            <w:vMerge/>
            <w:tcBorders>
              <w:left w:val="single" w:sz="6" w:space="0" w:color="000000"/>
              <w:bottom w:val="nil" w:sz="6" w:space="0" w:color="auto"/>
              <w:right w:val="single" w:sz="6" w:space="0" w:color="000000"/>
            </w:tcBorders>
            <w:shd w:val="clear" w:color="auto" w:fill="D2D2D2"/>
          </w:tcPr>
          <w:p>
            <w:pPr/>
          </w:p>
        </w:tc>
        <w:tc>
          <w:tcPr>
            <w:tcW w:w="2127" w:type="dxa"/>
            <w:gridSpan w:val="2"/>
            <w:vMerge/>
            <w:tcBorders>
              <w:left w:val="single" w:sz="6" w:space="0" w:color="000000"/>
              <w:bottom w:val="single" w:sz="6" w:space="0" w:color="000000"/>
              <w:right w:val="single" w:sz="6" w:space="0" w:color="000000"/>
            </w:tcBorders>
            <w:shd w:val="clear" w:color="auto" w:fill="D2D2D2"/>
          </w:tcPr>
          <w:p>
            <w:pPr/>
          </w:p>
        </w:tc>
        <w:tc>
          <w:tcPr>
            <w:tcW w:w="1810" w:type="dxa"/>
            <w:gridSpan w:val="2"/>
            <w:vMerge/>
            <w:tcBorders>
              <w:left w:val="single" w:sz="6" w:space="0" w:color="000000"/>
              <w:bottom w:val="single" w:sz="6" w:space="0" w:color="000000"/>
              <w:right w:val="single" w:sz="6" w:space="0" w:color="000000"/>
            </w:tcBorders>
            <w:shd w:val="clear" w:color="auto" w:fill="D2D2D2"/>
          </w:tcPr>
          <w:p>
            <w:pPr/>
          </w:p>
        </w:tc>
        <w:tc>
          <w:tcPr>
            <w:tcW w:w="1364" w:type="dxa"/>
            <w:vMerge/>
            <w:tcBorders>
              <w:left w:val="single" w:sz="6" w:space="0" w:color="000000"/>
              <w:bottom w:val="single" w:sz="6" w:space="0" w:color="000000"/>
              <w:right w:val="single" w:sz="12" w:space="0" w:color="000000"/>
            </w:tcBorders>
            <w:shd w:val="clear" w:color="auto" w:fill="D2D2D2"/>
          </w:tcPr>
          <w:p>
            <w:pPr/>
          </w:p>
        </w:tc>
      </w:tr>
      <w:tr>
        <w:trPr>
          <w:trHeight w:val="164" w:hRule="exact"/>
        </w:trPr>
        <w:tc>
          <w:tcPr>
            <w:tcW w:w="719" w:type="dxa"/>
            <w:vMerge/>
            <w:tcBorders>
              <w:left w:val="single" w:sz="12" w:space="0" w:color="000000"/>
              <w:bottom w:val="nil" w:sz="6" w:space="0" w:color="auto"/>
              <w:right w:val="single" w:sz="6" w:space="0" w:color="000000"/>
            </w:tcBorders>
            <w:shd w:val="clear" w:color="auto" w:fill="D2D2D2"/>
          </w:tcPr>
          <w:p>
            <w:pPr/>
          </w:p>
        </w:tc>
        <w:tc>
          <w:tcPr>
            <w:tcW w:w="1404" w:type="dxa"/>
            <w:tcBorders>
              <w:top w:val="single" w:sz="6" w:space="0" w:color="000000"/>
              <w:left w:val="single" w:sz="6" w:space="0" w:color="000000"/>
              <w:bottom w:val="nil" w:sz="6" w:space="0" w:color="auto"/>
              <w:right w:val="single" w:sz="6" w:space="0" w:color="000000"/>
            </w:tcBorders>
            <w:shd w:val="clear" w:color="auto" w:fill="D2D2D2"/>
          </w:tcPr>
          <w:p>
            <w:pPr/>
          </w:p>
        </w:tc>
        <w:tc>
          <w:tcPr>
            <w:tcW w:w="762" w:type="dxa"/>
            <w:tcBorders>
              <w:top w:val="single" w:sz="6" w:space="0" w:color="000000"/>
              <w:left w:val="single" w:sz="6" w:space="0" w:color="000000"/>
              <w:bottom w:val="nil" w:sz="6" w:space="0" w:color="auto"/>
              <w:right w:val="single" w:sz="6" w:space="0" w:color="000000"/>
            </w:tcBorders>
            <w:shd w:val="clear" w:color="auto" w:fill="D2D2D2"/>
          </w:tcPr>
          <w:p>
            <w:pPr/>
          </w:p>
        </w:tc>
        <w:tc>
          <w:tcPr>
            <w:tcW w:w="1236" w:type="dxa"/>
            <w:tcBorders>
              <w:top w:val="single" w:sz="6" w:space="0" w:color="000000"/>
              <w:left w:val="single" w:sz="6" w:space="0" w:color="000000"/>
              <w:bottom w:val="nil" w:sz="6" w:space="0" w:color="auto"/>
              <w:right w:val="single" w:sz="6" w:space="0" w:color="000000"/>
            </w:tcBorders>
            <w:shd w:val="clear" w:color="auto" w:fill="D2D2D2"/>
          </w:tcPr>
          <w:p>
            <w:pPr/>
          </w:p>
        </w:tc>
        <w:tc>
          <w:tcPr>
            <w:tcW w:w="568"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1"/>
              <w:ind w:left="95" w:right="95"/>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41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8" w:type="dxa"/>
            <w:tcBorders>
              <w:top w:val="single" w:sz="6" w:space="0" w:color="000000"/>
              <w:left w:val="single" w:sz="6" w:space="0" w:color="000000"/>
              <w:bottom w:val="nil" w:sz="6" w:space="0" w:color="auto"/>
              <w:right w:val="single" w:sz="6" w:space="0" w:color="000000"/>
            </w:tcBorders>
            <w:shd w:val="clear" w:color="auto" w:fill="D2D2D2"/>
          </w:tcPr>
          <w:p>
            <w:pPr/>
          </w:p>
        </w:tc>
        <w:tc>
          <w:tcPr>
            <w:tcW w:w="708" w:type="dxa"/>
            <w:tcBorders>
              <w:top w:val="single" w:sz="6" w:space="0" w:color="000000"/>
              <w:left w:val="single" w:sz="6" w:space="0" w:color="000000"/>
              <w:bottom w:val="nil" w:sz="6" w:space="0" w:color="auto"/>
              <w:right w:val="single" w:sz="6" w:space="0" w:color="000000"/>
            </w:tcBorders>
            <w:shd w:val="clear" w:color="auto" w:fill="D2D2D2"/>
          </w:tcPr>
          <w:p>
            <w:pPr/>
          </w:p>
        </w:tc>
        <w:tc>
          <w:tcPr>
            <w:tcW w:w="1242" w:type="dxa"/>
            <w:tcBorders>
              <w:top w:val="single" w:sz="6" w:space="0" w:color="000000"/>
              <w:left w:val="single" w:sz="6" w:space="0" w:color="000000"/>
              <w:bottom w:val="nil" w:sz="6" w:space="0" w:color="auto"/>
              <w:right w:val="single" w:sz="6" w:space="0" w:color="000000"/>
            </w:tcBorders>
            <w:shd w:val="clear" w:color="auto" w:fill="D2D2D2"/>
          </w:tcPr>
          <w:p>
            <w:pPr/>
          </w:p>
        </w:tc>
        <w:tc>
          <w:tcPr>
            <w:tcW w:w="568"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1"/>
              <w:ind w:left="95" w:right="95"/>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364" w:type="dxa"/>
            <w:vMerge w:val="restart"/>
            <w:tcBorders>
              <w:top w:val="single" w:sz="6" w:space="0" w:color="000000"/>
              <w:left w:val="single" w:sz="14" w:space="0" w:color="D2D2D2"/>
              <w:right w:val="single" w:sz="12" w:space="0" w:color="000000"/>
            </w:tcBorders>
          </w:tcPr>
          <w:p>
            <w:pPr/>
          </w:p>
        </w:tc>
      </w:tr>
      <w:tr>
        <w:trPr>
          <w:trHeight w:val="148" w:hRule="exact"/>
        </w:trPr>
        <w:tc>
          <w:tcPr>
            <w:tcW w:w="719" w:type="dxa"/>
            <w:vMerge w:val="restart"/>
            <w:tcBorders>
              <w:top w:val="nil" w:sz="6" w:space="0" w:color="auto"/>
              <w:left w:val="single" w:sz="12" w:space="0" w:color="000000"/>
              <w:right w:val="single" w:sz="6" w:space="0" w:color="000000"/>
            </w:tcBorders>
            <w:shd w:val="clear" w:color="auto" w:fill="D2D2D2"/>
          </w:tcPr>
          <w:p>
            <w:pPr/>
          </w:p>
        </w:tc>
        <w:tc>
          <w:tcPr>
            <w:tcW w:w="140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19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3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vMerge/>
            <w:tcBorders>
              <w:left w:val="single" w:sz="6" w:space="0" w:color="000000"/>
              <w:right w:val="single" w:sz="6" w:space="0" w:color="000000"/>
            </w:tcBorders>
            <w:shd w:val="clear" w:color="auto" w:fill="D2D2D2"/>
          </w:tcPr>
          <w:p>
            <w:pPr/>
          </w:p>
        </w:tc>
        <w:tc>
          <w:tcPr>
            <w:tcW w:w="1416" w:type="dxa"/>
            <w:vMerge/>
            <w:tcBorders>
              <w:left w:val="single" w:sz="6" w:space="0" w:color="000000"/>
              <w:bottom w:val="nil" w:sz="6" w:space="0" w:color="auto"/>
              <w:right w:val="single" w:sz="6" w:space="0" w:color="000000"/>
            </w:tcBorders>
            <w:shd w:val="clear" w:color="auto" w:fill="D2D2D2"/>
          </w:tcPr>
          <w:p>
            <w:pPr/>
          </w:p>
        </w:tc>
        <w:tc>
          <w:tcPr>
            <w:tcW w:w="141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4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vMerge/>
            <w:tcBorders>
              <w:left w:val="single" w:sz="6" w:space="0" w:color="000000"/>
              <w:right w:val="single" w:sz="6" w:space="0" w:color="000000"/>
            </w:tcBorders>
            <w:shd w:val="clear" w:color="auto" w:fill="D2D2D2"/>
          </w:tcPr>
          <w:p>
            <w:pPr/>
          </w:p>
        </w:tc>
        <w:tc>
          <w:tcPr>
            <w:tcW w:w="1364" w:type="dxa"/>
            <w:vMerge/>
            <w:tcBorders>
              <w:left w:val="single" w:sz="14" w:space="0" w:color="D2D2D2"/>
              <w:right w:val="single" w:sz="12" w:space="0" w:color="000000"/>
            </w:tcBorders>
          </w:tcPr>
          <w:p>
            <w:pPr/>
          </w:p>
        </w:tc>
      </w:tr>
      <w:tr>
        <w:trPr>
          <w:trHeight w:val="164" w:hRule="exact"/>
        </w:trPr>
        <w:tc>
          <w:tcPr>
            <w:tcW w:w="719" w:type="dxa"/>
            <w:vMerge/>
            <w:tcBorders>
              <w:left w:val="single" w:sz="12" w:space="0" w:color="000000"/>
              <w:right w:val="single" w:sz="6" w:space="0" w:color="000000"/>
            </w:tcBorders>
            <w:shd w:val="clear" w:color="auto" w:fill="D2D2D2"/>
          </w:tcPr>
          <w:p>
            <w:pPr/>
          </w:p>
        </w:tc>
        <w:tc>
          <w:tcPr>
            <w:tcW w:w="1404" w:type="dxa"/>
            <w:vMerge/>
            <w:tcBorders>
              <w:left w:val="single" w:sz="6" w:space="0" w:color="000000"/>
              <w:bottom w:val="nil" w:sz="6" w:space="0" w:color="auto"/>
              <w:right w:val="single" w:sz="6" w:space="0" w:color="000000"/>
            </w:tcBorders>
            <w:shd w:val="clear" w:color="auto" w:fill="D2D2D2"/>
          </w:tcPr>
          <w:p>
            <w:pPr/>
          </w:p>
        </w:tc>
        <w:tc>
          <w:tcPr>
            <w:tcW w:w="762" w:type="dxa"/>
            <w:vMerge/>
            <w:tcBorders>
              <w:left w:val="single" w:sz="6" w:space="0" w:color="000000"/>
              <w:bottom w:val="nil" w:sz="6" w:space="0" w:color="auto"/>
              <w:right w:val="single" w:sz="6" w:space="0" w:color="000000"/>
            </w:tcBorders>
            <w:shd w:val="clear" w:color="auto" w:fill="D2D2D2"/>
          </w:tcPr>
          <w:p>
            <w:pPr/>
          </w:p>
        </w:tc>
        <w:tc>
          <w:tcPr>
            <w:tcW w:w="1236" w:type="dxa"/>
            <w:vMerge/>
            <w:tcBorders>
              <w:left w:val="single" w:sz="6" w:space="0" w:color="000000"/>
              <w:bottom w:val="nil" w:sz="6" w:space="0" w:color="auto"/>
              <w:right w:val="single" w:sz="6" w:space="0" w:color="000000"/>
            </w:tcBorders>
            <w:shd w:val="clear" w:color="auto" w:fill="D2D2D2"/>
          </w:tcPr>
          <w:p>
            <w:pPr/>
          </w:p>
        </w:tc>
        <w:tc>
          <w:tcPr>
            <w:tcW w:w="568" w:type="dxa"/>
            <w:vMerge/>
            <w:tcBorders>
              <w:left w:val="single" w:sz="6" w:space="0" w:color="000000"/>
              <w:right w:val="single" w:sz="6" w:space="0" w:color="000000"/>
            </w:tcBorders>
            <w:shd w:val="clear" w:color="auto" w:fill="D2D2D2"/>
          </w:tcPr>
          <w:p>
            <w:pPr/>
          </w:p>
        </w:tc>
        <w:tc>
          <w:tcPr>
            <w:tcW w:w="1416" w:type="dxa"/>
            <w:vMerge w:val="restart"/>
            <w:tcBorders>
              <w:top w:val="nil" w:sz="6" w:space="0" w:color="auto"/>
              <w:left w:val="single" w:sz="6"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708" w:type="dxa"/>
            <w:vMerge/>
            <w:tcBorders>
              <w:left w:val="single" w:sz="6" w:space="0" w:color="000000"/>
              <w:bottom w:val="nil" w:sz="6" w:space="0" w:color="auto"/>
              <w:right w:val="single" w:sz="6" w:space="0" w:color="000000"/>
            </w:tcBorders>
            <w:shd w:val="clear" w:color="auto" w:fill="D2D2D2"/>
          </w:tcPr>
          <w:p>
            <w:pPr/>
          </w:p>
        </w:tc>
        <w:tc>
          <w:tcPr>
            <w:tcW w:w="1242" w:type="dxa"/>
            <w:vMerge/>
            <w:tcBorders>
              <w:left w:val="single" w:sz="6" w:space="0" w:color="000000"/>
              <w:bottom w:val="nil" w:sz="6" w:space="0" w:color="auto"/>
              <w:right w:val="single" w:sz="6" w:space="0" w:color="000000"/>
            </w:tcBorders>
            <w:shd w:val="clear" w:color="auto" w:fill="D2D2D2"/>
          </w:tcPr>
          <w:p>
            <w:pPr/>
          </w:p>
        </w:tc>
        <w:tc>
          <w:tcPr>
            <w:tcW w:w="568" w:type="dxa"/>
            <w:vMerge/>
            <w:tcBorders>
              <w:left w:val="single" w:sz="6" w:space="0" w:color="000000"/>
              <w:right w:val="single" w:sz="6" w:space="0" w:color="000000"/>
            </w:tcBorders>
            <w:shd w:val="clear" w:color="auto" w:fill="D2D2D2"/>
          </w:tcPr>
          <w:p>
            <w:pPr/>
          </w:p>
        </w:tc>
        <w:tc>
          <w:tcPr>
            <w:tcW w:w="1364" w:type="dxa"/>
            <w:vMerge/>
            <w:tcBorders>
              <w:left w:val="single" w:sz="14" w:space="0" w:color="D2D2D2"/>
              <w:right w:val="single" w:sz="12" w:space="0" w:color="000000"/>
            </w:tcBorders>
          </w:tcPr>
          <w:p>
            <w:pPr/>
          </w:p>
        </w:tc>
      </w:tr>
      <w:tr>
        <w:trPr>
          <w:trHeight w:val="163" w:hRule="exact"/>
        </w:trPr>
        <w:tc>
          <w:tcPr>
            <w:tcW w:w="719" w:type="dxa"/>
            <w:vMerge/>
            <w:tcBorders>
              <w:left w:val="single" w:sz="12" w:space="0" w:color="000000"/>
              <w:bottom w:val="single" w:sz="6" w:space="0" w:color="000000"/>
              <w:right w:val="single" w:sz="6" w:space="0" w:color="000000"/>
            </w:tcBorders>
            <w:shd w:val="clear" w:color="auto" w:fill="D2D2D2"/>
          </w:tcPr>
          <w:p>
            <w:pPr/>
          </w:p>
        </w:tc>
        <w:tc>
          <w:tcPr>
            <w:tcW w:w="1404" w:type="dxa"/>
            <w:tcBorders>
              <w:top w:val="nil" w:sz="6" w:space="0" w:color="auto"/>
              <w:left w:val="single" w:sz="6" w:space="0" w:color="000000"/>
              <w:bottom w:val="single" w:sz="6" w:space="0" w:color="000000"/>
              <w:right w:val="single" w:sz="6" w:space="0" w:color="000000"/>
            </w:tcBorders>
            <w:shd w:val="clear" w:color="auto" w:fill="D2D2D2"/>
          </w:tcPr>
          <w:p>
            <w:pPr/>
          </w:p>
        </w:tc>
        <w:tc>
          <w:tcPr>
            <w:tcW w:w="762" w:type="dxa"/>
            <w:tcBorders>
              <w:top w:val="nil" w:sz="6" w:space="0" w:color="auto"/>
              <w:left w:val="single" w:sz="6" w:space="0" w:color="000000"/>
              <w:bottom w:val="single" w:sz="6" w:space="0" w:color="000000"/>
              <w:right w:val="single" w:sz="6" w:space="0" w:color="000000"/>
            </w:tcBorders>
            <w:shd w:val="clear" w:color="auto" w:fill="D2D2D2"/>
          </w:tcPr>
          <w:p>
            <w:pPr/>
          </w:p>
        </w:tc>
        <w:tc>
          <w:tcPr>
            <w:tcW w:w="1236" w:type="dxa"/>
            <w:tcBorders>
              <w:top w:val="nil" w:sz="6" w:space="0" w:color="auto"/>
              <w:left w:val="single" w:sz="6" w:space="0" w:color="000000"/>
              <w:bottom w:val="single" w:sz="6" w:space="0" w:color="000000"/>
              <w:right w:val="single" w:sz="6" w:space="0" w:color="000000"/>
            </w:tcBorders>
            <w:shd w:val="clear" w:color="auto" w:fill="D2D2D2"/>
          </w:tcPr>
          <w:p>
            <w:pPr/>
          </w:p>
        </w:tc>
        <w:tc>
          <w:tcPr>
            <w:tcW w:w="568" w:type="dxa"/>
            <w:vMerge/>
            <w:tcBorders>
              <w:left w:val="single" w:sz="6" w:space="0" w:color="000000"/>
              <w:bottom w:val="single" w:sz="6" w:space="0" w:color="000000"/>
              <w:right w:val="single" w:sz="6" w:space="0" w:color="000000"/>
            </w:tcBorders>
            <w:shd w:val="clear" w:color="auto" w:fill="D2D2D2"/>
          </w:tcPr>
          <w:p>
            <w:pPr/>
          </w:p>
        </w:tc>
        <w:tc>
          <w:tcPr>
            <w:tcW w:w="1416" w:type="dxa"/>
            <w:vMerge/>
            <w:tcBorders>
              <w:left w:val="single" w:sz="6" w:space="0" w:color="000000"/>
              <w:bottom w:val="single" w:sz="6" w:space="0" w:color="000000"/>
              <w:right w:val="single" w:sz="6" w:space="0" w:color="000000"/>
            </w:tcBorders>
            <w:shd w:val="clear" w:color="auto" w:fill="D2D2D2"/>
          </w:tcPr>
          <w:p>
            <w:pPr/>
          </w:p>
        </w:tc>
        <w:tc>
          <w:tcPr>
            <w:tcW w:w="1418" w:type="dxa"/>
            <w:tcBorders>
              <w:top w:val="nil" w:sz="6" w:space="0" w:color="auto"/>
              <w:left w:val="single" w:sz="6" w:space="0" w:color="000000"/>
              <w:bottom w:val="single" w:sz="6" w:space="0" w:color="000000"/>
              <w:right w:val="single" w:sz="6" w:space="0" w:color="000000"/>
            </w:tcBorders>
            <w:shd w:val="clear" w:color="auto" w:fill="D2D2D2"/>
          </w:tcPr>
          <w:p>
            <w:pPr/>
          </w:p>
        </w:tc>
        <w:tc>
          <w:tcPr>
            <w:tcW w:w="708" w:type="dxa"/>
            <w:tcBorders>
              <w:top w:val="nil" w:sz="6" w:space="0" w:color="auto"/>
              <w:left w:val="single" w:sz="6" w:space="0" w:color="000000"/>
              <w:bottom w:val="single" w:sz="6" w:space="0" w:color="000000"/>
              <w:right w:val="single" w:sz="6" w:space="0" w:color="000000"/>
            </w:tcBorders>
            <w:shd w:val="clear" w:color="auto" w:fill="D2D2D2"/>
          </w:tcPr>
          <w:p>
            <w:pPr/>
          </w:p>
        </w:tc>
        <w:tc>
          <w:tcPr>
            <w:tcW w:w="1242" w:type="dxa"/>
            <w:tcBorders>
              <w:top w:val="nil" w:sz="6" w:space="0" w:color="auto"/>
              <w:left w:val="single" w:sz="6" w:space="0" w:color="000000"/>
              <w:bottom w:val="single" w:sz="6" w:space="0" w:color="000000"/>
              <w:right w:val="single" w:sz="6" w:space="0" w:color="000000"/>
            </w:tcBorders>
            <w:shd w:val="clear" w:color="auto" w:fill="D2D2D2"/>
          </w:tcPr>
          <w:p>
            <w:pPr/>
          </w:p>
        </w:tc>
        <w:tc>
          <w:tcPr>
            <w:tcW w:w="568" w:type="dxa"/>
            <w:vMerge/>
            <w:tcBorders>
              <w:left w:val="single" w:sz="6" w:space="0" w:color="000000"/>
              <w:bottom w:val="single" w:sz="6" w:space="0" w:color="000000"/>
              <w:right w:val="single" w:sz="6" w:space="0" w:color="000000"/>
            </w:tcBorders>
            <w:shd w:val="clear" w:color="auto" w:fill="D2D2D2"/>
          </w:tcPr>
          <w:p>
            <w:pPr/>
          </w:p>
        </w:tc>
        <w:tc>
          <w:tcPr>
            <w:tcW w:w="1364" w:type="dxa"/>
            <w:vMerge/>
            <w:tcBorders>
              <w:left w:val="single" w:sz="14" w:space="0" w:color="D2D2D2"/>
              <w:bottom w:val="single" w:sz="6" w:space="0" w:color="000000"/>
              <w:right w:val="single" w:sz="12" w:space="0" w:color="000000"/>
            </w:tcBorders>
          </w:tcPr>
          <w:p>
            <w:pPr/>
          </w:p>
        </w:tc>
      </w:tr>
      <w:tr>
        <w:trPr>
          <w:trHeight w:val="646" w:hRule="exact"/>
        </w:trPr>
        <w:tc>
          <w:tcPr>
            <w:tcW w:w="71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10"/>
              <w:ind w:left="6" w:right="149"/>
              <w:jc w:val="left"/>
              <w:rPr>
                <w:rFonts w:ascii="宋体" w:hAnsi="宋体" w:cs="宋体" w:eastAsia="宋体" w:hint="default"/>
                <w:sz w:val="18"/>
                <w:szCs w:val="18"/>
              </w:rPr>
            </w:pPr>
            <w:r>
              <w:rPr>
                <w:rFonts w:ascii="宋体" w:hAnsi="宋体" w:cs="宋体" w:eastAsia="宋体" w:hint="default"/>
                <w:sz w:val="18"/>
                <w:szCs w:val="18"/>
              </w:rPr>
              <w:t>按信用 风险特</w:t>
            </w:r>
          </w:p>
        </w:tc>
        <w:tc>
          <w:tcPr>
            <w:tcW w:w="1404"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sz w:val="18"/>
              </w:rPr>
              <w:t>815,962,559.58</w:t>
            </w:r>
          </w:p>
        </w:tc>
        <w:tc>
          <w:tcPr>
            <w:tcW w:w="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6" w:right="0"/>
              <w:jc w:val="left"/>
              <w:rPr>
                <w:rFonts w:ascii="宋体" w:hAnsi="宋体" w:cs="宋体" w:eastAsia="宋体" w:hint="default"/>
                <w:sz w:val="18"/>
                <w:szCs w:val="18"/>
              </w:rPr>
            </w:pPr>
            <w:r>
              <w:rPr>
                <w:rFonts w:ascii="宋体"/>
                <w:sz w:val="18"/>
              </w:rPr>
              <w:t>100.00%</w:t>
            </w:r>
          </w:p>
        </w:tc>
        <w:tc>
          <w:tcPr>
            <w:tcW w:w="12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 w:right="0"/>
              <w:jc w:val="left"/>
              <w:rPr>
                <w:rFonts w:ascii="宋体" w:hAnsi="宋体" w:cs="宋体" w:eastAsia="宋体" w:hint="default"/>
                <w:sz w:val="18"/>
                <w:szCs w:val="18"/>
              </w:rPr>
            </w:pPr>
            <w:r>
              <w:rPr>
                <w:rFonts w:ascii="宋体"/>
                <w:sz w:val="18"/>
              </w:rPr>
              <w:t>47,971,067.56</w:t>
            </w:r>
          </w:p>
        </w:tc>
        <w:tc>
          <w:tcPr>
            <w:tcW w:w="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1" w:right="0"/>
              <w:jc w:val="left"/>
              <w:rPr>
                <w:rFonts w:ascii="宋体" w:hAnsi="宋体" w:cs="宋体" w:eastAsia="宋体" w:hint="default"/>
                <w:sz w:val="18"/>
                <w:szCs w:val="18"/>
              </w:rPr>
            </w:pPr>
            <w:r>
              <w:rPr>
                <w:rFonts w:ascii="宋体"/>
                <w:sz w:val="18"/>
              </w:rPr>
              <w:t>5.88%</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1" w:right="0"/>
              <w:jc w:val="left"/>
              <w:rPr>
                <w:rFonts w:ascii="宋体" w:hAnsi="宋体" w:cs="宋体" w:eastAsia="宋体" w:hint="default"/>
                <w:sz w:val="18"/>
                <w:szCs w:val="18"/>
              </w:rPr>
            </w:pPr>
            <w:r>
              <w:rPr>
                <w:rFonts w:ascii="宋体"/>
                <w:sz w:val="18"/>
              </w:rPr>
              <w:t>767,991,492.02</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3" w:right="0"/>
              <w:jc w:val="left"/>
              <w:rPr>
                <w:rFonts w:ascii="宋体" w:hAnsi="宋体" w:cs="宋体" w:eastAsia="宋体" w:hint="default"/>
                <w:sz w:val="18"/>
                <w:szCs w:val="18"/>
              </w:rPr>
            </w:pPr>
            <w:r>
              <w:rPr>
                <w:rFonts w:ascii="宋体"/>
                <w:sz w:val="18"/>
              </w:rPr>
              <w:t>635,089,486.21</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 w:right="0"/>
              <w:jc w:val="left"/>
              <w:rPr>
                <w:rFonts w:ascii="宋体" w:hAnsi="宋体" w:cs="宋体" w:eastAsia="宋体" w:hint="default"/>
                <w:sz w:val="18"/>
                <w:szCs w:val="18"/>
              </w:rPr>
            </w:pPr>
            <w:r>
              <w:rPr>
                <w:rFonts w:ascii="宋体"/>
                <w:sz w:val="18"/>
              </w:rPr>
              <w:t>100.00%</w:t>
            </w:r>
          </w:p>
        </w:tc>
        <w:tc>
          <w:tcPr>
            <w:tcW w:w="1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 w:right="0"/>
              <w:jc w:val="left"/>
              <w:rPr>
                <w:rFonts w:ascii="宋体" w:hAnsi="宋体" w:cs="宋体" w:eastAsia="宋体" w:hint="default"/>
                <w:sz w:val="18"/>
                <w:szCs w:val="18"/>
              </w:rPr>
            </w:pPr>
            <w:r>
              <w:rPr>
                <w:rFonts w:ascii="宋体"/>
                <w:sz w:val="18"/>
              </w:rPr>
              <w:t>31,753,881.72</w:t>
            </w:r>
          </w:p>
        </w:tc>
        <w:tc>
          <w:tcPr>
            <w:tcW w:w="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1" w:right="0"/>
              <w:jc w:val="left"/>
              <w:rPr>
                <w:rFonts w:ascii="宋体" w:hAnsi="宋体" w:cs="宋体" w:eastAsia="宋体" w:hint="default"/>
                <w:sz w:val="18"/>
                <w:szCs w:val="18"/>
              </w:rPr>
            </w:pPr>
            <w:r>
              <w:rPr>
                <w:rFonts w:ascii="宋体"/>
                <w:sz w:val="18"/>
              </w:rPr>
              <w:t>5.00%</w:t>
            </w:r>
          </w:p>
        </w:tc>
        <w:tc>
          <w:tcPr>
            <w:tcW w:w="13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sz w:val="18"/>
              </w:rPr>
              <w:t>603,335,604.49</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231" w:type="dxa"/>
        <w:tblLayout w:type="fixed"/>
        <w:tblCellMar>
          <w:top w:w="0" w:type="dxa"/>
          <w:left w:w="0" w:type="dxa"/>
          <w:bottom w:w="0" w:type="dxa"/>
          <w:right w:w="0" w:type="dxa"/>
        </w:tblCellMar>
        <w:tblLook w:val="01E0"/>
      </w:tblPr>
      <w:tblGrid>
        <w:gridCol w:w="725"/>
        <w:gridCol w:w="1404"/>
        <w:gridCol w:w="762"/>
        <w:gridCol w:w="1236"/>
        <w:gridCol w:w="568"/>
        <w:gridCol w:w="1416"/>
        <w:gridCol w:w="1418"/>
        <w:gridCol w:w="708"/>
        <w:gridCol w:w="1242"/>
        <w:gridCol w:w="568"/>
        <w:gridCol w:w="1364"/>
      </w:tblGrid>
      <w:tr>
        <w:trPr>
          <w:trHeight w:val="1583" w:hRule="exact"/>
        </w:trPr>
        <w:tc>
          <w:tcPr>
            <w:tcW w:w="72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10"/>
              <w:ind w:left="13" w:right="149"/>
              <w:jc w:val="both"/>
              <w:rPr>
                <w:rFonts w:ascii="宋体" w:hAnsi="宋体" w:cs="宋体" w:eastAsia="宋体" w:hint="default"/>
                <w:sz w:val="18"/>
                <w:szCs w:val="18"/>
              </w:rPr>
            </w:pPr>
            <w:r>
              <w:rPr>
                <w:rFonts w:ascii="宋体" w:hAnsi="宋体" w:cs="宋体" w:eastAsia="宋体" w:hint="default"/>
                <w:sz w:val="18"/>
                <w:szCs w:val="18"/>
              </w:rPr>
              <w:t>征组合 计提坏 账准备 的应收 账款</w:t>
            </w:r>
          </w:p>
        </w:tc>
        <w:tc>
          <w:tcPr>
            <w:tcW w:w="1404" w:type="dxa"/>
            <w:tcBorders>
              <w:top w:val="single" w:sz="12" w:space="0" w:color="000000"/>
              <w:left w:val="single" w:sz="6" w:space="0" w:color="000000"/>
              <w:bottom w:val="single" w:sz="6" w:space="0" w:color="000000"/>
              <w:right w:val="single" w:sz="6" w:space="0" w:color="000000"/>
            </w:tcBorders>
          </w:tcPr>
          <w:p>
            <w:pPr/>
          </w:p>
        </w:tc>
        <w:tc>
          <w:tcPr>
            <w:tcW w:w="762" w:type="dxa"/>
            <w:tcBorders>
              <w:top w:val="single" w:sz="12" w:space="0" w:color="000000"/>
              <w:left w:val="single" w:sz="6" w:space="0" w:color="000000"/>
              <w:bottom w:val="single" w:sz="6" w:space="0" w:color="000000"/>
              <w:right w:val="single" w:sz="6" w:space="0" w:color="000000"/>
            </w:tcBorders>
          </w:tcPr>
          <w:p>
            <w:pPr/>
          </w:p>
        </w:tc>
        <w:tc>
          <w:tcPr>
            <w:tcW w:w="1236" w:type="dxa"/>
            <w:tcBorders>
              <w:top w:val="single" w:sz="12" w:space="0" w:color="000000"/>
              <w:left w:val="single" w:sz="6" w:space="0" w:color="000000"/>
              <w:bottom w:val="single" w:sz="6" w:space="0" w:color="000000"/>
              <w:right w:val="single" w:sz="6" w:space="0" w:color="000000"/>
            </w:tcBorders>
          </w:tcPr>
          <w:p>
            <w:pPr/>
          </w:p>
        </w:tc>
        <w:tc>
          <w:tcPr>
            <w:tcW w:w="568" w:type="dxa"/>
            <w:tcBorders>
              <w:top w:val="single" w:sz="12" w:space="0" w:color="000000"/>
              <w:left w:val="single" w:sz="6" w:space="0" w:color="000000"/>
              <w:bottom w:val="single" w:sz="6" w:space="0" w:color="000000"/>
              <w:right w:val="single" w:sz="6" w:space="0" w:color="000000"/>
            </w:tcBorders>
          </w:tcPr>
          <w:p>
            <w:pPr/>
          </w:p>
        </w:tc>
        <w:tc>
          <w:tcPr>
            <w:tcW w:w="1416"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708" w:type="dxa"/>
            <w:tcBorders>
              <w:top w:val="single" w:sz="12" w:space="0" w:color="000000"/>
              <w:left w:val="single" w:sz="6" w:space="0" w:color="000000"/>
              <w:bottom w:val="single" w:sz="6" w:space="0" w:color="000000"/>
              <w:right w:val="single" w:sz="6" w:space="0" w:color="000000"/>
            </w:tcBorders>
          </w:tcPr>
          <w:p>
            <w:pPr/>
          </w:p>
        </w:tc>
        <w:tc>
          <w:tcPr>
            <w:tcW w:w="1242" w:type="dxa"/>
            <w:tcBorders>
              <w:top w:val="single" w:sz="12" w:space="0" w:color="000000"/>
              <w:left w:val="single" w:sz="6" w:space="0" w:color="000000"/>
              <w:bottom w:val="single" w:sz="6" w:space="0" w:color="000000"/>
              <w:right w:val="single" w:sz="6" w:space="0" w:color="000000"/>
            </w:tcBorders>
          </w:tcPr>
          <w:p>
            <w:pPr/>
          </w:p>
        </w:tc>
        <w:tc>
          <w:tcPr>
            <w:tcW w:w="568" w:type="dxa"/>
            <w:tcBorders>
              <w:top w:val="single" w:sz="12" w:space="0" w:color="000000"/>
              <w:left w:val="single" w:sz="6" w:space="0" w:color="000000"/>
              <w:bottom w:val="single" w:sz="6" w:space="0" w:color="000000"/>
              <w:right w:val="single" w:sz="6" w:space="0" w:color="000000"/>
            </w:tcBorders>
          </w:tcPr>
          <w:p>
            <w:pPr/>
          </w:p>
        </w:tc>
        <w:tc>
          <w:tcPr>
            <w:tcW w:w="1364" w:type="dxa"/>
            <w:tcBorders>
              <w:top w:val="single" w:sz="12" w:space="0" w:color="000000"/>
              <w:left w:val="single" w:sz="6" w:space="0" w:color="000000"/>
              <w:bottom w:val="single" w:sz="6" w:space="0" w:color="000000"/>
              <w:right w:val="single" w:sz="12" w:space="0" w:color="000000"/>
            </w:tcBorders>
          </w:tcPr>
          <w:p>
            <w:pPr/>
          </w:p>
        </w:tc>
      </w:tr>
      <w:tr>
        <w:trPr>
          <w:trHeight w:val="334" w:hRule="exact"/>
        </w:trPr>
        <w:tc>
          <w:tcPr>
            <w:tcW w:w="72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0"/>
              <w:ind w:left="16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107" w:right="0"/>
              <w:jc w:val="left"/>
              <w:rPr>
                <w:rFonts w:ascii="宋体" w:hAnsi="宋体" w:cs="宋体" w:eastAsia="宋体" w:hint="default"/>
                <w:sz w:val="18"/>
                <w:szCs w:val="18"/>
              </w:rPr>
            </w:pPr>
            <w:r>
              <w:rPr>
                <w:rFonts w:ascii="宋体"/>
                <w:sz w:val="18"/>
              </w:rPr>
              <w:t>815,962,559.58</w:t>
            </w:r>
          </w:p>
        </w:tc>
        <w:tc>
          <w:tcPr>
            <w:tcW w:w="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96" w:right="0"/>
              <w:jc w:val="left"/>
              <w:rPr>
                <w:rFonts w:ascii="宋体" w:hAnsi="宋体" w:cs="宋体" w:eastAsia="宋体" w:hint="default"/>
                <w:sz w:val="18"/>
                <w:szCs w:val="18"/>
              </w:rPr>
            </w:pPr>
            <w:r>
              <w:rPr>
                <w:rFonts w:ascii="宋体"/>
                <w:sz w:val="18"/>
              </w:rPr>
              <w:t>100.00%</w:t>
            </w:r>
          </w:p>
        </w:tc>
        <w:tc>
          <w:tcPr>
            <w:tcW w:w="12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29" w:right="0"/>
              <w:jc w:val="left"/>
              <w:rPr>
                <w:rFonts w:ascii="宋体" w:hAnsi="宋体" w:cs="宋体" w:eastAsia="宋体" w:hint="default"/>
                <w:sz w:val="18"/>
                <w:szCs w:val="18"/>
              </w:rPr>
            </w:pPr>
            <w:r>
              <w:rPr>
                <w:rFonts w:ascii="宋体"/>
                <w:sz w:val="18"/>
              </w:rPr>
              <w:t>47,971,067.56</w:t>
            </w:r>
          </w:p>
        </w:tc>
        <w:tc>
          <w:tcPr>
            <w:tcW w:w="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sz w:val="18"/>
              </w:rPr>
              <w:t>5.88%</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sz w:val="18"/>
              </w:rPr>
              <w:t>767,991,492.02</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sz w:val="18"/>
              </w:rPr>
              <w:t>635,089,486.21</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41" w:right="0"/>
              <w:jc w:val="left"/>
              <w:rPr>
                <w:rFonts w:ascii="宋体" w:hAnsi="宋体" w:cs="宋体" w:eastAsia="宋体" w:hint="default"/>
                <w:sz w:val="18"/>
                <w:szCs w:val="18"/>
              </w:rPr>
            </w:pPr>
            <w:r>
              <w:rPr>
                <w:rFonts w:ascii="宋体"/>
                <w:sz w:val="18"/>
              </w:rPr>
              <w:t>100.00%</w:t>
            </w:r>
          </w:p>
        </w:tc>
        <w:tc>
          <w:tcPr>
            <w:tcW w:w="1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36" w:right="0"/>
              <w:jc w:val="left"/>
              <w:rPr>
                <w:rFonts w:ascii="宋体" w:hAnsi="宋体" w:cs="宋体" w:eastAsia="宋体" w:hint="default"/>
                <w:sz w:val="18"/>
                <w:szCs w:val="18"/>
              </w:rPr>
            </w:pPr>
            <w:r>
              <w:rPr>
                <w:rFonts w:ascii="宋体"/>
                <w:sz w:val="18"/>
              </w:rPr>
              <w:t>31,753,881.72</w:t>
            </w:r>
          </w:p>
        </w:tc>
        <w:tc>
          <w:tcPr>
            <w:tcW w:w="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sz w:val="18"/>
              </w:rPr>
              <w:t>5.00%</w:t>
            </w:r>
          </w:p>
        </w:tc>
        <w:tc>
          <w:tcPr>
            <w:tcW w:w="13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left="69" w:right="0"/>
              <w:jc w:val="left"/>
              <w:rPr>
                <w:rFonts w:ascii="宋体" w:hAnsi="宋体" w:cs="宋体" w:eastAsia="宋体" w:hint="default"/>
                <w:sz w:val="18"/>
                <w:szCs w:val="18"/>
              </w:rPr>
            </w:pPr>
            <w:r>
              <w:rPr>
                <w:rFonts w:ascii="宋体"/>
                <w:sz w:val="18"/>
              </w:rPr>
              <w:t>603,335,604.49</w:t>
            </w:r>
          </w:p>
        </w:tc>
      </w:tr>
    </w:tbl>
    <w:p>
      <w:pPr>
        <w:pStyle w:val="BodyText"/>
        <w:spacing w:line="240" w:lineRule="auto" w:before="63"/>
        <w:ind w:left="1134" w:right="0"/>
        <w:jc w:val="left"/>
      </w:pPr>
      <w:r>
        <w:rPr/>
        <w:t>期末单项金额重大并单项计提坏账准备的应收账款：</w:t>
      </w:r>
    </w:p>
    <w:p>
      <w:pPr>
        <w:spacing w:line="240" w:lineRule="auto" w:before="10"/>
        <w:rPr>
          <w:rFonts w:ascii="宋体" w:hAnsi="宋体" w:cs="宋体" w:eastAsia="宋体" w:hint="default"/>
          <w:sz w:val="14"/>
          <w:szCs w:val="14"/>
        </w:rPr>
      </w:pPr>
    </w:p>
    <w:p>
      <w:pPr>
        <w:pStyle w:val="BodyText"/>
        <w:spacing w:line="408" w:lineRule="auto"/>
        <w:ind w:left="1134" w:right="6132"/>
        <w:jc w:val="left"/>
      </w:pPr>
      <w:r>
        <w:rPr/>
        <w:t>□ 适用 √</w:t>
      </w:r>
      <w:r>
        <w:rPr>
          <w:spacing w:val="-1"/>
        </w:rPr>
        <w:t> </w:t>
      </w:r>
      <w:r>
        <w:rPr/>
        <w:t>不适用</w:t>
      </w:r>
      <w:r>
        <w:rPr/>
        <w:t> 组合中，按账龄分析法计提坏账准备的应收账款：</w:t>
      </w:r>
    </w:p>
    <w:p>
      <w:pPr>
        <w:pStyle w:val="BodyText"/>
        <w:spacing w:line="240" w:lineRule="auto" w:before="46"/>
        <w:ind w:left="1134" w:right="0"/>
        <w:jc w:val="left"/>
      </w:pPr>
      <w:r>
        <w:rPr/>
        <w:t>√ 适用 □</w:t>
      </w:r>
      <w:r>
        <w:rPr>
          <w:spacing w:val="-1"/>
        </w:rPr>
        <w:t> </w:t>
      </w:r>
      <w:r>
        <w:rPr/>
        <w:t>不适用</w:t>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118" w:type="dxa"/>
        <w:tblLayout w:type="fixed"/>
        <w:tblCellMar>
          <w:top w:w="0" w:type="dxa"/>
          <w:left w:w="0" w:type="dxa"/>
          <w:bottom w:w="0" w:type="dxa"/>
          <w:right w:w="0" w:type="dxa"/>
        </w:tblCellMar>
        <w:tblLook w:val="01E0"/>
      </w:tblPr>
      <w:tblGrid>
        <w:gridCol w:w="2393"/>
        <w:gridCol w:w="2393"/>
        <w:gridCol w:w="2392"/>
        <w:gridCol w:w="2391"/>
      </w:tblGrid>
      <w:tr>
        <w:trPr>
          <w:trHeight w:val="363" w:hRule="exact"/>
        </w:trPr>
        <w:tc>
          <w:tcPr>
            <w:tcW w:w="2393"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25"/>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5" w:hRule="exact"/>
        </w:trPr>
        <w:tc>
          <w:tcPr>
            <w:tcW w:w="2393" w:type="dxa"/>
            <w:vMerge/>
            <w:tcBorders>
              <w:left w:val="single" w:sz="12" w:space="0" w:color="000000"/>
              <w:bottom w:val="single" w:sz="6" w:space="0" w:color="000000"/>
              <w:right w:val="single" w:sz="6" w:space="0" w:color="000000"/>
            </w:tcBorders>
            <w:shd w:val="clear" w:color="auto" w:fill="D2D2D2"/>
          </w:tcPr>
          <w:p>
            <w:pPr/>
          </w:p>
        </w:tc>
        <w:tc>
          <w:tcPr>
            <w:tcW w:w="23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25"/>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54" w:hRule="exact"/>
        </w:trPr>
        <w:tc>
          <w:tcPr>
            <w:tcW w:w="9569" w:type="dxa"/>
            <w:gridSpan w:val="4"/>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355"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8"/>
              <w:jc w:val="right"/>
              <w:rPr>
                <w:rFonts w:ascii="宋体" w:hAnsi="宋体" w:cs="宋体" w:eastAsia="宋体" w:hint="default"/>
                <w:sz w:val="18"/>
                <w:szCs w:val="18"/>
              </w:rPr>
            </w:pPr>
            <w:r>
              <w:rPr>
                <w:rFonts w:ascii="宋体"/>
                <w:sz w:val="18"/>
              </w:rPr>
              <w:t>634,287,696.13</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8"/>
              <w:jc w:val="right"/>
              <w:rPr>
                <w:rFonts w:ascii="宋体" w:hAnsi="宋体" w:cs="宋体" w:eastAsia="宋体" w:hint="default"/>
                <w:sz w:val="18"/>
                <w:szCs w:val="18"/>
              </w:rPr>
            </w:pPr>
            <w:r>
              <w:rPr>
                <w:rFonts w:ascii="宋体"/>
                <w:sz w:val="18"/>
              </w:rPr>
              <w:t>19,045,834.17</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1"/>
              <w:jc w:val="right"/>
              <w:rPr>
                <w:rFonts w:ascii="宋体" w:hAnsi="宋体" w:cs="宋体" w:eastAsia="宋体" w:hint="default"/>
                <w:sz w:val="18"/>
                <w:szCs w:val="18"/>
              </w:rPr>
            </w:pPr>
            <w:r>
              <w:rPr>
                <w:rFonts w:ascii="宋体"/>
                <w:sz w:val="18"/>
              </w:rPr>
              <w:t>3.00%</w:t>
            </w:r>
          </w:p>
        </w:tc>
      </w:tr>
      <w:tr>
        <w:trPr>
          <w:trHeight w:val="355"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634,287,696.13</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19,045,834.17</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3.00%</w:t>
            </w:r>
          </w:p>
        </w:tc>
      </w:tr>
      <w:tr>
        <w:trPr>
          <w:trHeight w:val="355"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153,888,384.79</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15,388,838.47</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10.00%</w:t>
            </w:r>
          </w:p>
        </w:tc>
      </w:tr>
      <w:tr>
        <w:trPr>
          <w:trHeight w:val="355"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15,163,766.92</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4,549,130.09</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30.00%</w:t>
            </w:r>
          </w:p>
        </w:tc>
      </w:tr>
      <w:tr>
        <w:trPr>
          <w:trHeight w:val="356"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12,622,711.74</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8,987,264.83</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71.20%</w:t>
            </w:r>
          </w:p>
        </w:tc>
      </w:tr>
      <w:tr>
        <w:trPr>
          <w:trHeight w:val="354"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6,285,896.40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3,192,948.20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50.00%</w:t>
            </w:r>
          </w:p>
        </w:tc>
      </w:tr>
      <w:tr>
        <w:trPr>
          <w:trHeight w:val="355"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6"/>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8"/>
              <w:jc w:val="right"/>
              <w:rPr>
                <w:rFonts w:ascii="宋体" w:hAnsi="宋体" w:cs="宋体" w:eastAsia="宋体" w:hint="default"/>
                <w:sz w:val="18"/>
                <w:szCs w:val="18"/>
              </w:rPr>
            </w:pPr>
            <w:r>
              <w:rPr>
                <w:rFonts w:ascii="宋体"/>
                <w:sz w:val="18"/>
              </w:rPr>
              <w:t>1,808,329.04</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8"/>
              <w:jc w:val="right"/>
              <w:rPr>
                <w:rFonts w:ascii="宋体" w:hAnsi="宋体" w:cs="宋体" w:eastAsia="宋体" w:hint="default"/>
                <w:sz w:val="18"/>
                <w:szCs w:val="18"/>
              </w:rPr>
            </w:pPr>
            <w:r>
              <w:rPr>
                <w:rFonts w:ascii="宋体"/>
                <w:sz w:val="18"/>
              </w:rPr>
              <w:t>1,265,830.33</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1"/>
              <w:jc w:val="right"/>
              <w:rPr>
                <w:rFonts w:ascii="宋体" w:hAnsi="宋体" w:cs="宋体" w:eastAsia="宋体" w:hint="default"/>
                <w:sz w:val="18"/>
                <w:szCs w:val="18"/>
              </w:rPr>
            </w:pPr>
            <w:r>
              <w:rPr>
                <w:rFonts w:ascii="宋体"/>
                <w:sz w:val="18"/>
              </w:rPr>
              <w:t>70.00%</w:t>
            </w:r>
          </w:p>
        </w:tc>
      </w:tr>
      <w:tr>
        <w:trPr>
          <w:trHeight w:val="355"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4,528,486.30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4,528,486.30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100.00%</w:t>
            </w:r>
          </w:p>
        </w:tc>
      </w:tr>
      <w:tr>
        <w:trPr>
          <w:trHeight w:val="363" w:hRule="exact"/>
        </w:trPr>
        <w:tc>
          <w:tcPr>
            <w:tcW w:w="23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815,962,559.58</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47,971,067.56</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5.88%</w:t>
            </w:r>
          </w:p>
        </w:tc>
      </w:tr>
    </w:tbl>
    <w:p>
      <w:pPr>
        <w:pStyle w:val="BodyText"/>
        <w:spacing w:line="408" w:lineRule="auto" w:before="63"/>
        <w:ind w:left="1134" w:right="5712"/>
        <w:jc w:val="left"/>
      </w:pPr>
      <w:r>
        <w:rPr/>
        <w:t>确定该组合依据的说明： 组合中，采用余额百分比法计提坏账准备的应收账款：</w:t>
      </w:r>
    </w:p>
    <w:p>
      <w:pPr>
        <w:pStyle w:val="BodyText"/>
        <w:spacing w:line="408" w:lineRule="auto" w:before="46"/>
        <w:ind w:left="1134" w:right="6132"/>
        <w:jc w:val="left"/>
      </w:pPr>
      <w:r>
        <w:rPr/>
        <w:t>□ 适用 √</w:t>
      </w:r>
      <w:r>
        <w:rPr>
          <w:spacing w:val="-1"/>
        </w:rPr>
        <w:t> </w:t>
      </w:r>
      <w:r>
        <w:rPr/>
        <w:t>不适用</w:t>
      </w:r>
      <w:r>
        <w:rPr/>
        <w:t> 组合中，采用其他方法计提坏账准备的应收账款：</w:t>
      </w:r>
    </w:p>
    <w:p>
      <w:pPr>
        <w:spacing w:before="55"/>
        <w:ind w:left="1134" w:right="0" w:firstLine="0"/>
        <w:jc w:val="left"/>
        <w:rPr>
          <w:rFonts w:ascii="宋体" w:hAnsi="宋体" w:cs="宋体" w:eastAsia="宋体" w:hint="default"/>
          <w:sz w:val="20"/>
          <w:szCs w:val="20"/>
        </w:rPr>
      </w:pPr>
      <w:bookmarkStart w:name="（2）本期计提、收回或转回的坏账准备情况" w:id="229"/>
      <w:bookmarkEnd w:id="229"/>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）本期计提、收回或转回的坏账准备情况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本期计提坏账准备金额</w:t>
      </w:r>
      <w:r>
        <w:rPr>
          <w:spacing w:val="-53"/>
        </w:rPr>
        <w:t> </w:t>
      </w:r>
      <w:r>
        <w:rPr>
          <w:rFonts w:ascii="宋体" w:hAnsi="宋体" w:cs="宋体" w:eastAsia="宋体" w:hint="default"/>
        </w:rPr>
        <w:t>16,217,185.84</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0.00</w:t>
      </w:r>
      <w:r>
        <w:rPr>
          <w:rFonts w:ascii="宋体" w:hAnsi="宋体" w:cs="宋体" w:eastAsia="宋体" w:hint="default"/>
          <w:spacing w:val="-53"/>
        </w:rPr>
        <w:t> </w:t>
      </w:r>
      <w:r>
        <w:rPr/>
        <w:t>元。</w:t>
      </w:r>
    </w:p>
    <w:p>
      <w:pPr>
        <w:spacing w:line="240" w:lineRule="auto" w:before="6"/>
        <w:rPr>
          <w:rFonts w:ascii="宋体" w:hAnsi="宋体" w:cs="宋体" w:eastAsia="宋体" w:hint="default"/>
          <w:sz w:val="15"/>
          <w:szCs w:val="15"/>
        </w:rPr>
      </w:pPr>
    </w:p>
    <w:p>
      <w:pPr>
        <w:spacing w:before="0"/>
        <w:ind w:left="1133" w:right="0" w:firstLine="0"/>
        <w:jc w:val="left"/>
        <w:rPr>
          <w:rFonts w:ascii="宋体" w:hAnsi="宋体" w:cs="宋体" w:eastAsia="宋体" w:hint="default"/>
          <w:sz w:val="20"/>
          <w:szCs w:val="20"/>
        </w:rPr>
      </w:pPr>
      <w:bookmarkStart w:name="（3）本期实际核销的应收账款情况" w:id="230"/>
      <w:bookmarkEnd w:id="230"/>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）本期实际核销的应收账款情况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4）按欠款方归集的期末余额前五名的应收账款情况" w:id="231"/>
      <w:bookmarkEnd w:id="231"/>
      <w:r>
        <w:rPr/>
      </w: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）按欠款方归集的期末余额前五名的应收账款情况</w:t>
      </w:r>
      <w:r>
        <w:rPr>
          <w:rFonts w:ascii="宋体" w:hAnsi="宋体" w:cs="宋体" w:eastAsia="宋体" w:hint="default"/>
          <w:sz w:val="20"/>
          <w:szCs w:val="20"/>
        </w:rPr>
      </w:r>
    </w:p>
    <w:p>
      <w:pPr>
        <w:spacing w:line="240" w:lineRule="auto" w:before="3"/>
        <w:rPr>
          <w:rFonts w:ascii="宋体" w:hAnsi="宋体" w:cs="宋体" w:eastAsia="宋体" w:hint="default"/>
          <w:b/>
          <w:bCs/>
          <w:sz w:val="10"/>
          <w:szCs w:val="10"/>
        </w:rPr>
      </w:pPr>
    </w:p>
    <w:tbl>
      <w:tblPr>
        <w:tblW w:w="0" w:type="auto"/>
        <w:jc w:val="left"/>
        <w:tblInd w:w="1150" w:type="dxa"/>
        <w:tblLayout w:type="fixed"/>
        <w:tblCellMar>
          <w:top w:w="0" w:type="dxa"/>
          <w:left w:w="0" w:type="dxa"/>
          <w:bottom w:w="0" w:type="dxa"/>
          <w:right w:w="0" w:type="dxa"/>
        </w:tblCellMar>
        <w:tblLook w:val="01E0"/>
      </w:tblPr>
      <w:tblGrid>
        <w:gridCol w:w="2864"/>
        <w:gridCol w:w="616"/>
        <w:gridCol w:w="1511"/>
        <w:gridCol w:w="1559"/>
        <w:gridCol w:w="1702"/>
        <w:gridCol w:w="1323"/>
      </w:tblGrid>
      <w:tr>
        <w:trPr>
          <w:trHeight w:val="489" w:hRule="exact"/>
        </w:trPr>
        <w:tc>
          <w:tcPr>
            <w:tcW w:w="286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6"/>
              <w:ind w:right="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16"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款项</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15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3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77" w:right="0" w:hanging="46"/>
              <w:jc w:val="left"/>
              <w:rPr>
                <w:rFonts w:ascii="宋体" w:hAnsi="宋体" w:cs="宋体" w:eastAsia="宋体" w:hint="default"/>
                <w:sz w:val="18"/>
                <w:szCs w:val="18"/>
              </w:rPr>
            </w:pPr>
            <w:r>
              <w:rPr>
                <w:rFonts w:ascii="宋体" w:hAnsi="宋体" w:cs="宋体" w:eastAsia="宋体" w:hint="default"/>
                <w:sz w:val="18"/>
                <w:szCs w:val="18"/>
              </w:rPr>
              <w:t>占应收账款期末余额</w:t>
            </w:r>
          </w:p>
          <w:p>
            <w:pPr>
              <w:pStyle w:val="TableParagraph"/>
              <w:spacing w:line="234" w:lineRule="exact"/>
              <w:ind w:left="77" w:right="0"/>
              <w:jc w:val="left"/>
              <w:rPr>
                <w:rFonts w:ascii="宋体" w:hAnsi="宋体" w:cs="宋体" w:eastAsia="宋体" w:hint="default"/>
                <w:sz w:val="18"/>
                <w:szCs w:val="18"/>
              </w:rPr>
            </w:pPr>
            <w:r>
              <w:rPr>
                <w:rFonts w:ascii="宋体" w:hAnsi="宋体" w:cs="宋体" w:eastAsia="宋体" w:hint="default"/>
                <w:sz w:val="18"/>
                <w:szCs w:val="18"/>
              </w:rPr>
              <w:t>合计数的比例（</w:t>
            </w:r>
            <w:r>
              <w:rPr>
                <w:rFonts w:ascii="宋体" w:hAnsi="宋体" w:cs="宋体" w:eastAsia="宋体" w:hint="default"/>
                <w:sz w:val="18"/>
                <w:szCs w:val="18"/>
              </w:rPr>
              <w:t>%</w:t>
            </w:r>
            <w:r>
              <w:rPr>
                <w:rFonts w:ascii="宋体" w:hAnsi="宋体" w:cs="宋体" w:eastAsia="宋体" w:hint="default"/>
                <w:sz w:val="18"/>
                <w:szCs w:val="18"/>
              </w:rPr>
              <w:t>）</w:t>
            </w:r>
          </w:p>
        </w:tc>
        <w:tc>
          <w:tcPr>
            <w:tcW w:w="1323" w:type="dxa"/>
            <w:tcBorders>
              <w:top w:val="single" w:sz="12" w:space="0" w:color="000000"/>
              <w:left w:val="single" w:sz="6" w:space="0" w:color="000000"/>
              <w:bottom w:val="single" w:sz="6" w:space="0" w:color="000000"/>
              <w:right w:val="single" w:sz="12" w:space="0" w:color="000000"/>
            </w:tcBorders>
          </w:tcPr>
          <w:p>
            <w:pPr>
              <w:pStyle w:val="TableParagraph"/>
              <w:spacing w:line="204" w:lineRule="exact"/>
              <w:ind w:left="240"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5" w:hRule="exact"/>
        </w:trPr>
        <w:tc>
          <w:tcPr>
            <w:tcW w:w="28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国网山东省电力公司物资公司</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63" w:right="0"/>
              <w:jc w:val="left"/>
              <w:rPr>
                <w:rFonts w:ascii="宋体" w:hAnsi="宋体" w:cs="宋体" w:eastAsia="宋体" w:hint="default"/>
                <w:sz w:val="18"/>
                <w:szCs w:val="18"/>
              </w:rPr>
            </w:pPr>
            <w:r>
              <w:rPr>
                <w:rFonts w:ascii="宋体"/>
                <w:sz w:val="18"/>
              </w:rPr>
              <w:t>63,695,307.87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63"/>
                <w:sz w:val="18"/>
                <w:szCs w:val="18"/>
              </w:rPr>
              <w:t> </w:t>
            </w:r>
            <w:r>
              <w:rPr>
                <w:rFonts w:ascii="宋体" w:hAnsi="宋体" w:cs="宋体" w:eastAsia="宋体" w:hint="default"/>
                <w:sz w:val="18"/>
                <w:szCs w:val="18"/>
              </w:rPr>
              <w:t>年以内及</w:t>
            </w:r>
            <w:r>
              <w:rPr>
                <w:rFonts w:ascii="宋体" w:hAnsi="宋体" w:cs="宋体" w:eastAsia="宋体" w:hint="default"/>
                <w:spacing w:val="-63"/>
                <w:sz w:val="18"/>
                <w:szCs w:val="18"/>
              </w:rPr>
              <w:t> </w:t>
            </w:r>
            <w:r>
              <w:rPr>
                <w:rFonts w:ascii="宋体" w:hAnsi="宋体" w:cs="宋体" w:eastAsia="宋体" w:hint="default"/>
                <w:sz w:val="18"/>
                <w:szCs w:val="18"/>
              </w:rPr>
              <w:t>1-2</w:t>
            </w:r>
            <w:r>
              <w:rPr>
                <w:rFonts w:ascii="宋体" w:hAnsi="宋体" w:cs="宋体" w:eastAsia="宋体" w:hint="default"/>
                <w:spacing w:val="-63"/>
                <w:sz w:val="18"/>
                <w:szCs w:val="18"/>
              </w:rPr>
              <w:t> </w:t>
            </w:r>
            <w:r>
              <w:rPr>
                <w:rFonts w:ascii="宋体" w:hAnsi="宋体" w:cs="宋体" w:eastAsia="宋体" w:hint="default"/>
                <w:sz w:val="18"/>
                <w:szCs w:val="18"/>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7.81</w:t>
            </w:r>
          </w:p>
        </w:tc>
        <w:tc>
          <w:tcPr>
            <w:tcW w:w="13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3"/>
              <w:ind w:left="7" w:right="0"/>
              <w:jc w:val="center"/>
              <w:rPr>
                <w:rFonts w:ascii="宋体" w:hAnsi="宋体" w:cs="宋体" w:eastAsia="宋体" w:hint="default"/>
                <w:sz w:val="18"/>
                <w:szCs w:val="18"/>
              </w:rPr>
            </w:pPr>
            <w:r>
              <w:rPr>
                <w:rFonts w:ascii="宋体"/>
                <w:sz w:val="18"/>
              </w:rPr>
              <w:t>2,665,642.44</w:t>
            </w:r>
          </w:p>
        </w:tc>
      </w:tr>
      <w:tr>
        <w:trPr>
          <w:trHeight w:val="363" w:hRule="exact"/>
        </w:trPr>
        <w:tc>
          <w:tcPr>
            <w:tcW w:w="286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陕西福星电网设备有限责任公司</w:t>
            </w:r>
          </w:p>
        </w:tc>
        <w:tc>
          <w:tcPr>
            <w:tcW w:w="6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5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left="163" w:right="0"/>
              <w:jc w:val="left"/>
              <w:rPr>
                <w:rFonts w:ascii="宋体" w:hAnsi="宋体" w:cs="宋体" w:eastAsia="宋体" w:hint="default"/>
                <w:sz w:val="18"/>
                <w:szCs w:val="18"/>
              </w:rPr>
            </w:pPr>
            <w:r>
              <w:rPr>
                <w:rFonts w:ascii="宋体"/>
                <w:sz w:val="18"/>
              </w:rPr>
              <w:t>61,050,673.03</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7.48</w:t>
            </w:r>
          </w:p>
        </w:tc>
        <w:tc>
          <w:tcPr>
            <w:tcW w:w="13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3"/>
              <w:ind w:left="7" w:right="0"/>
              <w:jc w:val="center"/>
              <w:rPr>
                <w:rFonts w:ascii="宋体" w:hAnsi="宋体" w:cs="宋体" w:eastAsia="宋体" w:hint="default"/>
                <w:sz w:val="18"/>
                <w:szCs w:val="18"/>
              </w:rPr>
            </w:pPr>
            <w:r>
              <w:rPr>
                <w:rFonts w:ascii="宋体"/>
                <w:sz w:val="18"/>
              </w:rPr>
              <w:t>1,831,520.19</w:t>
            </w:r>
          </w:p>
        </w:tc>
      </w:tr>
    </w:tbl>
    <w:p>
      <w:pPr>
        <w:spacing w:after="0" w:line="240" w:lineRule="auto"/>
        <w:jc w:val="center"/>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b/>
          <w:bCs/>
          <w:sz w:val="29"/>
          <w:szCs w:val="29"/>
        </w:rPr>
      </w:pPr>
    </w:p>
    <w:tbl>
      <w:tblPr>
        <w:tblW w:w="0" w:type="auto"/>
        <w:jc w:val="left"/>
        <w:tblInd w:w="1150" w:type="dxa"/>
        <w:tblLayout w:type="fixed"/>
        <w:tblCellMar>
          <w:top w:w="0" w:type="dxa"/>
          <w:left w:w="0" w:type="dxa"/>
          <w:bottom w:w="0" w:type="dxa"/>
          <w:right w:w="0" w:type="dxa"/>
        </w:tblCellMar>
        <w:tblLook w:val="01E0"/>
      </w:tblPr>
      <w:tblGrid>
        <w:gridCol w:w="2864"/>
        <w:gridCol w:w="616"/>
        <w:gridCol w:w="1511"/>
        <w:gridCol w:w="1559"/>
        <w:gridCol w:w="1702"/>
        <w:gridCol w:w="1323"/>
      </w:tblGrid>
      <w:tr>
        <w:trPr>
          <w:trHeight w:val="362" w:hRule="exact"/>
        </w:trPr>
        <w:tc>
          <w:tcPr>
            <w:tcW w:w="286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广西桂越电力科技有限公司</w:t>
            </w:r>
          </w:p>
        </w:tc>
        <w:tc>
          <w:tcPr>
            <w:tcW w:w="6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5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37,445,094.47</w:t>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663" w:right="0"/>
              <w:jc w:val="left"/>
              <w:rPr>
                <w:rFonts w:ascii="宋体" w:hAnsi="宋体" w:cs="宋体" w:eastAsia="宋体" w:hint="default"/>
                <w:sz w:val="18"/>
                <w:szCs w:val="18"/>
              </w:rPr>
            </w:pPr>
            <w:r>
              <w:rPr>
                <w:rFonts w:ascii="宋体"/>
                <w:sz w:val="18"/>
              </w:rPr>
              <w:t>4.59</w:t>
            </w:r>
          </w:p>
        </w:tc>
        <w:tc>
          <w:tcPr>
            <w:tcW w:w="132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2"/>
              <w:ind w:left="7" w:right="0"/>
              <w:jc w:val="center"/>
              <w:rPr>
                <w:rFonts w:ascii="宋体" w:hAnsi="宋体" w:cs="宋体" w:eastAsia="宋体" w:hint="default"/>
                <w:sz w:val="18"/>
                <w:szCs w:val="18"/>
              </w:rPr>
            </w:pPr>
            <w:r>
              <w:rPr>
                <w:rFonts w:ascii="宋体"/>
                <w:sz w:val="18"/>
              </w:rPr>
              <w:t>1,123,352.83</w:t>
            </w:r>
          </w:p>
        </w:tc>
      </w:tr>
      <w:tr>
        <w:trPr>
          <w:trHeight w:val="355" w:hRule="exact"/>
        </w:trPr>
        <w:tc>
          <w:tcPr>
            <w:tcW w:w="28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江苏省电力公司物资供应公司</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36,026,449.96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663" w:right="0"/>
              <w:jc w:val="left"/>
              <w:rPr>
                <w:rFonts w:ascii="宋体" w:hAnsi="宋体" w:cs="宋体" w:eastAsia="宋体" w:hint="default"/>
                <w:sz w:val="18"/>
                <w:szCs w:val="18"/>
              </w:rPr>
            </w:pPr>
            <w:r>
              <w:rPr>
                <w:rFonts w:ascii="宋体"/>
                <w:sz w:val="18"/>
              </w:rPr>
              <w:t>4.42</w:t>
            </w:r>
          </w:p>
        </w:tc>
        <w:tc>
          <w:tcPr>
            <w:tcW w:w="13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3"/>
              <w:ind w:left="7" w:right="0"/>
              <w:jc w:val="center"/>
              <w:rPr>
                <w:rFonts w:ascii="宋体" w:hAnsi="宋体" w:cs="宋体" w:eastAsia="宋体" w:hint="default"/>
                <w:sz w:val="18"/>
                <w:szCs w:val="18"/>
              </w:rPr>
            </w:pPr>
            <w:r>
              <w:rPr>
                <w:rFonts w:ascii="宋体"/>
                <w:sz w:val="18"/>
              </w:rPr>
              <w:t>1,080,793.50</w:t>
            </w:r>
          </w:p>
        </w:tc>
      </w:tr>
      <w:tr>
        <w:trPr>
          <w:trHeight w:val="355" w:hRule="exact"/>
        </w:trPr>
        <w:tc>
          <w:tcPr>
            <w:tcW w:w="28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浙江顺唐电力科技有限公司</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26,470,278.21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663" w:right="0"/>
              <w:jc w:val="left"/>
              <w:rPr>
                <w:rFonts w:ascii="宋体" w:hAnsi="宋体" w:cs="宋体" w:eastAsia="宋体" w:hint="default"/>
                <w:sz w:val="18"/>
                <w:szCs w:val="18"/>
              </w:rPr>
            </w:pPr>
            <w:r>
              <w:rPr>
                <w:rFonts w:ascii="宋体"/>
                <w:sz w:val="18"/>
              </w:rPr>
              <w:t>3.24</w:t>
            </w:r>
          </w:p>
        </w:tc>
        <w:tc>
          <w:tcPr>
            <w:tcW w:w="13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3"/>
              <w:ind w:left="7" w:right="0"/>
              <w:jc w:val="center"/>
              <w:rPr>
                <w:rFonts w:ascii="宋体" w:hAnsi="宋体" w:cs="宋体" w:eastAsia="宋体" w:hint="default"/>
                <w:sz w:val="18"/>
                <w:szCs w:val="18"/>
              </w:rPr>
            </w:pPr>
            <w:r>
              <w:rPr>
                <w:rFonts w:ascii="宋体"/>
                <w:sz w:val="18"/>
              </w:rPr>
              <w:t>794,108.35</w:t>
            </w:r>
          </w:p>
        </w:tc>
      </w:tr>
      <w:tr>
        <w:trPr>
          <w:trHeight w:val="363" w:hRule="exact"/>
        </w:trPr>
        <w:tc>
          <w:tcPr>
            <w:tcW w:w="286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616" w:type="dxa"/>
            <w:tcBorders>
              <w:top w:val="single" w:sz="6" w:space="0" w:color="000000"/>
              <w:left w:val="single" w:sz="6" w:space="0" w:color="000000"/>
              <w:bottom w:val="single" w:sz="12" w:space="0" w:color="000000"/>
              <w:right w:val="single" w:sz="6" w:space="0" w:color="000000"/>
            </w:tcBorders>
          </w:tcPr>
          <w:p>
            <w:pPr/>
          </w:p>
        </w:tc>
        <w:tc>
          <w:tcPr>
            <w:tcW w:w="15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sz w:val="18"/>
              </w:rPr>
              <w:t>224,687,803.54</w:t>
            </w:r>
          </w:p>
        </w:tc>
        <w:tc>
          <w:tcPr>
            <w:tcW w:w="1559"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left="618" w:right="0"/>
              <w:jc w:val="left"/>
              <w:rPr>
                <w:rFonts w:ascii="宋体" w:hAnsi="宋体" w:cs="宋体" w:eastAsia="宋体" w:hint="default"/>
                <w:sz w:val="18"/>
                <w:szCs w:val="18"/>
              </w:rPr>
            </w:pPr>
            <w:r>
              <w:rPr>
                <w:rFonts w:ascii="宋体"/>
                <w:sz w:val="18"/>
              </w:rPr>
              <w:t>27.54</w:t>
            </w:r>
          </w:p>
        </w:tc>
        <w:tc>
          <w:tcPr>
            <w:tcW w:w="13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3"/>
              <w:ind w:left="7" w:right="0"/>
              <w:jc w:val="center"/>
              <w:rPr>
                <w:rFonts w:ascii="宋体" w:hAnsi="宋体" w:cs="宋体" w:eastAsia="宋体" w:hint="default"/>
                <w:sz w:val="18"/>
                <w:szCs w:val="18"/>
              </w:rPr>
            </w:pPr>
            <w:r>
              <w:rPr>
                <w:rFonts w:ascii="宋体"/>
                <w:sz w:val="18"/>
              </w:rPr>
              <w:t>7,495,417.31</w:t>
            </w:r>
          </w:p>
        </w:tc>
      </w:tr>
    </w:tbl>
    <w:p>
      <w:pPr>
        <w:spacing w:before="72"/>
        <w:ind w:left="1134" w:right="0" w:firstLine="0"/>
        <w:jc w:val="left"/>
        <w:rPr>
          <w:rFonts w:ascii="宋体" w:hAnsi="宋体" w:cs="宋体" w:eastAsia="宋体" w:hint="default"/>
          <w:sz w:val="20"/>
          <w:szCs w:val="20"/>
        </w:rPr>
      </w:pPr>
      <w:bookmarkStart w:name="（5）因金融资产转移而终止确认的应收账款" w:id="232"/>
      <w:bookmarkEnd w:id="232"/>
      <w:r>
        <w:rPr/>
      </w:r>
      <w:r>
        <w:rPr>
          <w:rFonts w:ascii="宋体" w:hAnsi="宋体" w:cs="宋体" w:eastAsia="宋体" w:hint="default"/>
          <w:b/>
          <w:bCs/>
          <w:sz w:val="20"/>
          <w:szCs w:val="20"/>
        </w:rPr>
        <w:t>（</w:t>
      </w:r>
      <w:r>
        <w:rPr>
          <w:rFonts w:ascii="宋体" w:hAnsi="宋体" w:cs="宋体" w:eastAsia="宋体" w:hint="default"/>
          <w:b/>
          <w:bCs/>
          <w:sz w:val="20"/>
          <w:szCs w:val="20"/>
        </w:rPr>
        <w:t>5</w:t>
      </w:r>
      <w:r>
        <w:rPr>
          <w:rFonts w:ascii="宋体" w:hAnsi="宋体" w:cs="宋体" w:eastAsia="宋体" w:hint="default"/>
          <w:b/>
          <w:bCs/>
          <w:sz w:val="20"/>
          <w:szCs w:val="20"/>
        </w:rPr>
        <w:t>）因金融资产转移而终止确认的应收账款</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6）转移应收账款且继续涉入形成的资产、负债金额" w:id="233"/>
      <w:bookmarkEnd w:id="233"/>
      <w:r>
        <w:rPr/>
      </w:r>
      <w:r>
        <w:rPr>
          <w:rFonts w:ascii="宋体" w:hAnsi="宋体" w:cs="宋体" w:eastAsia="宋体" w:hint="default"/>
          <w:b/>
          <w:bCs/>
          <w:sz w:val="20"/>
          <w:szCs w:val="20"/>
        </w:rPr>
        <w:t>（</w:t>
      </w:r>
      <w:r>
        <w:rPr>
          <w:rFonts w:ascii="宋体" w:hAnsi="宋体" w:cs="宋体" w:eastAsia="宋体" w:hint="default"/>
          <w:b/>
          <w:bCs/>
          <w:sz w:val="20"/>
          <w:szCs w:val="20"/>
        </w:rPr>
        <w:t>6</w:t>
      </w:r>
      <w:r>
        <w:rPr>
          <w:rFonts w:ascii="宋体" w:hAnsi="宋体" w:cs="宋体" w:eastAsia="宋体" w:hint="default"/>
          <w:b/>
          <w:bCs/>
          <w:sz w:val="20"/>
          <w:szCs w:val="20"/>
        </w:rPr>
        <w:t>）转移应收账款且继续涉入形成的资产、负债金额</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134" w:right="8968"/>
        <w:jc w:val="left"/>
      </w:pPr>
      <w:r>
        <w:rPr/>
        <w:t>□ 适用 √</w:t>
      </w:r>
      <w:r>
        <w:rPr>
          <w:spacing w:val="-1"/>
        </w:rPr>
        <w:t> </w:t>
      </w:r>
      <w:r>
        <w:rPr/>
        <w:t>不适用</w:t>
      </w:r>
      <w:r>
        <w:rPr/>
        <w:t> 其他说明：</w:t>
      </w:r>
    </w:p>
    <w:p>
      <w:pPr>
        <w:pStyle w:val="BodyText"/>
        <w:spacing w:line="408" w:lineRule="auto" w:before="46"/>
        <w:ind w:right="0" w:firstLine="420"/>
        <w:jc w:val="left"/>
      </w:pPr>
      <w:r>
        <w:rPr>
          <w:spacing w:val="-1"/>
        </w:rPr>
        <w:t>应收账款余额年末数比年初数增加</w:t>
      </w:r>
      <w:r>
        <w:rPr>
          <w:rFonts w:ascii="宋体" w:hAnsi="宋体" w:cs="宋体" w:eastAsia="宋体" w:hint="default"/>
          <w:spacing w:val="-1"/>
        </w:rPr>
        <w:t>180,873,073.37</w:t>
      </w:r>
      <w:r>
        <w:rPr>
          <w:spacing w:val="-1"/>
        </w:rPr>
        <w:t>元，增加比例为</w:t>
      </w:r>
      <w:r>
        <w:rPr>
          <w:rFonts w:ascii="宋体" w:hAnsi="宋体" w:cs="宋体" w:eastAsia="宋体" w:hint="default"/>
          <w:spacing w:val="-1"/>
        </w:rPr>
        <w:t>28.48%</w:t>
      </w:r>
      <w:r>
        <w:rPr>
          <w:spacing w:val="-1"/>
        </w:rPr>
        <w:t>，增加的主要原因为：子公</w:t>
      </w:r>
      <w:r>
        <w:rPr/>
        <w:t> 司湖北索瑞销售规模扩大，应收账款余额增加所致。</w:t>
      </w:r>
    </w:p>
    <w:p>
      <w:pPr>
        <w:spacing w:before="55"/>
        <w:ind w:left="1134" w:right="0" w:firstLine="0"/>
        <w:jc w:val="left"/>
        <w:rPr>
          <w:rFonts w:ascii="宋体" w:hAnsi="宋体" w:cs="宋体" w:eastAsia="宋体" w:hint="default"/>
          <w:sz w:val="20"/>
          <w:szCs w:val="20"/>
        </w:rPr>
      </w:pPr>
      <w:bookmarkStart w:name="6、预付款项" w:id="234"/>
      <w:bookmarkEnd w:id="234"/>
      <w:r>
        <w:rPr/>
      </w:r>
      <w:r>
        <w:rPr>
          <w:rFonts w:ascii="宋体" w:hAnsi="宋体" w:cs="宋体" w:eastAsia="宋体" w:hint="default"/>
          <w:b/>
          <w:bCs/>
          <w:sz w:val="20"/>
          <w:szCs w:val="20"/>
        </w:rPr>
        <w:t>6</w:t>
      </w:r>
      <w:r>
        <w:rPr>
          <w:rFonts w:ascii="宋体" w:hAnsi="宋体" w:cs="宋体" w:eastAsia="宋体" w:hint="default"/>
          <w:b/>
          <w:bCs/>
          <w:sz w:val="20"/>
          <w:szCs w:val="20"/>
        </w:rPr>
        <w:t>、预付款项</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预付款项按账龄列示" w:id="235"/>
      <w:bookmarkEnd w:id="235"/>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）预付款项按账龄列示</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1896"/>
        <w:gridCol w:w="1926"/>
        <w:gridCol w:w="1914"/>
        <w:gridCol w:w="1914"/>
        <w:gridCol w:w="1915"/>
      </w:tblGrid>
      <w:tr>
        <w:trPr>
          <w:trHeight w:val="219" w:hRule="exact"/>
        </w:trPr>
        <w:tc>
          <w:tcPr>
            <w:tcW w:w="1896"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840"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96"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3840" w:type="dxa"/>
            <w:gridSpan w:val="2"/>
            <w:vMerge/>
            <w:tcBorders>
              <w:left w:val="single" w:sz="6" w:space="0" w:color="000000"/>
              <w:bottom w:val="single" w:sz="6" w:space="0" w:color="000000"/>
              <w:right w:val="single" w:sz="6" w:space="0" w:color="000000"/>
            </w:tcBorders>
            <w:shd w:val="clear" w:color="auto" w:fill="D2D2D2"/>
          </w:tcPr>
          <w:p>
            <w:pPr/>
          </w:p>
        </w:tc>
        <w:tc>
          <w:tcPr>
            <w:tcW w:w="3829" w:type="dxa"/>
            <w:gridSpan w:val="2"/>
            <w:vMerge/>
            <w:tcBorders>
              <w:left w:val="single" w:sz="6" w:space="0" w:color="000000"/>
              <w:bottom w:val="single" w:sz="6" w:space="0" w:color="000000"/>
              <w:right w:val="single" w:sz="12" w:space="0" w:color="000000"/>
            </w:tcBorders>
            <w:shd w:val="clear" w:color="auto" w:fill="D2D2D2"/>
          </w:tcPr>
          <w:p>
            <w:pPr/>
          </w:p>
        </w:tc>
      </w:tr>
      <w:tr>
        <w:trPr>
          <w:trHeight w:val="196" w:hRule="exact"/>
        </w:trPr>
        <w:tc>
          <w:tcPr>
            <w:tcW w:w="1896" w:type="dxa"/>
            <w:vMerge/>
            <w:tcBorders>
              <w:left w:val="single" w:sz="12" w:space="0" w:color="000000"/>
              <w:bottom w:val="nil" w:sz="6" w:space="0" w:color="auto"/>
              <w:right w:val="single" w:sz="6" w:space="0" w:color="000000"/>
            </w:tcBorders>
            <w:shd w:val="clear" w:color="auto" w:fill="D2D2D2"/>
          </w:tcPr>
          <w:p>
            <w:pPr/>
          </w:p>
        </w:tc>
        <w:tc>
          <w:tcPr>
            <w:tcW w:w="192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10" w:hRule="exact"/>
        </w:trPr>
        <w:tc>
          <w:tcPr>
            <w:tcW w:w="1896" w:type="dxa"/>
            <w:tcBorders>
              <w:top w:val="nil" w:sz="6" w:space="0" w:color="auto"/>
              <w:left w:val="single" w:sz="12" w:space="0" w:color="000000"/>
              <w:bottom w:val="single" w:sz="6" w:space="0" w:color="000000"/>
              <w:right w:val="single" w:sz="6" w:space="0" w:color="000000"/>
            </w:tcBorders>
            <w:shd w:val="clear" w:color="auto" w:fill="D2D2D2"/>
          </w:tcPr>
          <w:p>
            <w:pPr/>
          </w:p>
        </w:tc>
        <w:tc>
          <w:tcPr>
            <w:tcW w:w="1926"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2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2,759,654.96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84.92%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3,508,071.57</w:t>
            </w:r>
          </w:p>
        </w:tc>
        <w:tc>
          <w:tcPr>
            <w:tcW w:w="19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74.40%</w:t>
            </w:r>
          </w:p>
        </w:tc>
      </w:tr>
      <w:tr>
        <w:trPr>
          <w:trHeight w:val="408"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30,000.00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0.92%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177,138.76</w:t>
            </w:r>
          </w:p>
        </w:tc>
        <w:tc>
          <w:tcPr>
            <w:tcW w:w="19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3.76%</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460,000.00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14.16%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1,030,000.00</w:t>
            </w:r>
          </w:p>
        </w:tc>
        <w:tc>
          <w:tcPr>
            <w:tcW w:w="19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21.84%</w:t>
            </w:r>
          </w:p>
        </w:tc>
      </w:tr>
      <w:tr>
        <w:trPr>
          <w:trHeight w:val="415" w:hRule="exact"/>
        </w:trPr>
        <w:tc>
          <w:tcPr>
            <w:tcW w:w="18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6" w:space="0" w:color="000000"/>
              <w:left w:val="single" w:sz="14" w:space="0" w:color="D2D2D2"/>
              <w:bottom w:val="single" w:sz="12" w:space="0" w:color="000000"/>
              <w:right w:val="single" w:sz="14" w:space="0" w:color="D2D2D2"/>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3,249,654.96</w:t>
            </w:r>
          </w:p>
        </w:tc>
        <w:tc>
          <w:tcPr>
            <w:tcW w:w="191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914" w:type="dxa"/>
            <w:tcBorders>
              <w:top w:val="single" w:sz="6" w:space="0" w:color="000000"/>
              <w:left w:val="single" w:sz="14" w:space="0" w:color="D2D2D2"/>
              <w:bottom w:val="single" w:sz="12" w:space="0" w:color="000000"/>
              <w:right w:val="single" w:sz="14" w:space="0" w:color="D2D2D2"/>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4,715,210.33</w:t>
            </w:r>
          </w:p>
        </w:tc>
        <w:tc>
          <w:tcPr>
            <w:tcW w:w="1915"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sz w:val="18"/>
              </w:rPr>
              <w:t>--</w:t>
            </w:r>
          </w:p>
        </w:tc>
      </w:tr>
    </w:tbl>
    <w:p>
      <w:pPr>
        <w:spacing w:line="240" w:lineRule="auto" w:before="8"/>
        <w:rPr>
          <w:rFonts w:ascii="宋体" w:hAnsi="宋体" w:cs="宋体" w:eastAsia="宋体" w:hint="default"/>
          <w:sz w:val="19"/>
          <w:szCs w:val="19"/>
        </w:rPr>
      </w:pPr>
    </w:p>
    <w:p>
      <w:pPr>
        <w:spacing w:before="38"/>
        <w:ind w:left="1134" w:right="0" w:firstLine="0"/>
        <w:jc w:val="left"/>
        <w:rPr>
          <w:rFonts w:ascii="宋体" w:hAnsi="宋体" w:cs="宋体" w:eastAsia="宋体" w:hint="default"/>
          <w:sz w:val="20"/>
          <w:szCs w:val="20"/>
        </w:rPr>
      </w:pPr>
      <w:bookmarkStart w:name="（2）按预付对象归集的期末余额前五名的预付款情况" w:id="236"/>
      <w:bookmarkEnd w:id="236"/>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）按预付对象归集的期末余额前五名的预付款情况</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tbl>
      <w:tblPr>
        <w:tblW w:w="0" w:type="auto"/>
        <w:jc w:val="left"/>
        <w:tblInd w:w="1113" w:type="dxa"/>
        <w:tblLayout w:type="fixed"/>
        <w:tblCellMar>
          <w:top w:w="0" w:type="dxa"/>
          <w:left w:w="0" w:type="dxa"/>
          <w:bottom w:w="0" w:type="dxa"/>
          <w:right w:w="0" w:type="dxa"/>
        </w:tblCellMar>
        <w:tblLook w:val="01E0"/>
      </w:tblPr>
      <w:tblGrid>
        <w:gridCol w:w="3834"/>
        <w:gridCol w:w="1276"/>
        <w:gridCol w:w="1842"/>
        <w:gridCol w:w="710"/>
        <w:gridCol w:w="1984"/>
      </w:tblGrid>
      <w:tr>
        <w:trPr>
          <w:trHeight w:val="434" w:hRule="exact"/>
        </w:trPr>
        <w:tc>
          <w:tcPr>
            <w:tcW w:w="383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right="10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8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9"/>
              <w:ind w:left="3"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26" w:hRule="exact"/>
        </w:trPr>
        <w:tc>
          <w:tcPr>
            <w:tcW w:w="38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南京创乾科技有限公司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1,151,700.00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left="3" w:right="0"/>
              <w:jc w:val="center"/>
              <w:rPr>
                <w:rFonts w:ascii="宋体" w:hAnsi="宋体" w:cs="宋体" w:eastAsia="宋体" w:hint="default"/>
                <w:sz w:val="18"/>
                <w:szCs w:val="18"/>
              </w:rPr>
            </w:pPr>
            <w:r>
              <w:rPr>
                <w:rFonts w:ascii="宋体" w:hAnsi="宋体" w:cs="宋体" w:eastAsia="宋体" w:hint="default"/>
                <w:sz w:val="18"/>
                <w:szCs w:val="18"/>
              </w:rPr>
              <w:t>业务未完未结算</w:t>
            </w:r>
          </w:p>
        </w:tc>
      </w:tr>
      <w:tr>
        <w:trPr>
          <w:trHeight w:val="426" w:hRule="exact"/>
        </w:trPr>
        <w:tc>
          <w:tcPr>
            <w:tcW w:w="38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南京天心软件科技有限公司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490,000.00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left="3" w:right="0"/>
              <w:jc w:val="center"/>
              <w:rPr>
                <w:rFonts w:ascii="宋体" w:hAnsi="宋体" w:cs="宋体" w:eastAsia="宋体" w:hint="default"/>
                <w:sz w:val="18"/>
                <w:szCs w:val="18"/>
              </w:rPr>
            </w:pPr>
            <w:r>
              <w:rPr>
                <w:rFonts w:ascii="宋体" w:hAnsi="宋体" w:cs="宋体" w:eastAsia="宋体" w:hint="default"/>
                <w:sz w:val="18"/>
                <w:szCs w:val="18"/>
              </w:rPr>
              <w:t>业务未完未结算</w:t>
            </w:r>
          </w:p>
        </w:tc>
      </w:tr>
      <w:tr>
        <w:trPr>
          <w:trHeight w:val="426" w:hRule="exact"/>
        </w:trPr>
        <w:tc>
          <w:tcPr>
            <w:tcW w:w="38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中国石化销售有限公司江苏南京石油分公司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249,131.87</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left="3" w:right="0"/>
              <w:jc w:val="center"/>
              <w:rPr>
                <w:rFonts w:ascii="宋体" w:hAnsi="宋体" w:cs="宋体" w:eastAsia="宋体" w:hint="default"/>
                <w:sz w:val="18"/>
                <w:szCs w:val="18"/>
              </w:rPr>
            </w:pPr>
            <w:r>
              <w:rPr>
                <w:rFonts w:ascii="宋体" w:hAnsi="宋体" w:cs="宋体" w:eastAsia="宋体" w:hint="default"/>
                <w:sz w:val="18"/>
                <w:szCs w:val="18"/>
              </w:rPr>
              <w:t>业务未完未结算</w:t>
            </w:r>
          </w:p>
        </w:tc>
      </w:tr>
      <w:tr>
        <w:trPr>
          <w:trHeight w:val="426" w:hRule="exact"/>
        </w:trPr>
        <w:tc>
          <w:tcPr>
            <w:tcW w:w="38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深圳友讯达科技股份有限公司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235,988.00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left="3" w:right="0"/>
              <w:jc w:val="center"/>
              <w:rPr>
                <w:rFonts w:ascii="宋体" w:hAnsi="宋体" w:cs="宋体" w:eastAsia="宋体" w:hint="default"/>
                <w:sz w:val="18"/>
                <w:szCs w:val="18"/>
              </w:rPr>
            </w:pPr>
            <w:r>
              <w:rPr>
                <w:rFonts w:ascii="宋体" w:hAnsi="宋体" w:cs="宋体" w:eastAsia="宋体" w:hint="default"/>
                <w:sz w:val="18"/>
                <w:szCs w:val="18"/>
              </w:rPr>
              <w:t>业务未完未结算</w:t>
            </w:r>
          </w:p>
        </w:tc>
      </w:tr>
      <w:tr>
        <w:trPr>
          <w:trHeight w:val="426" w:hRule="exact"/>
        </w:trPr>
        <w:tc>
          <w:tcPr>
            <w:tcW w:w="38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公安县三源物流有限公司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200,000.00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left="3" w:right="0"/>
              <w:jc w:val="center"/>
              <w:rPr>
                <w:rFonts w:ascii="宋体" w:hAnsi="宋体" w:cs="宋体" w:eastAsia="宋体" w:hint="default"/>
                <w:sz w:val="18"/>
                <w:szCs w:val="18"/>
              </w:rPr>
            </w:pPr>
            <w:r>
              <w:rPr>
                <w:rFonts w:ascii="宋体" w:hAnsi="宋体" w:cs="宋体" w:eastAsia="宋体" w:hint="default"/>
                <w:sz w:val="18"/>
                <w:szCs w:val="18"/>
              </w:rPr>
              <w:t>业务未完未结算</w:t>
            </w:r>
          </w:p>
        </w:tc>
      </w:tr>
      <w:tr>
        <w:trPr>
          <w:trHeight w:val="434" w:hRule="exact"/>
        </w:trPr>
        <w:tc>
          <w:tcPr>
            <w:tcW w:w="383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6" w:space="0" w:color="000000"/>
              <w:left w:val="single" w:sz="6" w:space="0" w:color="000000"/>
              <w:bottom w:val="single" w:sz="12" w:space="0" w:color="000000"/>
              <w:right w:val="single" w:sz="6" w:space="0" w:color="000000"/>
            </w:tcBorders>
          </w:tcPr>
          <w:p>
            <w:pP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2,326,819.87</w:t>
            </w:r>
          </w:p>
        </w:tc>
        <w:tc>
          <w:tcPr>
            <w:tcW w:w="710" w:type="dxa"/>
            <w:tcBorders>
              <w:top w:val="single" w:sz="6" w:space="0" w:color="000000"/>
              <w:left w:val="single" w:sz="6" w:space="0" w:color="000000"/>
              <w:bottom w:val="single" w:sz="12" w:space="0" w:color="000000"/>
              <w:right w:val="single" w:sz="6" w:space="0" w:color="000000"/>
            </w:tcBorders>
          </w:tcPr>
          <w:p>
            <w:pPr/>
          </w:p>
        </w:tc>
        <w:tc>
          <w:tcPr>
            <w:tcW w:w="1984"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40" w:lineRule="auto" w:before="63"/>
        <w:ind w:left="1134" w:right="0"/>
        <w:jc w:val="left"/>
      </w:pPr>
      <w:r>
        <w:rPr/>
        <w:t>其他说明：</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spacing w:val="-1"/>
        </w:rPr>
        <w:t>预付账款年末数比年初数减少</w:t>
      </w:r>
      <w:r>
        <w:rPr>
          <w:rFonts w:ascii="宋体" w:hAnsi="宋体" w:cs="宋体" w:eastAsia="宋体" w:hint="default"/>
          <w:spacing w:val="-1"/>
        </w:rPr>
        <w:t>1,465,555.37</w:t>
      </w:r>
      <w:r>
        <w:rPr>
          <w:spacing w:val="-1"/>
        </w:rPr>
        <w:t>元，减少比例为</w:t>
      </w:r>
      <w:r>
        <w:rPr>
          <w:rFonts w:ascii="宋体" w:hAnsi="宋体" w:cs="宋体" w:eastAsia="宋体" w:hint="default"/>
          <w:spacing w:val="-1"/>
        </w:rPr>
        <w:t>31.08%</w:t>
      </w:r>
      <w:r>
        <w:rPr>
          <w:spacing w:val="-1"/>
        </w:rPr>
        <w:t>，减少主要原因为：本期期初预付</w:t>
      </w:r>
      <w:r>
        <w:rPr/>
        <w:t> 款项业务本期完结结算。</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3" w:right="0" w:firstLine="0"/>
        <w:jc w:val="left"/>
        <w:rPr>
          <w:rFonts w:ascii="宋体" w:hAnsi="宋体" w:cs="宋体" w:eastAsia="宋体" w:hint="default"/>
          <w:sz w:val="20"/>
          <w:szCs w:val="20"/>
        </w:rPr>
      </w:pPr>
      <w:bookmarkStart w:name="7、应收利息" w:id="237"/>
      <w:bookmarkEnd w:id="237"/>
      <w:r>
        <w:rPr/>
      </w:r>
      <w:r>
        <w:rPr>
          <w:rFonts w:ascii="宋体" w:hAnsi="宋体" w:cs="宋体" w:eastAsia="宋体" w:hint="default"/>
          <w:b/>
          <w:bCs/>
          <w:sz w:val="20"/>
          <w:szCs w:val="20"/>
        </w:rPr>
        <w:t>7</w:t>
      </w:r>
      <w:r>
        <w:rPr>
          <w:rFonts w:ascii="宋体" w:hAnsi="宋体" w:cs="宋体" w:eastAsia="宋体" w:hint="default"/>
          <w:b/>
          <w:bCs/>
          <w:sz w:val="20"/>
          <w:szCs w:val="20"/>
        </w:rPr>
        <w:t>、应收利息</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3" w:right="0" w:firstLine="0"/>
        <w:jc w:val="left"/>
        <w:rPr>
          <w:rFonts w:ascii="宋体" w:hAnsi="宋体" w:cs="宋体" w:eastAsia="宋体" w:hint="default"/>
          <w:sz w:val="20"/>
          <w:szCs w:val="20"/>
        </w:rPr>
      </w:pPr>
      <w:bookmarkStart w:name="（1）应收利息分类" w:id="238"/>
      <w:bookmarkEnd w:id="238"/>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）应收利息分类</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174"/>
        <w:gridCol w:w="3201"/>
        <w:gridCol w:w="3188"/>
      </w:tblGrid>
      <w:tr>
        <w:trPr>
          <w:trHeight w:val="414" w:hRule="exact"/>
        </w:trPr>
        <w:tc>
          <w:tcPr>
            <w:tcW w:w="317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395"/>
              <w:jc w:val="right"/>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629,896.43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579,682.22</w:t>
            </w:r>
          </w:p>
        </w:tc>
      </w:tr>
      <w:tr>
        <w:trPr>
          <w:trHeight w:val="416" w:hRule="exact"/>
        </w:trPr>
        <w:tc>
          <w:tcPr>
            <w:tcW w:w="317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1395"/>
              <w:jc w:val="righ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629,896.43</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579,682.22</w:t>
            </w:r>
          </w:p>
        </w:tc>
      </w:tr>
    </w:tbl>
    <w:p>
      <w:pPr>
        <w:spacing w:before="72"/>
        <w:ind w:left="1134" w:right="0" w:firstLine="0"/>
        <w:jc w:val="left"/>
        <w:rPr>
          <w:rFonts w:ascii="宋体" w:hAnsi="宋体" w:cs="宋体" w:eastAsia="宋体" w:hint="default"/>
          <w:sz w:val="20"/>
          <w:szCs w:val="20"/>
        </w:rPr>
      </w:pPr>
      <w:bookmarkStart w:name="（2）重要逾期利息" w:id="239"/>
      <w:bookmarkEnd w:id="239"/>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）重要逾期利息</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8、应收股利" w:id="240"/>
      <w:bookmarkEnd w:id="240"/>
      <w:r>
        <w:rPr/>
      </w:r>
      <w:r>
        <w:rPr>
          <w:rFonts w:ascii="宋体" w:hAnsi="宋体" w:cs="宋体" w:eastAsia="宋体" w:hint="default"/>
          <w:b/>
          <w:bCs/>
          <w:sz w:val="20"/>
          <w:szCs w:val="20"/>
        </w:rPr>
        <w:t>8</w:t>
      </w:r>
      <w:r>
        <w:rPr>
          <w:rFonts w:ascii="宋体" w:hAnsi="宋体" w:cs="宋体" w:eastAsia="宋体" w:hint="default"/>
          <w:b/>
          <w:bCs/>
          <w:sz w:val="20"/>
          <w:szCs w:val="20"/>
        </w:rPr>
        <w:t>、应收股利</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应收股利" w:id="241"/>
      <w:bookmarkEnd w:id="241"/>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）应收股利</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重要的账龄超过1年的应收股利" w:id="242"/>
      <w:bookmarkEnd w:id="242"/>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）重要的账龄超过</w:t>
      </w:r>
      <w:r>
        <w:rPr>
          <w:rFonts w:ascii="宋体" w:hAnsi="宋体" w:cs="宋体" w:eastAsia="宋体" w:hint="default"/>
          <w:b/>
          <w:bCs/>
          <w:spacing w:val="-51"/>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年的应收股利</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9、其他应收款" w:id="243"/>
      <w:bookmarkEnd w:id="243"/>
      <w:r>
        <w:rPr/>
      </w:r>
      <w:r>
        <w:rPr>
          <w:rFonts w:ascii="宋体" w:hAnsi="宋体" w:cs="宋体" w:eastAsia="宋体" w:hint="default"/>
          <w:b/>
          <w:bCs/>
          <w:sz w:val="20"/>
          <w:szCs w:val="20"/>
        </w:rPr>
        <w:t>9</w:t>
      </w:r>
      <w:r>
        <w:rPr>
          <w:rFonts w:ascii="宋体" w:hAnsi="宋体" w:cs="宋体" w:eastAsia="宋体" w:hint="default"/>
          <w:b/>
          <w:bCs/>
          <w:sz w:val="20"/>
          <w:szCs w:val="20"/>
        </w:rPr>
        <w:t>、其他应收款</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其他应收款分类披露" w:id="244"/>
      <w:bookmarkEnd w:id="244"/>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）其他应收款分类披露</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287" w:type="dxa"/>
        <w:tblLayout w:type="fixed"/>
        <w:tblCellMar>
          <w:top w:w="0" w:type="dxa"/>
          <w:left w:w="0" w:type="dxa"/>
          <w:bottom w:w="0" w:type="dxa"/>
          <w:right w:w="0" w:type="dxa"/>
        </w:tblCellMar>
        <w:tblLook w:val="01E0"/>
      </w:tblPr>
      <w:tblGrid>
        <w:gridCol w:w="1143"/>
        <w:gridCol w:w="1287"/>
        <w:gridCol w:w="708"/>
        <w:gridCol w:w="1276"/>
        <w:gridCol w:w="574"/>
        <w:gridCol w:w="1270"/>
        <w:gridCol w:w="1276"/>
        <w:gridCol w:w="708"/>
        <w:gridCol w:w="1206"/>
        <w:gridCol w:w="568"/>
        <w:gridCol w:w="1293"/>
      </w:tblGrid>
      <w:tr>
        <w:trPr>
          <w:trHeight w:val="263" w:hRule="exact"/>
        </w:trPr>
        <w:tc>
          <w:tcPr>
            <w:tcW w:w="1143" w:type="dxa"/>
            <w:vMerge w:val="restart"/>
            <w:tcBorders>
              <w:top w:val="single" w:sz="12" w:space="0" w:color="000000"/>
              <w:left w:val="single" w:sz="12" w:space="0" w:color="000000"/>
              <w:right w:val="single" w:sz="6" w:space="0" w:color="000000"/>
            </w:tcBorders>
            <w:shd w:val="clear" w:color="auto" w:fill="D2D2D2"/>
          </w:tcPr>
          <w:p>
            <w:pPr/>
          </w:p>
        </w:tc>
        <w:tc>
          <w:tcPr>
            <w:tcW w:w="5115" w:type="dxa"/>
            <w:gridSpan w:val="5"/>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17" w:lineRule="exact"/>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051"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17" w:lineRule="exact"/>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8" w:hRule="exact"/>
        </w:trPr>
        <w:tc>
          <w:tcPr>
            <w:tcW w:w="1143" w:type="dxa"/>
            <w:vMerge/>
            <w:tcBorders>
              <w:left w:val="single" w:sz="12" w:space="0" w:color="000000"/>
              <w:bottom w:val="nil" w:sz="6" w:space="0" w:color="auto"/>
              <w:right w:val="single" w:sz="6" w:space="0" w:color="000000"/>
            </w:tcBorders>
            <w:shd w:val="clear" w:color="auto" w:fill="D2D2D2"/>
          </w:tcPr>
          <w:p>
            <w:pPr/>
          </w:p>
        </w:tc>
        <w:tc>
          <w:tcPr>
            <w:tcW w:w="1995"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18" w:lineRule="exact"/>
              <w:ind w:left="6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18" w:lineRule="exact"/>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0" w:type="dxa"/>
            <w:vMerge w:val="restart"/>
            <w:tcBorders>
              <w:top w:val="single" w:sz="6" w:space="0" w:color="000000"/>
              <w:left w:val="single" w:sz="6" w:space="0" w:color="000000"/>
              <w:right w:val="single" w:sz="6" w:space="0" w:color="000000"/>
            </w:tcBorders>
            <w:shd w:val="clear" w:color="auto" w:fill="D2D2D2"/>
          </w:tcPr>
          <w:p>
            <w:pPr/>
          </w:p>
        </w:tc>
        <w:tc>
          <w:tcPr>
            <w:tcW w:w="1984"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18" w:lineRule="exact"/>
              <w:ind w:left="6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74"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18" w:lineRule="exact"/>
              <w:ind w:left="5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93" w:type="dxa"/>
            <w:vMerge w:val="restart"/>
            <w:tcBorders>
              <w:top w:val="single" w:sz="6" w:space="0" w:color="000000"/>
              <w:left w:val="single" w:sz="6" w:space="0" w:color="000000"/>
              <w:right w:val="single" w:sz="12" w:space="0" w:color="000000"/>
            </w:tcBorders>
            <w:shd w:val="clear" w:color="auto" w:fill="D2D2D2"/>
          </w:tcPr>
          <w:p>
            <w:pPr/>
          </w:p>
        </w:tc>
      </w:tr>
      <w:tr>
        <w:trPr>
          <w:trHeight w:val="127" w:hRule="exact"/>
        </w:trPr>
        <w:tc>
          <w:tcPr>
            <w:tcW w:w="1143" w:type="dxa"/>
            <w:vMerge w:val="restart"/>
            <w:tcBorders>
              <w:top w:val="nil" w:sz="6" w:space="0" w:color="auto"/>
              <w:left w:val="single" w:sz="12" w:space="0" w:color="000000"/>
              <w:right w:val="single" w:sz="6" w:space="0" w:color="000000"/>
            </w:tcBorders>
            <w:shd w:val="clear" w:color="auto" w:fill="D2D2D2"/>
          </w:tcPr>
          <w:p>
            <w:pPr>
              <w:pStyle w:val="TableParagraph"/>
              <w:spacing w:line="217" w:lineRule="exact"/>
              <w:ind w:left="-1"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95" w:type="dxa"/>
            <w:gridSpan w:val="2"/>
            <w:vMerge/>
            <w:tcBorders>
              <w:left w:val="single" w:sz="6" w:space="0" w:color="000000"/>
              <w:bottom w:val="single" w:sz="6" w:space="0" w:color="000000"/>
              <w:right w:val="single" w:sz="6" w:space="0" w:color="000000"/>
            </w:tcBorders>
            <w:shd w:val="clear" w:color="auto" w:fill="D2D2D2"/>
          </w:tcPr>
          <w:p>
            <w:pPr/>
          </w:p>
        </w:tc>
        <w:tc>
          <w:tcPr>
            <w:tcW w:w="1850" w:type="dxa"/>
            <w:gridSpan w:val="2"/>
            <w:vMerge/>
            <w:tcBorders>
              <w:left w:val="single" w:sz="6" w:space="0" w:color="000000"/>
              <w:bottom w:val="single" w:sz="6" w:space="0" w:color="000000"/>
              <w:right w:val="single" w:sz="6" w:space="0" w:color="000000"/>
            </w:tcBorders>
            <w:shd w:val="clear" w:color="auto" w:fill="D2D2D2"/>
          </w:tcPr>
          <w:p>
            <w:pPr/>
          </w:p>
        </w:tc>
        <w:tc>
          <w:tcPr>
            <w:tcW w:w="1270" w:type="dxa"/>
            <w:vMerge/>
            <w:tcBorders>
              <w:left w:val="single" w:sz="6" w:space="0" w:color="000000"/>
              <w:bottom w:val="nil" w:sz="6" w:space="0" w:color="auto"/>
              <w:right w:val="single" w:sz="6" w:space="0" w:color="000000"/>
            </w:tcBorders>
            <w:shd w:val="clear" w:color="auto" w:fill="D2D2D2"/>
          </w:tcPr>
          <w:p>
            <w:pPr/>
          </w:p>
        </w:tc>
        <w:tc>
          <w:tcPr>
            <w:tcW w:w="1984" w:type="dxa"/>
            <w:gridSpan w:val="2"/>
            <w:vMerge/>
            <w:tcBorders>
              <w:left w:val="single" w:sz="6" w:space="0" w:color="000000"/>
              <w:bottom w:val="single" w:sz="6" w:space="0" w:color="000000"/>
              <w:right w:val="single" w:sz="6" w:space="0" w:color="000000"/>
            </w:tcBorders>
            <w:shd w:val="clear" w:color="auto" w:fill="D2D2D2"/>
          </w:tcPr>
          <w:p>
            <w:pPr/>
          </w:p>
        </w:tc>
        <w:tc>
          <w:tcPr>
            <w:tcW w:w="1774" w:type="dxa"/>
            <w:gridSpan w:val="2"/>
            <w:vMerge/>
            <w:tcBorders>
              <w:left w:val="single" w:sz="6" w:space="0" w:color="000000"/>
              <w:bottom w:val="single" w:sz="6" w:space="0" w:color="000000"/>
              <w:right w:val="single" w:sz="6" w:space="0" w:color="000000"/>
            </w:tcBorders>
            <w:shd w:val="clear" w:color="auto" w:fill="D2D2D2"/>
          </w:tcPr>
          <w:p>
            <w:pPr/>
          </w:p>
        </w:tc>
        <w:tc>
          <w:tcPr>
            <w:tcW w:w="1293" w:type="dxa"/>
            <w:vMerge/>
            <w:tcBorders>
              <w:left w:val="single" w:sz="6" w:space="0" w:color="000000"/>
              <w:bottom w:val="nil" w:sz="6" w:space="0" w:color="auto"/>
              <w:right w:val="single" w:sz="12" w:space="0" w:color="000000"/>
            </w:tcBorders>
            <w:shd w:val="clear" w:color="auto" w:fill="D2D2D2"/>
          </w:tcPr>
          <w:p>
            <w:pPr/>
          </w:p>
        </w:tc>
      </w:tr>
      <w:tr>
        <w:trPr>
          <w:trHeight w:val="124" w:hRule="exact"/>
        </w:trPr>
        <w:tc>
          <w:tcPr>
            <w:tcW w:w="1143" w:type="dxa"/>
            <w:vMerge/>
            <w:tcBorders>
              <w:left w:val="single" w:sz="12" w:space="0" w:color="000000"/>
              <w:bottom w:val="single" w:sz="6" w:space="0" w:color="FFFFFF"/>
              <w:right w:val="single" w:sz="6" w:space="0" w:color="000000"/>
            </w:tcBorders>
            <w:shd w:val="clear" w:color="auto" w:fill="D2D2D2"/>
          </w:tcPr>
          <w:p>
            <w:pPr/>
          </w:p>
        </w:tc>
        <w:tc>
          <w:tcPr>
            <w:tcW w:w="1287" w:type="dxa"/>
            <w:tcBorders>
              <w:top w:val="single" w:sz="6" w:space="0" w:color="000000"/>
              <w:left w:val="single" w:sz="6" w:space="0" w:color="000000"/>
              <w:bottom w:val="single" w:sz="6" w:space="0" w:color="FFFFFF"/>
              <w:right w:val="single" w:sz="6" w:space="0" w:color="000000"/>
            </w:tcBorders>
            <w:shd w:val="clear" w:color="auto" w:fill="D2D2D2"/>
          </w:tcPr>
          <w:p>
            <w:pPr/>
          </w:p>
        </w:tc>
        <w:tc>
          <w:tcPr>
            <w:tcW w:w="708" w:type="dxa"/>
            <w:tcBorders>
              <w:top w:val="single" w:sz="6" w:space="0" w:color="000000"/>
              <w:left w:val="single" w:sz="6" w:space="0" w:color="000000"/>
              <w:bottom w:val="single" w:sz="6" w:space="0" w:color="FFFFFF"/>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FFFFFF"/>
              <w:right w:val="single" w:sz="6" w:space="0" w:color="000000"/>
            </w:tcBorders>
            <w:shd w:val="clear" w:color="auto" w:fill="D2D2D2"/>
          </w:tcPr>
          <w:p>
            <w:pPr/>
          </w:p>
        </w:tc>
        <w:tc>
          <w:tcPr>
            <w:tcW w:w="57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exact"/>
              <w:ind w:left="98" w:right="99"/>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70" w:type="dxa"/>
            <w:vMerge w:val="restart"/>
            <w:tcBorders>
              <w:top w:val="nil" w:sz="6" w:space="0" w:color="auto"/>
              <w:left w:val="single" w:sz="6" w:space="0" w:color="000000"/>
              <w:right w:val="single" w:sz="6" w:space="0" w:color="000000"/>
            </w:tcBorders>
            <w:shd w:val="clear" w:color="auto" w:fill="D2D2D2"/>
          </w:tcPr>
          <w:p>
            <w:pPr>
              <w:pStyle w:val="TableParagraph"/>
              <w:spacing w:line="217" w:lineRule="exact"/>
              <w:ind w:left="2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6" w:type="dxa"/>
            <w:tcBorders>
              <w:top w:val="single" w:sz="6" w:space="0" w:color="000000"/>
              <w:left w:val="single" w:sz="6" w:space="0" w:color="000000"/>
              <w:bottom w:val="nil" w:sz="6" w:space="0" w:color="auto"/>
              <w:right w:val="single" w:sz="6" w:space="0" w:color="000000"/>
            </w:tcBorders>
            <w:shd w:val="clear" w:color="auto" w:fill="D2D2D2"/>
          </w:tcPr>
          <w:p>
            <w:pPr/>
          </w:p>
        </w:tc>
        <w:tc>
          <w:tcPr>
            <w:tcW w:w="708"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6" w:type="dxa"/>
            <w:tcBorders>
              <w:top w:val="single" w:sz="6" w:space="0" w:color="000000"/>
              <w:left w:val="single" w:sz="6" w:space="0" w:color="000000"/>
              <w:bottom w:val="nil" w:sz="6" w:space="0" w:color="auto"/>
              <w:right w:val="single" w:sz="6" w:space="0" w:color="000000"/>
            </w:tcBorders>
            <w:shd w:val="clear" w:color="auto" w:fill="D2D2D2"/>
          </w:tcPr>
          <w:p>
            <w:pPr/>
          </w:p>
        </w:tc>
        <w:tc>
          <w:tcPr>
            <w:tcW w:w="56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exact"/>
              <w:ind w:left="97" w:right="95"/>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93" w:type="dxa"/>
            <w:vMerge w:val="restart"/>
            <w:tcBorders>
              <w:top w:val="nil" w:sz="6" w:space="0" w:color="auto"/>
              <w:left w:val="single" w:sz="6" w:space="0" w:color="000000"/>
              <w:right w:val="single" w:sz="12" w:space="0" w:color="000000"/>
            </w:tcBorders>
            <w:shd w:val="clear" w:color="auto" w:fill="D2D2D2"/>
          </w:tcPr>
          <w:p>
            <w:pPr>
              <w:pStyle w:val="TableParagraph"/>
              <w:spacing w:line="217" w:lineRule="exact"/>
              <w:ind w:left="27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16" w:hRule="exact"/>
        </w:trPr>
        <w:tc>
          <w:tcPr>
            <w:tcW w:w="1143" w:type="dxa"/>
            <w:vMerge w:val="restart"/>
            <w:tcBorders>
              <w:top w:val="single" w:sz="6" w:space="0" w:color="FFFFFF"/>
              <w:left w:val="single" w:sz="12" w:space="0" w:color="000000"/>
              <w:right w:val="single" w:sz="6" w:space="0" w:color="000000"/>
            </w:tcBorders>
            <w:shd w:val="clear" w:color="auto" w:fill="D2D2D2"/>
          </w:tcPr>
          <w:p>
            <w:pPr/>
          </w:p>
        </w:tc>
        <w:tc>
          <w:tcPr>
            <w:tcW w:w="1287" w:type="dxa"/>
            <w:vMerge w:val="restart"/>
            <w:tcBorders>
              <w:top w:val="single" w:sz="6" w:space="0" w:color="FFFFFF"/>
              <w:left w:val="single" w:sz="6" w:space="0" w:color="000000"/>
              <w:right w:val="single" w:sz="6" w:space="0" w:color="000000"/>
            </w:tcBorders>
            <w:shd w:val="clear" w:color="auto" w:fill="D2D2D2"/>
          </w:tcPr>
          <w:p>
            <w:pPr>
              <w:pStyle w:val="TableParagraph"/>
              <w:spacing w:line="214" w:lineRule="exact"/>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single" w:sz="6" w:space="0" w:color="FFFFFF"/>
              <w:left w:val="single" w:sz="6" w:space="0" w:color="000000"/>
              <w:right w:val="single" w:sz="6" w:space="0" w:color="000000"/>
            </w:tcBorders>
            <w:shd w:val="clear" w:color="auto" w:fill="D2D2D2"/>
          </w:tcPr>
          <w:p>
            <w:pPr>
              <w:pStyle w:val="TableParagraph"/>
              <w:spacing w:line="214" w:lineRule="exact"/>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vMerge w:val="restart"/>
            <w:tcBorders>
              <w:top w:val="single" w:sz="6" w:space="0" w:color="FFFFFF"/>
              <w:left w:val="single" w:sz="6" w:space="0" w:color="000000"/>
              <w:right w:val="single" w:sz="6" w:space="0" w:color="000000"/>
            </w:tcBorders>
            <w:shd w:val="clear" w:color="auto" w:fill="D2D2D2"/>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74" w:type="dxa"/>
            <w:vMerge/>
            <w:tcBorders>
              <w:left w:val="single" w:sz="6" w:space="0" w:color="000000"/>
              <w:right w:val="single" w:sz="6" w:space="0" w:color="000000"/>
            </w:tcBorders>
            <w:shd w:val="clear" w:color="auto" w:fill="D2D2D2"/>
          </w:tcPr>
          <w:p>
            <w:pPr/>
          </w:p>
        </w:tc>
        <w:tc>
          <w:tcPr>
            <w:tcW w:w="1270"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21"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6" w:space="0" w:color="000000"/>
              <w:right w:val="single" w:sz="6" w:space="0" w:color="000000"/>
            </w:tcBorders>
            <w:shd w:val="clear" w:color="auto" w:fill="D2D2D2"/>
          </w:tcPr>
          <w:p>
            <w:pPr>
              <w:pStyle w:val="TableParagraph"/>
              <w:spacing w:line="221" w:lineRule="exact"/>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06" w:type="dxa"/>
            <w:vMerge w:val="restart"/>
            <w:tcBorders>
              <w:top w:val="nil" w:sz="6" w:space="0" w:color="auto"/>
              <w:left w:val="single" w:sz="6" w:space="0" w:color="000000"/>
              <w:right w:val="single" w:sz="6" w:space="0" w:color="000000"/>
            </w:tcBorders>
            <w:shd w:val="clear" w:color="auto" w:fill="D2D2D2"/>
          </w:tcPr>
          <w:p>
            <w:pPr>
              <w:pStyle w:val="TableParagraph"/>
              <w:spacing w:line="221"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vMerge/>
            <w:tcBorders>
              <w:left w:val="single" w:sz="6" w:space="0" w:color="000000"/>
              <w:right w:val="single" w:sz="6" w:space="0" w:color="000000"/>
            </w:tcBorders>
            <w:shd w:val="clear" w:color="auto" w:fill="D2D2D2"/>
          </w:tcPr>
          <w:p>
            <w:pPr/>
          </w:p>
        </w:tc>
        <w:tc>
          <w:tcPr>
            <w:tcW w:w="1293" w:type="dxa"/>
            <w:vMerge/>
            <w:tcBorders>
              <w:left w:val="single" w:sz="6" w:space="0" w:color="000000"/>
              <w:bottom w:val="nil" w:sz="6" w:space="0" w:color="auto"/>
              <w:right w:val="single" w:sz="12" w:space="0" w:color="000000"/>
            </w:tcBorders>
            <w:shd w:val="clear" w:color="auto" w:fill="D2D2D2"/>
          </w:tcPr>
          <w:p>
            <w:pPr/>
          </w:p>
        </w:tc>
      </w:tr>
      <w:tr>
        <w:trPr>
          <w:trHeight w:val="254" w:hRule="exact"/>
        </w:trPr>
        <w:tc>
          <w:tcPr>
            <w:tcW w:w="1143" w:type="dxa"/>
            <w:vMerge/>
            <w:tcBorders>
              <w:left w:val="single" w:sz="12" w:space="0" w:color="000000"/>
              <w:bottom w:val="single" w:sz="6" w:space="0" w:color="000000"/>
              <w:right w:val="single" w:sz="6" w:space="0" w:color="000000"/>
            </w:tcBorders>
            <w:shd w:val="clear" w:color="auto" w:fill="D2D2D2"/>
          </w:tcPr>
          <w:p>
            <w:pPr/>
          </w:p>
        </w:tc>
        <w:tc>
          <w:tcPr>
            <w:tcW w:w="1287" w:type="dxa"/>
            <w:vMerge/>
            <w:tcBorders>
              <w:left w:val="single" w:sz="6" w:space="0" w:color="000000"/>
              <w:bottom w:val="single" w:sz="6" w:space="0" w:color="000000"/>
              <w:right w:val="single" w:sz="6" w:space="0" w:color="000000"/>
            </w:tcBorders>
            <w:shd w:val="clear" w:color="auto" w:fill="D2D2D2"/>
          </w:tcPr>
          <w:p>
            <w:pPr/>
          </w:p>
        </w:tc>
        <w:tc>
          <w:tcPr>
            <w:tcW w:w="708"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574" w:type="dxa"/>
            <w:vMerge/>
            <w:tcBorders>
              <w:left w:val="single" w:sz="6" w:space="0" w:color="000000"/>
              <w:bottom w:val="single" w:sz="6" w:space="0" w:color="000000"/>
              <w:right w:val="single" w:sz="6" w:space="0" w:color="000000"/>
            </w:tcBorders>
            <w:shd w:val="clear" w:color="auto" w:fill="D2D2D2"/>
          </w:tcPr>
          <w:p>
            <w:pPr/>
          </w:p>
        </w:tc>
        <w:tc>
          <w:tcPr>
            <w:tcW w:w="1270"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708" w:type="dxa"/>
            <w:vMerge/>
            <w:tcBorders>
              <w:left w:val="single" w:sz="6" w:space="0" w:color="000000"/>
              <w:bottom w:val="single" w:sz="6" w:space="0" w:color="000000"/>
              <w:right w:val="single" w:sz="6" w:space="0" w:color="000000"/>
            </w:tcBorders>
            <w:shd w:val="clear" w:color="auto" w:fill="D2D2D2"/>
          </w:tcPr>
          <w:p>
            <w:pPr/>
          </w:p>
        </w:tc>
        <w:tc>
          <w:tcPr>
            <w:tcW w:w="1206" w:type="dxa"/>
            <w:vMerge/>
            <w:tcBorders>
              <w:left w:val="single" w:sz="6" w:space="0" w:color="000000"/>
              <w:bottom w:val="single" w:sz="6" w:space="0" w:color="000000"/>
              <w:right w:val="single" w:sz="6" w:space="0" w:color="000000"/>
            </w:tcBorders>
            <w:shd w:val="clear" w:color="auto" w:fill="D2D2D2"/>
          </w:tcPr>
          <w:p>
            <w:pPr/>
          </w:p>
        </w:tc>
        <w:tc>
          <w:tcPr>
            <w:tcW w:w="568" w:type="dxa"/>
            <w:vMerge/>
            <w:tcBorders>
              <w:left w:val="single" w:sz="6" w:space="0" w:color="000000"/>
              <w:bottom w:val="single" w:sz="6" w:space="0" w:color="000000"/>
              <w:right w:val="single" w:sz="6" w:space="0" w:color="000000"/>
            </w:tcBorders>
            <w:shd w:val="clear" w:color="auto" w:fill="D2D2D2"/>
          </w:tcPr>
          <w:p>
            <w:pPr/>
          </w:p>
        </w:tc>
        <w:tc>
          <w:tcPr>
            <w:tcW w:w="1293"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976" w:hRule="exact"/>
        </w:trPr>
        <w:tc>
          <w:tcPr>
            <w:tcW w:w="114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before="1"/>
              <w:ind w:left="6" w:right="32"/>
              <w:jc w:val="both"/>
              <w:rPr>
                <w:rFonts w:ascii="宋体" w:hAnsi="宋体" w:cs="宋体" w:eastAsia="宋体" w:hint="default"/>
                <w:sz w:val="18"/>
                <w:szCs w:val="18"/>
              </w:rPr>
            </w:pPr>
            <w:r>
              <w:rPr>
                <w:rFonts w:ascii="宋体" w:hAnsi="宋体" w:cs="宋体" w:eastAsia="宋体" w:hint="default"/>
                <w:sz w:val="18"/>
                <w:szCs w:val="18"/>
              </w:rPr>
              <w:t>单项金额重大 并单独计提坏 账准备的其他 应收款</w:t>
            </w:r>
          </w:p>
        </w:tc>
        <w:tc>
          <w:tcPr>
            <w:tcW w:w="1287" w:type="dxa"/>
            <w:tcBorders>
              <w:top w:val="single" w:sz="54" w:space="0" w:color="D2D2D2"/>
              <w:left w:val="single" w:sz="14" w:space="0" w:color="D2D2D2"/>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67,500,000.00</w:t>
            </w:r>
          </w:p>
        </w:tc>
        <w:tc>
          <w:tcPr>
            <w:tcW w:w="708" w:type="dxa"/>
            <w:tcBorders>
              <w:top w:val="single" w:sz="54" w:space="0" w:color="D2D2D2"/>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73.03%</w:t>
            </w:r>
          </w:p>
        </w:tc>
        <w:tc>
          <w:tcPr>
            <w:tcW w:w="1276" w:type="dxa"/>
            <w:tcBorders>
              <w:top w:val="single" w:sz="54" w:space="0" w:color="D2D2D2"/>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67,500,000.00</w:t>
            </w:r>
          </w:p>
        </w:tc>
        <w:tc>
          <w:tcPr>
            <w:tcW w:w="1276" w:type="dxa"/>
            <w:tcBorders>
              <w:top w:val="single" w:sz="54" w:space="0" w:color="D2D2D2"/>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78,750,000.00</w:t>
            </w:r>
          </w:p>
        </w:tc>
        <w:tc>
          <w:tcPr>
            <w:tcW w:w="708" w:type="dxa"/>
            <w:tcBorders>
              <w:top w:val="single" w:sz="54" w:space="0" w:color="D2D2D2"/>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77.01%</w:t>
            </w:r>
          </w:p>
        </w:tc>
        <w:tc>
          <w:tcPr>
            <w:tcW w:w="1206" w:type="dxa"/>
            <w:tcBorders>
              <w:top w:val="single" w:sz="54" w:space="0" w:color="D2D2D2"/>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
              <w:jc w:val="right"/>
              <w:rPr>
                <w:rFonts w:ascii="宋体" w:hAnsi="宋体" w:cs="宋体" w:eastAsia="宋体" w:hint="default"/>
                <w:sz w:val="18"/>
                <w:szCs w:val="18"/>
              </w:rPr>
            </w:pPr>
            <w:r>
              <w:rPr>
                <w:rFonts w:ascii="宋体"/>
                <w:sz w:val="18"/>
              </w:rPr>
              <w:t>78,750,000.00</w:t>
            </w:r>
          </w:p>
        </w:tc>
      </w:tr>
      <w:tr>
        <w:trPr>
          <w:trHeight w:val="974" w:hRule="exact"/>
        </w:trPr>
        <w:tc>
          <w:tcPr>
            <w:tcW w:w="114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exact"/>
              <w:ind w:left="6" w:right="32"/>
              <w:jc w:val="both"/>
              <w:rPr>
                <w:rFonts w:ascii="宋体" w:hAnsi="宋体" w:cs="宋体" w:eastAsia="宋体" w:hint="default"/>
                <w:sz w:val="18"/>
                <w:szCs w:val="18"/>
              </w:rPr>
            </w:pPr>
            <w:r>
              <w:rPr>
                <w:rFonts w:ascii="宋体" w:hAnsi="宋体" w:cs="宋体" w:eastAsia="宋体" w:hint="default"/>
                <w:sz w:val="18"/>
                <w:szCs w:val="18"/>
              </w:rPr>
              <w:t>按信用风险特 征组合计提坏 账准备的其他 应收款</w:t>
            </w:r>
          </w:p>
        </w:tc>
        <w:tc>
          <w:tcPr>
            <w:tcW w:w="128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24,928,321.56</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z w:val="18"/>
              </w:rPr>
              <w:t>26.97%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60" w:right="0"/>
              <w:jc w:val="left"/>
              <w:rPr>
                <w:rFonts w:ascii="宋体" w:hAnsi="宋体" w:cs="宋体" w:eastAsia="宋体" w:hint="default"/>
                <w:sz w:val="18"/>
                <w:szCs w:val="18"/>
              </w:rPr>
            </w:pPr>
            <w:r>
              <w:rPr>
                <w:rFonts w:ascii="宋体"/>
                <w:sz w:val="18"/>
              </w:rPr>
              <w:t>1,998,674.99</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87" w:right="0"/>
              <w:jc w:val="left"/>
              <w:rPr>
                <w:rFonts w:ascii="宋体" w:hAnsi="宋体" w:cs="宋体" w:eastAsia="宋体" w:hint="default"/>
                <w:sz w:val="18"/>
                <w:szCs w:val="18"/>
              </w:rPr>
            </w:pPr>
            <w:r>
              <w:rPr>
                <w:rFonts w:ascii="宋体"/>
                <w:sz w:val="18"/>
              </w:rPr>
              <w:t>8.02%</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22,929,646.57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23,508,693.63</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22.99%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91" w:right="0"/>
              <w:jc w:val="left"/>
              <w:rPr>
                <w:rFonts w:ascii="宋体" w:hAnsi="宋体" w:cs="宋体" w:eastAsia="宋体" w:hint="default"/>
                <w:sz w:val="18"/>
                <w:szCs w:val="18"/>
              </w:rPr>
            </w:pPr>
            <w:r>
              <w:rPr>
                <w:rFonts w:ascii="宋体"/>
                <w:sz w:val="18"/>
              </w:rPr>
              <w:t>1,601,459.95</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82" w:right="0"/>
              <w:jc w:val="left"/>
              <w:rPr>
                <w:rFonts w:ascii="宋体" w:hAnsi="宋体" w:cs="宋体" w:eastAsia="宋体" w:hint="default"/>
                <w:sz w:val="18"/>
                <w:szCs w:val="18"/>
              </w:rPr>
            </w:pPr>
            <w:r>
              <w:rPr>
                <w:rFonts w:ascii="宋体"/>
                <w:sz w:val="18"/>
              </w:rPr>
              <w:t>6.81%</w:t>
            </w:r>
          </w:p>
        </w:tc>
        <w:tc>
          <w:tcPr>
            <w:tcW w:w="12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
              <w:jc w:val="right"/>
              <w:rPr>
                <w:rFonts w:ascii="宋体" w:hAnsi="宋体" w:cs="宋体" w:eastAsia="宋体" w:hint="default"/>
                <w:sz w:val="18"/>
                <w:szCs w:val="18"/>
              </w:rPr>
            </w:pPr>
            <w:r>
              <w:rPr>
                <w:rFonts w:ascii="宋体"/>
                <w:sz w:val="18"/>
              </w:rPr>
              <w:t>21,907,233.68</w:t>
            </w:r>
          </w:p>
        </w:tc>
      </w:tr>
      <w:tr>
        <w:trPr>
          <w:trHeight w:val="128" w:hRule="exact"/>
        </w:trPr>
        <w:tc>
          <w:tcPr>
            <w:tcW w:w="1143" w:type="dxa"/>
            <w:tcBorders>
              <w:top w:val="single" w:sz="6" w:space="0" w:color="000000"/>
              <w:left w:val="single" w:sz="12" w:space="0" w:color="000000"/>
              <w:bottom w:val="nil" w:sz="6" w:space="0" w:color="auto"/>
              <w:right w:val="single" w:sz="6" w:space="0" w:color="000000"/>
            </w:tcBorders>
            <w:shd w:val="clear" w:color="auto" w:fill="D2D2D2"/>
          </w:tcPr>
          <w:p>
            <w:pPr/>
          </w:p>
        </w:tc>
        <w:tc>
          <w:tcPr>
            <w:tcW w:w="1287" w:type="dxa"/>
            <w:vMerge w:val="restart"/>
            <w:tcBorders>
              <w:top w:val="single" w:sz="6" w:space="0" w:color="000000"/>
              <w:left w:val="single" w:sz="14" w:space="0" w:color="D2D2D2"/>
              <w:right w:val="single" w:sz="6" w:space="0" w:color="000000"/>
            </w:tcBorders>
          </w:tcPr>
          <w:p>
            <w:pPr>
              <w:pStyle w:val="TableParagraph"/>
              <w:spacing w:line="240" w:lineRule="auto" w:before="103"/>
              <w:ind w:left="71" w:right="0"/>
              <w:jc w:val="left"/>
              <w:rPr>
                <w:rFonts w:ascii="宋体" w:hAnsi="宋体" w:cs="宋体" w:eastAsia="宋体" w:hint="default"/>
                <w:sz w:val="18"/>
                <w:szCs w:val="18"/>
              </w:rPr>
            </w:pPr>
            <w:r>
              <w:rPr>
                <w:rFonts w:ascii="宋体"/>
                <w:sz w:val="18"/>
              </w:rPr>
              <w:t>92,428,321.56</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103"/>
              <w:ind w:left="41" w:right="0"/>
              <w:jc w:val="left"/>
              <w:rPr>
                <w:rFonts w:ascii="宋体" w:hAnsi="宋体" w:cs="宋体" w:eastAsia="宋体" w:hint="default"/>
                <w:sz w:val="18"/>
                <w:szCs w:val="18"/>
              </w:rPr>
            </w:pPr>
            <w:r>
              <w:rPr>
                <w:rFonts w:ascii="宋体"/>
                <w:sz w:val="18"/>
              </w:rPr>
              <w:t>100.00%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103"/>
              <w:ind w:left="160" w:right="0"/>
              <w:jc w:val="left"/>
              <w:rPr>
                <w:rFonts w:ascii="宋体" w:hAnsi="宋体" w:cs="宋体" w:eastAsia="宋体" w:hint="default"/>
                <w:sz w:val="18"/>
                <w:szCs w:val="18"/>
              </w:rPr>
            </w:pPr>
            <w:r>
              <w:rPr>
                <w:rFonts w:ascii="宋体"/>
                <w:sz w:val="18"/>
              </w:rPr>
              <w:t>1,998,674.99</w:t>
            </w:r>
          </w:p>
        </w:tc>
        <w:tc>
          <w:tcPr>
            <w:tcW w:w="574" w:type="dxa"/>
            <w:vMerge w:val="restart"/>
            <w:tcBorders>
              <w:top w:val="single" w:sz="6" w:space="0" w:color="000000"/>
              <w:left w:val="single" w:sz="6" w:space="0" w:color="000000"/>
              <w:right w:val="single" w:sz="6" w:space="0" w:color="000000"/>
            </w:tcBorders>
          </w:tcPr>
          <w:p>
            <w:pPr>
              <w:pStyle w:val="TableParagraph"/>
              <w:spacing w:line="240" w:lineRule="auto" w:before="103"/>
              <w:ind w:left="87" w:right="0"/>
              <w:jc w:val="left"/>
              <w:rPr>
                <w:rFonts w:ascii="宋体" w:hAnsi="宋体" w:cs="宋体" w:eastAsia="宋体" w:hint="default"/>
                <w:sz w:val="18"/>
                <w:szCs w:val="18"/>
              </w:rPr>
            </w:pPr>
            <w:r>
              <w:rPr>
                <w:rFonts w:ascii="宋体"/>
                <w:sz w:val="18"/>
              </w:rPr>
              <w:t>2.16%</w:t>
            </w:r>
          </w:p>
        </w:tc>
        <w:tc>
          <w:tcPr>
            <w:tcW w:w="1270" w:type="dxa"/>
            <w:vMerge w:val="restart"/>
            <w:tcBorders>
              <w:top w:val="single" w:sz="6" w:space="0" w:color="000000"/>
              <w:left w:val="single" w:sz="6" w:space="0" w:color="000000"/>
              <w:right w:val="single" w:sz="6" w:space="0" w:color="000000"/>
            </w:tcBorders>
          </w:tcPr>
          <w:p>
            <w:pPr>
              <w:pStyle w:val="TableParagraph"/>
              <w:spacing w:line="240" w:lineRule="auto" w:before="103"/>
              <w:ind w:left="64" w:right="0"/>
              <w:jc w:val="left"/>
              <w:rPr>
                <w:rFonts w:ascii="宋体" w:hAnsi="宋体" w:cs="宋体" w:eastAsia="宋体" w:hint="default"/>
                <w:sz w:val="18"/>
                <w:szCs w:val="18"/>
              </w:rPr>
            </w:pPr>
            <w:r>
              <w:rPr>
                <w:rFonts w:ascii="宋体"/>
                <w:sz w:val="18"/>
              </w:rPr>
              <w:t>90,429,646.57</w:t>
            </w:r>
          </w:p>
        </w:tc>
        <w:tc>
          <w:tcPr>
            <w:tcW w:w="1276" w:type="dxa"/>
            <w:vMerge w:val="restart"/>
            <w:tcBorders>
              <w:top w:val="single" w:sz="6" w:space="0" w:color="000000"/>
              <w:left w:val="single" w:sz="6" w:space="0" w:color="000000"/>
              <w:right w:val="single" w:sz="6" w:space="0" w:color="000000"/>
            </w:tcBorders>
          </w:tcPr>
          <w:p>
            <w:pPr>
              <w:pStyle w:val="TableParagraph"/>
              <w:spacing w:line="219" w:lineRule="exact"/>
              <w:ind w:right="18"/>
              <w:jc w:val="right"/>
              <w:rPr>
                <w:rFonts w:ascii="宋体" w:hAnsi="宋体" w:cs="宋体" w:eastAsia="宋体" w:hint="default"/>
                <w:sz w:val="18"/>
                <w:szCs w:val="18"/>
              </w:rPr>
            </w:pPr>
            <w:r>
              <w:rPr>
                <w:rFonts w:ascii="宋体"/>
                <w:sz w:val="18"/>
              </w:rPr>
              <w:t>102,258,693.6</w:t>
            </w:r>
          </w:p>
          <w:p>
            <w:pPr>
              <w:pStyle w:val="TableParagraph"/>
              <w:spacing w:line="240" w:lineRule="auto" w:before="4"/>
              <w:ind w:right="18"/>
              <w:jc w:val="right"/>
              <w:rPr>
                <w:rFonts w:ascii="宋体" w:hAnsi="宋体" w:cs="宋体" w:eastAsia="宋体" w:hint="default"/>
                <w:sz w:val="18"/>
                <w:szCs w:val="18"/>
              </w:rPr>
            </w:pPr>
            <w:r>
              <w:rPr>
                <w:rFonts w:ascii="宋体"/>
                <w:sz w:val="18"/>
              </w:rPr>
              <w:t>3</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103"/>
              <w:ind w:left="43" w:right="0"/>
              <w:jc w:val="left"/>
              <w:rPr>
                <w:rFonts w:ascii="宋体" w:hAnsi="宋体" w:cs="宋体" w:eastAsia="宋体" w:hint="default"/>
                <w:sz w:val="18"/>
                <w:szCs w:val="18"/>
              </w:rPr>
            </w:pPr>
            <w:r>
              <w:rPr>
                <w:rFonts w:ascii="宋体"/>
                <w:sz w:val="18"/>
              </w:rPr>
              <w:t>100.00%</w:t>
            </w:r>
          </w:p>
        </w:tc>
        <w:tc>
          <w:tcPr>
            <w:tcW w:w="1206" w:type="dxa"/>
            <w:vMerge w:val="restart"/>
            <w:tcBorders>
              <w:top w:val="single" w:sz="6" w:space="0" w:color="000000"/>
              <w:left w:val="single" w:sz="6" w:space="0" w:color="000000"/>
              <w:right w:val="single" w:sz="6" w:space="0" w:color="000000"/>
            </w:tcBorders>
          </w:tcPr>
          <w:p>
            <w:pPr>
              <w:pStyle w:val="TableParagraph"/>
              <w:spacing w:line="240" w:lineRule="auto" w:before="103"/>
              <w:ind w:left="91" w:right="0"/>
              <w:jc w:val="left"/>
              <w:rPr>
                <w:rFonts w:ascii="宋体" w:hAnsi="宋体" w:cs="宋体" w:eastAsia="宋体" w:hint="default"/>
                <w:sz w:val="18"/>
                <w:szCs w:val="18"/>
              </w:rPr>
            </w:pPr>
            <w:r>
              <w:rPr>
                <w:rFonts w:ascii="宋体"/>
                <w:sz w:val="18"/>
              </w:rPr>
              <w:t>1,601,459.95</w:t>
            </w:r>
          </w:p>
        </w:tc>
        <w:tc>
          <w:tcPr>
            <w:tcW w:w="568" w:type="dxa"/>
            <w:vMerge w:val="restart"/>
            <w:tcBorders>
              <w:top w:val="single" w:sz="6" w:space="0" w:color="000000"/>
              <w:left w:val="single" w:sz="6" w:space="0" w:color="000000"/>
              <w:right w:val="single" w:sz="6" w:space="0" w:color="000000"/>
            </w:tcBorders>
          </w:tcPr>
          <w:p>
            <w:pPr>
              <w:pStyle w:val="TableParagraph"/>
              <w:spacing w:line="240" w:lineRule="auto" w:before="103"/>
              <w:ind w:left="82" w:right="0"/>
              <w:jc w:val="left"/>
              <w:rPr>
                <w:rFonts w:ascii="宋体" w:hAnsi="宋体" w:cs="宋体" w:eastAsia="宋体" w:hint="default"/>
                <w:sz w:val="18"/>
                <w:szCs w:val="18"/>
              </w:rPr>
            </w:pPr>
            <w:r>
              <w:rPr>
                <w:rFonts w:ascii="宋体"/>
                <w:sz w:val="18"/>
              </w:rPr>
              <w:t>1.57%</w:t>
            </w:r>
          </w:p>
        </w:tc>
        <w:tc>
          <w:tcPr>
            <w:tcW w:w="1293" w:type="dxa"/>
            <w:vMerge w:val="restart"/>
            <w:tcBorders>
              <w:top w:val="single" w:sz="6" w:space="0" w:color="000000"/>
              <w:left w:val="single" w:sz="6" w:space="0" w:color="000000"/>
              <w:right w:val="single" w:sz="12" w:space="0" w:color="000000"/>
            </w:tcBorders>
          </w:tcPr>
          <w:p>
            <w:pPr>
              <w:pStyle w:val="TableParagraph"/>
              <w:spacing w:line="219" w:lineRule="exact"/>
              <w:ind w:right="10"/>
              <w:jc w:val="right"/>
              <w:rPr>
                <w:rFonts w:ascii="宋体" w:hAnsi="宋体" w:cs="宋体" w:eastAsia="宋体" w:hint="default"/>
                <w:sz w:val="18"/>
                <w:szCs w:val="18"/>
              </w:rPr>
            </w:pPr>
            <w:r>
              <w:rPr>
                <w:rFonts w:ascii="宋体"/>
                <w:sz w:val="18"/>
              </w:rPr>
              <w:t>100,657,233.6</w:t>
            </w:r>
          </w:p>
          <w:p>
            <w:pPr>
              <w:pStyle w:val="TableParagraph"/>
              <w:spacing w:line="240" w:lineRule="auto" w:before="4"/>
              <w:ind w:right="11"/>
              <w:jc w:val="right"/>
              <w:rPr>
                <w:rFonts w:ascii="宋体" w:hAnsi="宋体" w:cs="宋体" w:eastAsia="宋体" w:hint="default"/>
                <w:sz w:val="18"/>
                <w:szCs w:val="18"/>
              </w:rPr>
            </w:pPr>
            <w:r>
              <w:rPr>
                <w:rFonts w:ascii="宋体"/>
                <w:sz w:val="18"/>
              </w:rPr>
              <w:t>8</w:t>
            </w:r>
          </w:p>
        </w:tc>
      </w:tr>
      <w:tr>
        <w:trPr>
          <w:trHeight w:val="375" w:hRule="exact"/>
        </w:trPr>
        <w:tc>
          <w:tcPr>
            <w:tcW w:w="1143" w:type="dxa"/>
            <w:tcBorders>
              <w:top w:val="nil" w:sz="6" w:space="0" w:color="auto"/>
              <w:left w:val="single" w:sz="12" w:space="0" w:color="000000"/>
              <w:bottom w:val="single" w:sz="12" w:space="0" w:color="000000"/>
              <w:right w:val="single" w:sz="6" w:space="0" w:color="000000"/>
            </w:tcBorders>
            <w:shd w:val="clear" w:color="auto" w:fill="D2D2D2"/>
          </w:tcPr>
          <w:p>
            <w:pPr>
              <w:pStyle w:val="TableParagraph"/>
              <w:spacing w:line="217" w:lineRule="exact"/>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7" w:type="dxa"/>
            <w:vMerge/>
            <w:tcBorders>
              <w:left w:val="single" w:sz="14" w:space="0" w:color="D2D2D2"/>
              <w:bottom w:val="single" w:sz="12" w:space="0" w:color="000000"/>
              <w:right w:val="single" w:sz="6" w:space="0" w:color="000000"/>
            </w:tcBorders>
          </w:tcPr>
          <w:p>
            <w:pPr/>
          </w:p>
        </w:tc>
        <w:tc>
          <w:tcPr>
            <w:tcW w:w="708" w:type="dxa"/>
            <w:vMerge/>
            <w:tcBorders>
              <w:left w:val="single" w:sz="6" w:space="0" w:color="000000"/>
              <w:bottom w:val="single" w:sz="12" w:space="0" w:color="000000"/>
              <w:right w:val="single" w:sz="6" w:space="0" w:color="000000"/>
            </w:tcBorders>
          </w:tcPr>
          <w:p>
            <w:pPr/>
          </w:p>
        </w:tc>
        <w:tc>
          <w:tcPr>
            <w:tcW w:w="1276" w:type="dxa"/>
            <w:vMerge/>
            <w:tcBorders>
              <w:left w:val="single" w:sz="6" w:space="0" w:color="000000"/>
              <w:bottom w:val="single" w:sz="12" w:space="0" w:color="000000"/>
              <w:right w:val="single" w:sz="6" w:space="0" w:color="000000"/>
            </w:tcBorders>
          </w:tcPr>
          <w:p>
            <w:pPr/>
          </w:p>
        </w:tc>
        <w:tc>
          <w:tcPr>
            <w:tcW w:w="574" w:type="dxa"/>
            <w:vMerge/>
            <w:tcBorders>
              <w:left w:val="single" w:sz="6" w:space="0" w:color="000000"/>
              <w:bottom w:val="single" w:sz="12" w:space="0" w:color="000000"/>
              <w:right w:val="single" w:sz="6" w:space="0" w:color="000000"/>
            </w:tcBorders>
          </w:tcPr>
          <w:p>
            <w:pPr/>
          </w:p>
        </w:tc>
        <w:tc>
          <w:tcPr>
            <w:tcW w:w="1270" w:type="dxa"/>
            <w:vMerge/>
            <w:tcBorders>
              <w:left w:val="single" w:sz="6" w:space="0" w:color="000000"/>
              <w:bottom w:val="single" w:sz="12" w:space="0" w:color="000000"/>
              <w:right w:val="single" w:sz="6" w:space="0" w:color="000000"/>
            </w:tcBorders>
          </w:tcPr>
          <w:p>
            <w:pPr/>
          </w:p>
        </w:tc>
        <w:tc>
          <w:tcPr>
            <w:tcW w:w="1276" w:type="dxa"/>
            <w:vMerge/>
            <w:tcBorders>
              <w:left w:val="single" w:sz="6" w:space="0" w:color="000000"/>
              <w:bottom w:val="single" w:sz="12" w:space="0" w:color="000000"/>
              <w:right w:val="single" w:sz="6" w:space="0" w:color="000000"/>
            </w:tcBorders>
          </w:tcPr>
          <w:p>
            <w:pPr/>
          </w:p>
        </w:tc>
        <w:tc>
          <w:tcPr>
            <w:tcW w:w="708" w:type="dxa"/>
            <w:vMerge/>
            <w:tcBorders>
              <w:left w:val="single" w:sz="6" w:space="0" w:color="000000"/>
              <w:bottom w:val="single" w:sz="12" w:space="0" w:color="000000"/>
              <w:right w:val="single" w:sz="6" w:space="0" w:color="000000"/>
            </w:tcBorders>
          </w:tcPr>
          <w:p>
            <w:pPr/>
          </w:p>
        </w:tc>
        <w:tc>
          <w:tcPr>
            <w:tcW w:w="1206" w:type="dxa"/>
            <w:vMerge/>
            <w:tcBorders>
              <w:left w:val="single" w:sz="6" w:space="0" w:color="000000"/>
              <w:bottom w:val="single" w:sz="12" w:space="0" w:color="000000"/>
              <w:right w:val="single" w:sz="6" w:space="0" w:color="000000"/>
            </w:tcBorders>
          </w:tcPr>
          <w:p>
            <w:pPr/>
          </w:p>
        </w:tc>
        <w:tc>
          <w:tcPr>
            <w:tcW w:w="568" w:type="dxa"/>
            <w:vMerge/>
            <w:tcBorders>
              <w:left w:val="single" w:sz="6" w:space="0" w:color="000000"/>
              <w:bottom w:val="single" w:sz="12" w:space="0" w:color="000000"/>
              <w:right w:val="single" w:sz="6" w:space="0" w:color="000000"/>
            </w:tcBorders>
          </w:tcPr>
          <w:p>
            <w:pPr/>
          </w:p>
        </w:tc>
        <w:tc>
          <w:tcPr>
            <w:tcW w:w="1293" w:type="dxa"/>
            <w:vMerge/>
            <w:tcBorders>
              <w:left w:val="single" w:sz="6" w:space="0" w:color="000000"/>
              <w:bottom w:val="single" w:sz="12" w:space="0" w:color="000000"/>
              <w:right w:val="single" w:sz="12" w:space="0" w:color="000000"/>
            </w:tcBorders>
          </w:tcPr>
          <w:p>
            <w:pPr/>
          </w:p>
        </w:tc>
      </w:tr>
    </w:tbl>
    <w:p>
      <w:pPr>
        <w:pStyle w:val="BodyText"/>
        <w:spacing w:line="240" w:lineRule="auto" w:before="63"/>
        <w:ind w:left="1134" w:right="0"/>
        <w:jc w:val="left"/>
      </w:pPr>
      <w:r>
        <w:rPr/>
        <w:t>期末单项金额重大并单项计提坏账准备的其他应收款：</w:t>
      </w:r>
    </w:p>
    <w:p>
      <w:pPr>
        <w:spacing w:line="240" w:lineRule="auto" w:before="10"/>
        <w:rPr>
          <w:rFonts w:ascii="宋体" w:hAnsi="宋体" w:cs="宋体" w:eastAsia="宋体" w:hint="default"/>
          <w:sz w:val="14"/>
          <w:szCs w:val="14"/>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1913"/>
        <w:gridCol w:w="1916"/>
        <w:gridCol w:w="1914"/>
        <w:gridCol w:w="1914"/>
        <w:gridCol w:w="1915"/>
      </w:tblGrid>
      <w:tr>
        <w:trPr>
          <w:trHeight w:val="415" w:hRule="exact"/>
        </w:trPr>
        <w:tc>
          <w:tcPr>
            <w:tcW w:w="1913"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1913" w:type="dxa"/>
            <w:vMerge/>
            <w:tcBorders>
              <w:left w:val="single" w:sz="12" w:space="0" w:color="000000"/>
              <w:bottom w:val="single" w:sz="6" w:space="0" w:color="000000"/>
              <w:right w:val="single" w:sz="6" w:space="0" w:color="000000"/>
            </w:tcBorders>
            <w:shd w:val="clear" w:color="auto" w:fill="D2D2D2"/>
          </w:tcPr>
          <w:p>
            <w:pPr/>
          </w:p>
        </w:tc>
        <w:tc>
          <w:tcPr>
            <w:tcW w:w="1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5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27" w:hRule="exact"/>
        </w:trPr>
        <w:tc>
          <w:tcPr>
            <w:tcW w:w="1913"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52"/>
              <w:ind w:left="13" w:right="75"/>
              <w:jc w:val="left"/>
              <w:rPr>
                <w:rFonts w:ascii="宋体" w:hAnsi="宋体" w:cs="宋体" w:eastAsia="宋体" w:hint="default"/>
                <w:sz w:val="18"/>
                <w:szCs w:val="18"/>
              </w:rPr>
            </w:pPr>
            <w:r>
              <w:rPr>
                <w:rFonts w:ascii="宋体" w:hAnsi="宋体" w:cs="宋体" w:eastAsia="宋体" w:hint="default"/>
                <w:sz w:val="18"/>
                <w:szCs w:val="18"/>
              </w:rPr>
              <w:t>江苏光一投资管理有限 责任公司</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0" w:right="0"/>
              <w:jc w:val="left"/>
              <w:rPr>
                <w:rFonts w:ascii="宋体" w:hAnsi="宋体" w:cs="宋体" w:eastAsia="宋体" w:hint="default"/>
                <w:sz w:val="18"/>
                <w:szCs w:val="18"/>
              </w:rPr>
            </w:pPr>
            <w:r>
              <w:rPr>
                <w:rFonts w:ascii="宋体"/>
                <w:sz w:val="18"/>
              </w:rPr>
              <w:t>67,500,000.00</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9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预期全部按计划收回</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0" w:type="dxa"/>
        <w:tblLayout w:type="fixed"/>
        <w:tblCellMar>
          <w:top w:w="0" w:type="dxa"/>
          <w:left w:w="0" w:type="dxa"/>
          <w:bottom w:w="0" w:type="dxa"/>
          <w:right w:w="0" w:type="dxa"/>
        </w:tblCellMar>
        <w:tblLook w:val="01E0"/>
      </w:tblPr>
      <w:tblGrid>
        <w:gridCol w:w="1920"/>
        <w:gridCol w:w="1916"/>
        <w:gridCol w:w="1925"/>
        <w:gridCol w:w="1904"/>
        <w:gridCol w:w="1909"/>
      </w:tblGrid>
      <w:tr>
        <w:trPr>
          <w:trHeight w:val="422" w:hRule="exact"/>
        </w:trPr>
        <w:tc>
          <w:tcPr>
            <w:tcW w:w="1920"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710" w:right="0"/>
              <w:jc w:val="left"/>
              <w:rPr>
                <w:rFonts w:ascii="宋体" w:hAnsi="宋体" w:cs="宋体" w:eastAsia="宋体" w:hint="default"/>
                <w:sz w:val="18"/>
                <w:szCs w:val="18"/>
              </w:rPr>
            </w:pPr>
            <w:r>
              <w:rPr>
                <w:rFonts w:ascii="宋体"/>
                <w:sz w:val="18"/>
              </w:rPr>
              <w:t>67,500,000.00</w:t>
            </w:r>
          </w:p>
        </w:tc>
        <w:tc>
          <w:tcPr>
            <w:tcW w:w="1925" w:type="dxa"/>
            <w:tcBorders>
              <w:top w:val="single" w:sz="12" w:space="0" w:color="000000"/>
              <w:left w:val="single" w:sz="6" w:space="0" w:color="000000"/>
              <w:bottom w:val="single" w:sz="12" w:space="0" w:color="000000"/>
              <w:right w:val="single" w:sz="9" w:space="0" w:color="D2D2D2"/>
            </w:tcBorders>
          </w:tcPr>
          <w:p>
            <w:pPr/>
          </w:p>
        </w:tc>
        <w:tc>
          <w:tcPr>
            <w:tcW w:w="1904"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sz w:val="18"/>
              </w:rPr>
              <w:t>--</w:t>
            </w:r>
          </w:p>
        </w:tc>
        <w:tc>
          <w:tcPr>
            <w:tcW w:w="1909" w:type="dxa"/>
            <w:tcBorders>
              <w:top w:val="single" w:sz="12"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sz w:val="18"/>
              </w:rPr>
              <w:t>--</w:t>
            </w:r>
          </w:p>
        </w:tc>
      </w:tr>
    </w:tbl>
    <w:p>
      <w:pPr>
        <w:pStyle w:val="BodyText"/>
        <w:spacing w:line="240" w:lineRule="auto" w:before="63"/>
        <w:ind w:left="1134" w:right="0"/>
        <w:jc w:val="left"/>
      </w:pPr>
      <w:r>
        <w:rPr/>
        <w:t>组合中，按账龄分析法计提坏账准备的其他应收款：</w:t>
      </w:r>
    </w:p>
    <w:p>
      <w:pPr>
        <w:spacing w:line="240" w:lineRule="auto" w:before="10"/>
        <w:rPr>
          <w:rFonts w:ascii="宋体" w:hAnsi="宋体" w:cs="宋体" w:eastAsia="宋体" w:hint="default"/>
          <w:sz w:val="14"/>
          <w:szCs w:val="14"/>
        </w:rPr>
      </w:pPr>
    </w:p>
    <w:p>
      <w:pPr>
        <w:pStyle w:val="BodyText"/>
        <w:spacing w:line="240" w:lineRule="auto"/>
        <w:ind w:left="1134" w:right="0"/>
        <w:jc w:val="left"/>
      </w:pPr>
      <w:r>
        <w:rPr/>
        <w:t>√ 适用 □</w:t>
      </w:r>
      <w:r>
        <w:rPr>
          <w:spacing w:val="-1"/>
        </w:rPr>
        <w:t> </w:t>
      </w:r>
      <w:r>
        <w:rPr/>
        <w:t>不适用</w:t>
      </w:r>
    </w:p>
    <w:p>
      <w:pPr>
        <w:spacing w:line="240" w:lineRule="auto" w:before="7"/>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2393"/>
        <w:gridCol w:w="2393"/>
        <w:gridCol w:w="2392"/>
        <w:gridCol w:w="2391"/>
      </w:tblGrid>
      <w:tr>
        <w:trPr>
          <w:trHeight w:val="415" w:hRule="exact"/>
        </w:trPr>
        <w:tc>
          <w:tcPr>
            <w:tcW w:w="2393"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393" w:type="dxa"/>
            <w:vMerge/>
            <w:tcBorders>
              <w:left w:val="single" w:sz="12" w:space="0" w:color="000000"/>
              <w:bottom w:val="single" w:sz="6" w:space="0" w:color="000000"/>
              <w:right w:val="single" w:sz="6" w:space="0" w:color="000000"/>
            </w:tcBorders>
            <w:shd w:val="clear" w:color="auto" w:fill="D2D2D2"/>
          </w:tcPr>
          <w:p>
            <w:pPr/>
          </w:p>
        </w:tc>
        <w:tc>
          <w:tcPr>
            <w:tcW w:w="23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7" w:hRule="exact"/>
        </w:trPr>
        <w:tc>
          <w:tcPr>
            <w:tcW w:w="9569" w:type="dxa"/>
            <w:gridSpan w:val="4"/>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tcPr>
          <w:p>
            <w:pP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20,697,846.69</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628,062.08</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w:t>
            </w:r>
          </w:p>
        </w:tc>
      </w:tr>
      <w:tr>
        <w:trPr>
          <w:trHeight w:val="408"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20,697,846.69</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628,062.08</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2,857,967.95</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285,796.80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382,795.02</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114,838.51</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989,711.90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969,977.60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98.00%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15,450.00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7,725.00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40,031.00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28,021.70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70.00%</w:t>
            </w:r>
          </w:p>
        </w:tc>
      </w:tr>
      <w:tr>
        <w:trPr>
          <w:trHeight w:val="408"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934,230.90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934,230.90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100.00%</w:t>
            </w:r>
          </w:p>
        </w:tc>
      </w:tr>
      <w:tr>
        <w:trPr>
          <w:trHeight w:val="415" w:hRule="exact"/>
        </w:trPr>
        <w:tc>
          <w:tcPr>
            <w:tcW w:w="23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24,928,321.56</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1,998,674.99</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8.02%</w:t>
            </w:r>
          </w:p>
        </w:tc>
      </w:tr>
    </w:tbl>
    <w:p>
      <w:pPr>
        <w:pStyle w:val="BodyText"/>
        <w:spacing w:line="408" w:lineRule="auto" w:before="63"/>
        <w:ind w:left="1134" w:right="5502"/>
        <w:jc w:val="left"/>
      </w:pPr>
      <w:r>
        <w:rPr/>
        <w:t>确定该组合依据的说明： 组合中，采用余额百分比法计提坏账准备的其他应收款：</w:t>
      </w:r>
    </w:p>
    <w:p>
      <w:pPr>
        <w:pStyle w:val="BodyText"/>
        <w:spacing w:line="408" w:lineRule="auto" w:before="46"/>
        <w:ind w:left="1134" w:right="5922"/>
        <w:jc w:val="left"/>
      </w:pPr>
      <w:r>
        <w:rPr/>
        <w:t>□ 适用 √</w:t>
      </w:r>
      <w:r>
        <w:rPr>
          <w:spacing w:val="-1"/>
        </w:rPr>
        <w:t> </w:t>
      </w:r>
      <w:r>
        <w:rPr/>
        <w:t>不适用</w:t>
      </w:r>
      <w:r>
        <w:rPr/>
        <w:t> 组合中，采用其他方法计提坏账准备的其他应收款：</w:t>
      </w:r>
    </w:p>
    <w:p>
      <w:pPr>
        <w:pStyle w:val="BodyText"/>
        <w:spacing w:line="240" w:lineRule="auto" w:before="46"/>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本期计提、收回或转回的坏账准备情况" w:id="245"/>
      <w:bookmarkEnd w:id="245"/>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）本期计提、收回或转回的坏账准备情况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本期计提坏账准备金额</w:t>
      </w:r>
      <w:r>
        <w:rPr>
          <w:spacing w:val="-53"/>
        </w:rPr>
        <w:t> </w:t>
      </w:r>
      <w:r>
        <w:rPr>
          <w:rFonts w:ascii="宋体" w:hAnsi="宋体" w:cs="宋体" w:eastAsia="宋体" w:hint="default"/>
        </w:rPr>
        <w:t>397,215.04</w:t>
      </w:r>
      <w:r>
        <w:rPr>
          <w:rFonts w:ascii="宋体" w:hAnsi="宋体" w:cs="宋体" w:eastAsia="宋体" w:hint="default"/>
          <w:spacing w:val="-54"/>
        </w:rPr>
        <w:t> </w:t>
      </w:r>
      <w:r>
        <w:rPr/>
        <w:t>元；本期收回或转回坏账准备金额</w:t>
      </w:r>
      <w:r>
        <w:rPr>
          <w:spacing w:val="-53"/>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6"/>
        <w:rPr>
          <w:rFonts w:ascii="宋体" w:hAnsi="宋体" w:cs="宋体" w:eastAsia="宋体" w:hint="default"/>
          <w:sz w:val="15"/>
          <w:szCs w:val="15"/>
        </w:rPr>
      </w:pPr>
    </w:p>
    <w:p>
      <w:pPr>
        <w:spacing w:before="0"/>
        <w:ind w:left="1133" w:right="0" w:firstLine="0"/>
        <w:jc w:val="left"/>
        <w:rPr>
          <w:rFonts w:ascii="宋体" w:hAnsi="宋体" w:cs="宋体" w:eastAsia="宋体" w:hint="default"/>
          <w:sz w:val="20"/>
          <w:szCs w:val="20"/>
        </w:rPr>
      </w:pPr>
      <w:bookmarkStart w:name="（3）本期实际核销的其他应收款情况" w:id="246"/>
      <w:bookmarkEnd w:id="246"/>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）本期实际核销的其他应收款情况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4）其他应收款按款项性质分类情况" w:id="247"/>
      <w:bookmarkEnd w:id="247"/>
      <w:r>
        <w:rPr/>
      </w: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）其他应收款按款项性质分类情况</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3188"/>
        <w:gridCol w:w="3191"/>
        <w:gridCol w:w="3191"/>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4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04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股权与债权转让款</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67,500,000.00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78,750,000.00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18,227,192.90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18,028,720.90</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2,619,273.83</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1,736,584.49</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应收租金及保证金</w:t>
            </w:r>
          </w:p>
        </w:tc>
        <w:tc>
          <w:tcPr>
            <w:tcW w:w="31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1,176,960.28</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1,079,330.40</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3188"/>
        <w:gridCol w:w="3191"/>
        <w:gridCol w:w="3191"/>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78,931.00</w:t>
            </w:r>
          </w:p>
        </w:tc>
        <w:tc>
          <w:tcPr>
            <w:tcW w:w="319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573,209.29</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2,825,963.55</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2,090,848.55</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92,428,321.56</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102,258,693.63</w:t>
            </w:r>
          </w:p>
        </w:tc>
      </w:tr>
    </w:tbl>
    <w:p>
      <w:pPr>
        <w:spacing w:line="240" w:lineRule="auto" w:before="9"/>
        <w:rPr>
          <w:rFonts w:ascii="宋体" w:hAnsi="宋体" w:cs="宋体" w:eastAsia="宋体" w:hint="default"/>
          <w:sz w:val="19"/>
          <w:szCs w:val="19"/>
        </w:rPr>
      </w:pPr>
    </w:p>
    <w:p>
      <w:pPr>
        <w:spacing w:before="38"/>
        <w:ind w:left="1134" w:right="0" w:firstLine="0"/>
        <w:jc w:val="left"/>
        <w:rPr>
          <w:rFonts w:ascii="宋体" w:hAnsi="宋体" w:cs="宋体" w:eastAsia="宋体" w:hint="default"/>
          <w:sz w:val="20"/>
          <w:szCs w:val="20"/>
        </w:rPr>
      </w:pPr>
      <w:bookmarkStart w:name="（5）按欠款方归集的期末余额前五名的其他应收款情况" w:id="248"/>
      <w:bookmarkEnd w:id="248"/>
      <w:r>
        <w:rPr/>
      </w:r>
      <w:r>
        <w:rPr>
          <w:rFonts w:ascii="宋体" w:hAnsi="宋体" w:cs="宋体" w:eastAsia="宋体" w:hint="default"/>
          <w:b/>
          <w:bCs/>
          <w:sz w:val="20"/>
          <w:szCs w:val="20"/>
        </w:rPr>
        <w:t>（</w:t>
      </w:r>
      <w:r>
        <w:rPr>
          <w:rFonts w:ascii="宋体" w:hAnsi="宋体" w:cs="宋体" w:eastAsia="宋体" w:hint="default"/>
          <w:b/>
          <w:bCs/>
          <w:sz w:val="20"/>
          <w:szCs w:val="20"/>
        </w:rPr>
        <w:t>5</w:t>
      </w:r>
      <w:r>
        <w:rPr>
          <w:rFonts w:ascii="宋体" w:hAnsi="宋体" w:cs="宋体" w:eastAsia="宋体" w:hint="default"/>
          <w:b/>
          <w:bCs/>
          <w:sz w:val="20"/>
          <w:szCs w:val="20"/>
        </w:rPr>
        <w:t>）按欠款方归集的期末余额前五名的其他应收款情况</w:t>
      </w:r>
      <w:r>
        <w:rPr>
          <w:rFonts w:ascii="宋体" w:hAnsi="宋体" w:cs="宋体" w:eastAsia="宋体" w:hint="default"/>
          <w:sz w:val="20"/>
          <w:szCs w:val="20"/>
        </w:rPr>
      </w:r>
    </w:p>
    <w:p>
      <w:pPr>
        <w:spacing w:line="240" w:lineRule="auto" w:before="9"/>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1595"/>
        <w:gridCol w:w="1595"/>
        <w:gridCol w:w="1594"/>
        <w:gridCol w:w="1594"/>
        <w:gridCol w:w="1596"/>
        <w:gridCol w:w="1594"/>
      </w:tblGrid>
      <w:tr>
        <w:trPr>
          <w:trHeight w:val="727" w:hRule="exact"/>
        </w:trPr>
        <w:tc>
          <w:tcPr>
            <w:tcW w:w="15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70" w:right="6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9" w:hRule="exact"/>
        </w:trPr>
        <w:tc>
          <w:tcPr>
            <w:tcW w:w="159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117"/>
              <w:jc w:val="left"/>
              <w:rPr>
                <w:rFonts w:ascii="宋体" w:hAnsi="宋体" w:cs="宋体" w:eastAsia="宋体" w:hint="default"/>
                <w:sz w:val="18"/>
                <w:szCs w:val="18"/>
              </w:rPr>
            </w:pPr>
            <w:r>
              <w:rPr>
                <w:rFonts w:ascii="宋体" w:hAnsi="宋体" w:cs="宋体" w:eastAsia="宋体" w:hint="default"/>
                <w:sz w:val="18"/>
                <w:szCs w:val="18"/>
              </w:rPr>
              <w:t>江苏光一投资管理 有限责任公司</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股权与债权转让款</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67,500,000.00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73.03%</w:t>
            </w:r>
          </w:p>
        </w:tc>
        <w:tc>
          <w:tcPr>
            <w:tcW w:w="1594"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59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117"/>
              <w:jc w:val="left"/>
              <w:rPr>
                <w:rFonts w:ascii="宋体" w:hAnsi="宋体" w:cs="宋体" w:eastAsia="宋体" w:hint="default"/>
                <w:sz w:val="18"/>
                <w:szCs w:val="18"/>
              </w:rPr>
            </w:pPr>
            <w:r>
              <w:rPr>
                <w:rFonts w:ascii="宋体" w:hAnsi="宋体" w:cs="宋体" w:eastAsia="宋体" w:hint="default"/>
                <w:sz w:val="18"/>
                <w:szCs w:val="18"/>
              </w:rPr>
              <w:t>湖北楚邦伟业科技 有限公司</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5,330,000.00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5.77%</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159,900.00</w:t>
            </w:r>
          </w:p>
        </w:tc>
      </w:tr>
      <w:tr>
        <w:trPr>
          <w:trHeight w:val="408" w:hRule="exact"/>
        </w:trPr>
        <w:tc>
          <w:tcPr>
            <w:tcW w:w="1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105"/>
              <w:jc w:val="center"/>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2,000,000.00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2.16%</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60,000.00</w:t>
            </w:r>
          </w:p>
        </w:tc>
      </w:tr>
      <w:tr>
        <w:trPr>
          <w:trHeight w:val="719" w:hRule="exact"/>
        </w:trPr>
        <w:tc>
          <w:tcPr>
            <w:tcW w:w="159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3" w:right="117"/>
              <w:jc w:val="left"/>
              <w:rPr>
                <w:rFonts w:ascii="宋体" w:hAnsi="宋体" w:cs="宋体" w:eastAsia="宋体" w:hint="default"/>
                <w:sz w:val="18"/>
                <w:szCs w:val="18"/>
              </w:rPr>
            </w:pPr>
            <w:r>
              <w:rPr>
                <w:rFonts w:ascii="宋体" w:hAnsi="宋体" w:cs="宋体" w:eastAsia="宋体" w:hint="default"/>
                <w:sz w:val="18"/>
                <w:szCs w:val="18"/>
              </w:rPr>
              <w:t>深圳市泰川宏业科 技有限公司</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1,830,767.68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1.98%</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54,923.03</w:t>
            </w:r>
          </w:p>
        </w:tc>
      </w:tr>
      <w:tr>
        <w:trPr>
          <w:trHeight w:val="719" w:hRule="exact"/>
        </w:trPr>
        <w:tc>
          <w:tcPr>
            <w:tcW w:w="1595"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116"/>
              <w:jc w:val="left"/>
              <w:rPr>
                <w:rFonts w:ascii="宋体" w:hAnsi="宋体" w:cs="宋体" w:eastAsia="宋体" w:hint="default"/>
                <w:sz w:val="18"/>
                <w:szCs w:val="18"/>
              </w:rPr>
            </w:pPr>
            <w:r>
              <w:rPr>
                <w:rFonts w:ascii="宋体" w:hAnsi="宋体" w:cs="宋体" w:eastAsia="宋体" w:hint="default"/>
                <w:sz w:val="18"/>
                <w:szCs w:val="18"/>
              </w:rPr>
              <w:t>国网四川招标有限 公司</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1,290,000.00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1.40%</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38,700.00</w:t>
            </w:r>
          </w:p>
        </w:tc>
      </w:tr>
      <w:tr>
        <w:trPr>
          <w:trHeight w:val="415" w:hRule="exact"/>
        </w:trPr>
        <w:tc>
          <w:tcPr>
            <w:tcW w:w="15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594" w:type="dxa"/>
            <w:tcBorders>
              <w:top w:val="single" w:sz="6" w:space="0" w:color="000000"/>
              <w:left w:val="single" w:sz="6" w:space="0" w:color="000000"/>
              <w:bottom w:val="single" w:sz="12" w:space="0" w:color="000000"/>
              <w:right w:val="single" w:sz="8" w:space="0" w:color="D2D2D2"/>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77,950,767.68</w:t>
            </w:r>
          </w:p>
        </w:tc>
        <w:tc>
          <w:tcPr>
            <w:tcW w:w="159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84.34%</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313,523.03</w:t>
            </w:r>
          </w:p>
        </w:tc>
      </w:tr>
    </w:tbl>
    <w:p>
      <w:pPr>
        <w:spacing w:before="72"/>
        <w:ind w:left="1134" w:right="0" w:firstLine="0"/>
        <w:jc w:val="left"/>
        <w:rPr>
          <w:rFonts w:ascii="宋体" w:hAnsi="宋体" w:cs="宋体" w:eastAsia="宋体" w:hint="default"/>
          <w:sz w:val="20"/>
          <w:szCs w:val="20"/>
        </w:rPr>
      </w:pPr>
      <w:bookmarkStart w:name="（6）涉及政府补助的应收款项" w:id="249"/>
      <w:bookmarkEnd w:id="249"/>
      <w:r>
        <w:rPr/>
      </w:r>
      <w:r>
        <w:rPr>
          <w:rFonts w:ascii="宋体" w:hAnsi="宋体" w:cs="宋体" w:eastAsia="宋体" w:hint="default"/>
          <w:b/>
          <w:bCs/>
          <w:sz w:val="20"/>
          <w:szCs w:val="20"/>
        </w:rPr>
        <w:t>（</w:t>
      </w:r>
      <w:r>
        <w:rPr>
          <w:rFonts w:ascii="宋体" w:hAnsi="宋体" w:cs="宋体" w:eastAsia="宋体" w:hint="default"/>
          <w:b/>
          <w:bCs/>
          <w:sz w:val="20"/>
          <w:szCs w:val="20"/>
        </w:rPr>
        <w:t>6</w:t>
      </w:r>
      <w:r>
        <w:rPr>
          <w:rFonts w:ascii="宋体" w:hAnsi="宋体" w:cs="宋体" w:eastAsia="宋体" w:hint="default"/>
          <w:b/>
          <w:bCs/>
          <w:sz w:val="20"/>
          <w:szCs w:val="20"/>
        </w:rPr>
        <w:t>）涉及政府补助的应收款项</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7）因金融资产转移而终止确认的其他应收款" w:id="250"/>
      <w:bookmarkEnd w:id="250"/>
      <w:r>
        <w:rPr/>
      </w:r>
      <w:r>
        <w:rPr>
          <w:rFonts w:ascii="宋体" w:hAnsi="宋体" w:cs="宋体" w:eastAsia="宋体" w:hint="default"/>
          <w:b/>
          <w:bCs/>
          <w:sz w:val="20"/>
          <w:szCs w:val="20"/>
        </w:rPr>
        <w:t>（</w:t>
      </w:r>
      <w:r>
        <w:rPr>
          <w:rFonts w:ascii="宋体" w:hAnsi="宋体" w:cs="宋体" w:eastAsia="宋体" w:hint="default"/>
          <w:b/>
          <w:bCs/>
          <w:sz w:val="20"/>
          <w:szCs w:val="20"/>
        </w:rPr>
        <w:t>7</w:t>
      </w:r>
      <w:r>
        <w:rPr>
          <w:rFonts w:ascii="宋体" w:hAnsi="宋体" w:cs="宋体" w:eastAsia="宋体" w:hint="default"/>
          <w:b/>
          <w:bCs/>
          <w:sz w:val="20"/>
          <w:szCs w:val="20"/>
        </w:rPr>
        <w:t>）因金融资产转移而终止确认的其他应收款</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8）转移其他应收款且继续涉入形成的资产、负债金额" w:id="251"/>
      <w:bookmarkEnd w:id="251"/>
      <w:r>
        <w:rPr/>
      </w:r>
      <w:r>
        <w:rPr>
          <w:rFonts w:ascii="宋体" w:hAnsi="宋体" w:cs="宋体" w:eastAsia="宋体" w:hint="default"/>
          <w:b/>
          <w:bCs/>
          <w:sz w:val="20"/>
          <w:szCs w:val="20"/>
        </w:rPr>
        <w:t>（</w:t>
      </w:r>
      <w:r>
        <w:rPr>
          <w:rFonts w:ascii="宋体" w:hAnsi="宋体" w:cs="宋体" w:eastAsia="宋体" w:hint="default"/>
          <w:b/>
          <w:bCs/>
          <w:sz w:val="20"/>
          <w:szCs w:val="20"/>
        </w:rPr>
        <w:t>8</w:t>
      </w:r>
      <w:r>
        <w:rPr>
          <w:rFonts w:ascii="宋体" w:hAnsi="宋体" w:cs="宋体" w:eastAsia="宋体" w:hint="default"/>
          <w:b/>
          <w:bCs/>
          <w:sz w:val="20"/>
          <w:szCs w:val="20"/>
        </w:rPr>
        <w:t>）转移其他应收款且继续涉入形成的资产、负债金额</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10、存货" w:id="252"/>
      <w:bookmarkEnd w:id="252"/>
      <w:r>
        <w:rPr/>
      </w:r>
      <w:r>
        <w:rPr>
          <w:rFonts w:ascii="宋体" w:hAnsi="宋体" w:cs="宋体" w:eastAsia="宋体" w:hint="default"/>
          <w:b/>
          <w:bCs/>
          <w:sz w:val="20"/>
          <w:szCs w:val="20"/>
        </w:rPr>
        <w:t>10</w:t>
      </w:r>
      <w:r>
        <w:rPr>
          <w:rFonts w:ascii="宋体" w:hAnsi="宋体" w:cs="宋体" w:eastAsia="宋体" w:hint="default"/>
          <w:b/>
          <w:bCs/>
          <w:sz w:val="20"/>
          <w:szCs w:val="20"/>
        </w:rPr>
        <w:t>、存货</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存货分类" w:id="253"/>
      <w:bookmarkEnd w:id="253"/>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）存货分类</w:t>
      </w:r>
      <w:r>
        <w:rPr>
          <w:rFonts w:ascii="宋体" w:hAnsi="宋体" w:cs="宋体" w:eastAsia="宋体" w:hint="default"/>
          <w:sz w:val="20"/>
          <w:szCs w:val="20"/>
        </w:rPr>
      </w:r>
    </w:p>
    <w:p>
      <w:pPr>
        <w:spacing w:line="240" w:lineRule="auto" w:before="8"/>
        <w:rPr>
          <w:rFonts w:ascii="宋体" w:hAnsi="宋体" w:cs="宋体" w:eastAsia="宋体" w:hint="default"/>
          <w:b/>
          <w:bCs/>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125" w:type="dxa"/>
        <w:tblLayout w:type="fixed"/>
        <w:tblCellMar>
          <w:top w:w="0" w:type="dxa"/>
          <w:left w:w="0" w:type="dxa"/>
          <w:bottom w:w="0" w:type="dxa"/>
          <w:right w:w="0" w:type="dxa"/>
        </w:tblCellMar>
        <w:tblLook w:val="01E0"/>
      </w:tblPr>
      <w:tblGrid>
        <w:gridCol w:w="1352"/>
        <w:gridCol w:w="1378"/>
        <w:gridCol w:w="1367"/>
        <w:gridCol w:w="1367"/>
        <w:gridCol w:w="1368"/>
        <w:gridCol w:w="1367"/>
        <w:gridCol w:w="1366"/>
      </w:tblGrid>
      <w:tr>
        <w:trPr>
          <w:trHeight w:val="219" w:hRule="exact"/>
        </w:trPr>
        <w:tc>
          <w:tcPr>
            <w:tcW w:w="135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4112" w:type="dxa"/>
            <w:gridSpan w:val="3"/>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2"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vMerge/>
            <w:tcBorders>
              <w:left w:val="single" w:sz="6" w:space="0" w:color="000000"/>
              <w:bottom w:val="single" w:sz="6" w:space="0" w:color="000000"/>
              <w:right w:val="single" w:sz="6" w:space="0" w:color="000000"/>
            </w:tcBorders>
            <w:shd w:val="clear" w:color="auto" w:fill="D2D2D2"/>
          </w:tcPr>
          <w:p>
            <w:pPr/>
          </w:p>
        </w:tc>
        <w:tc>
          <w:tcPr>
            <w:tcW w:w="4101" w:type="dxa"/>
            <w:gridSpan w:val="3"/>
            <w:vMerge/>
            <w:tcBorders>
              <w:left w:val="single" w:sz="6" w:space="0" w:color="000000"/>
              <w:bottom w:val="single" w:sz="6" w:space="0" w:color="000000"/>
              <w:right w:val="single" w:sz="12" w:space="0" w:color="000000"/>
            </w:tcBorders>
            <w:shd w:val="clear" w:color="auto" w:fill="D2D2D2"/>
          </w:tcPr>
          <w:p>
            <w:pPr/>
          </w:p>
        </w:tc>
      </w:tr>
      <w:tr>
        <w:trPr>
          <w:trHeight w:val="195" w:hRule="exact"/>
        </w:trPr>
        <w:tc>
          <w:tcPr>
            <w:tcW w:w="1352" w:type="dxa"/>
            <w:vMerge/>
            <w:tcBorders>
              <w:left w:val="single" w:sz="12" w:space="0" w:color="000000"/>
              <w:bottom w:val="nil" w:sz="6" w:space="0" w:color="auto"/>
              <w:right w:val="single" w:sz="6" w:space="0" w:color="000000"/>
            </w:tcBorders>
            <w:shd w:val="clear" w:color="auto" w:fill="D2D2D2"/>
          </w:tcPr>
          <w:p>
            <w:pPr/>
          </w:p>
        </w:tc>
        <w:tc>
          <w:tcPr>
            <w:tcW w:w="137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3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0"/>
              <w:ind w:left="3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352" w:type="dxa"/>
            <w:tcBorders>
              <w:top w:val="nil" w:sz="6" w:space="0" w:color="auto"/>
              <w:left w:val="single" w:sz="12" w:space="0" w:color="000000"/>
              <w:bottom w:val="single" w:sz="6" w:space="0" w:color="000000"/>
              <w:right w:val="single" w:sz="6" w:space="0" w:color="000000"/>
            </w:tcBorders>
            <w:shd w:val="clear" w:color="auto" w:fill="D2D2D2"/>
          </w:tcPr>
          <w:p>
            <w:pPr/>
          </w:p>
        </w:tc>
        <w:tc>
          <w:tcPr>
            <w:tcW w:w="1378"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8"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51,584,841.67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939,568.57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50,645,273.10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37,991,148.03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434,682.70</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37,556,465.33</w:t>
            </w: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41,133,163.61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418,701.21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40,714,462.40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20,586,631.20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1,357,758.84</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19,228,872.36</w:t>
            </w: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26,185,215.62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879,723.52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25,305,492.10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27,929,153.33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307,721.77</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27,621,431.56</w:t>
            </w:r>
          </w:p>
        </w:tc>
      </w:tr>
      <w:tr>
        <w:trPr>
          <w:trHeight w:val="415" w:hRule="exact"/>
        </w:trPr>
        <w:tc>
          <w:tcPr>
            <w:tcW w:w="135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2,550.00</w:t>
            </w:r>
          </w:p>
        </w:tc>
        <w:tc>
          <w:tcPr>
            <w:tcW w:w="1367" w:type="dxa"/>
            <w:tcBorders>
              <w:top w:val="single" w:sz="6" w:space="0" w:color="000000"/>
              <w:left w:val="single" w:sz="6" w:space="0" w:color="000000"/>
              <w:bottom w:val="single" w:sz="12" w:space="0" w:color="000000"/>
              <w:right w:val="single" w:sz="6" w:space="0" w:color="000000"/>
            </w:tcBorders>
          </w:tcPr>
          <w:p>
            <w:pP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2,550.00</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407,199.55</w:t>
            </w:r>
          </w:p>
        </w:tc>
        <w:tc>
          <w:tcPr>
            <w:tcW w:w="1367"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407,199.55</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1359"/>
        <w:gridCol w:w="1378"/>
        <w:gridCol w:w="1367"/>
        <w:gridCol w:w="1367"/>
        <w:gridCol w:w="1368"/>
        <w:gridCol w:w="1367"/>
        <w:gridCol w:w="1366"/>
      </w:tblGrid>
      <w:tr>
        <w:trPr>
          <w:trHeight w:val="422" w:hRule="exact"/>
        </w:trPr>
        <w:tc>
          <w:tcPr>
            <w:tcW w:w="1359"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12" w:space="0" w:color="000000"/>
              <w:left w:val="single" w:sz="14" w:space="0" w:color="D2D2D2"/>
              <w:bottom w:val="single" w:sz="12" w:space="0" w:color="000000"/>
              <w:right w:val="single" w:sz="6"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118,905,770.90</w:t>
            </w:r>
          </w:p>
        </w:tc>
        <w:tc>
          <w:tcPr>
            <w:tcW w:w="13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51" w:right="0"/>
              <w:jc w:val="left"/>
              <w:rPr>
                <w:rFonts w:ascii="宋体" w:hAnsi="宋体" w:cs="宋体" w:eastAsia="宋体" w:hint="default"/>
                <w:sz w:val="18"/>
                <w:szCs w:val="18"/>
              </w:rPr>
            </w:pPr>
            <w:r>
              <w:rPr>
                <w:rFonts w:ascii="宋体"/>
                <w:sz w:val="18"/>
              </w:rPr>
              <w:t>2,237,993.30</w:t>
            </w:r>
          </w:p>
        </w:tc>
        <w:tc>
          <w:tcPr>
            <w:tcW w:w="13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116,667,777.60</w:t>
            </w:r>
          </w:p>
        </w:tc>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163" w:right="0"/>
              <w:jc w:val="left"/>
              <w:rPr>
                <w:rFonts w:ascii="宋体" w:hAnsi="宋体" w:cs="宋体" w:eastAsia="宋体" w:hint="default"/>
                <w:sz w:val="18"/>
                <w:szCs w:val="18"/>
              </w:rPr>
            </w:pPr>
            <w:r>
              <w:rPr>
                <w:rFonts w:ascii="宋体"/>
                <w:sz w:val="18"/>
              </w:rPr>
              <w:t>86,914,132.11</w:t>
            </w:r>
          </w:p>
        </w:tc>
        <w:tc>
          <w:tcPr>
            <w:tcW w:w="13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52" w:right="0"/>
              <w:jc w:val="left"/>
              <w:rPr>
                <w:rFonts w:ascii="宋体" w:hAnsi="宋体" w:cs="宋体" w:eastAsia="宋体" w:hint="default"/>
                <w:sz w:val="18"/>
                <w:szCs w:val="18"/>
              </w:rPr>
            </w:pPr>
            <w:r>
              <w:rPr>
                <w:rFonts w:ascii="宋体"/>
                <w:sz w:val="18"/>
              </w:rPr>
              <w:t>2,100,163.31</w:t>
            </w:r>
          </w:p>
        </w:tc>
        <w:tc>
          <w:tcPr>
            <w:tcW w:w="136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161" w:right="0"/>
              <w:jc w:val="left"/>
              <w:rPr>
                <w:rFonts w:ascii="宋体" w:hAnsi="宋体" w:cs="宋体" w:eastAsia="宋体" w:hint="default"/>
                <w:sz w:val="18"/>
                <w:szCs w:val="18"/>
              </w:rPr>
            </w:pPr>
            <w:r>
              <w:rPr>
                <w:rFonts w:ascii="宋体"/>
                <w:sz w:val="18"/>
              </w:rPr>
              <w:t>84,813,968.80</w:t>
            </w:r>
          </w:p>
        </w:tc>
      </w:tr>
    </w:tbl>
    <w:p>
      <w:pPr>
        <w:spacing w:line="240" w:lineRule="auto" w:before="10"/>
        <w:rPr>
          <w:rFonts w:ascii="宋体" w:hAnsi="宋体" w:cs="宋体" w:eastAsia="宋体" w:hint="default"/>
          <w:sz w:val="5"/>
          <w:szCs w:val="5"/>
        </w:rPr>
      </w:pPr>
    </w:p>
    <w:p>
      <w:pPr>
        <w:spacing w:before="38"/>
        <w:ind w:left="1134" w:right="0" w:firstLine="0"/>
        <w:jc w:val="left"/>
        <w:rPr>
          <w:rFonts w:ascii="宋体" w:hAnsi="宋体" w:cs="宋体" w:eastAsia="宋体" w:hint="default"/>
          <w:sz w:val="20"/>
          <w:szCs w:val="20"/>
        </w:rPr>
      </w:pPr>
      <w:bookmarkStart w:name="（2）存货跌价准备" w:id="254"/>
      <w:bookmarkEnd w:id="254"/>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）存货跌价准备</w:t>
      </w:r>
      <w:r>
        <w:rPr>
          <w:rFonts w:ascii="宋体" w:hAnsi="宋体" w:cs="宋体" w:eastAsia="宋体" w:hint="default"/>
          <w:sz w:val="20"/>
          <w:szCs w:val="20"/>
        </w:rPr>
      </w:r>
    </w:p>
    <w:p>
      <w:pPr>
        <w:spacing w:line="240" w:lineRule="auto" w:before="12"/>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1352"/>
        <w:gridCol w:w="1378"/>
        <w:gridCol w:w="1367"/>
        <w:gridCol w:w="1367"/>
        <w:gridCol w:w="1368"/>
        <w:gridCol w:w="1367"/>
        <w:gridCol w:w="1366"/>
      </w:tblGrid>
      <w:tr>
        <w:trPr>
          <w:trHeight w:val="219" w:hRule="exact"/>
        </w:trPr>
        <w:tc>
          <w:tcPr>
            <w:tcW w:w="135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378" w:type="dxa"/>
            <w:tcBorders>
              <w:top w:val="single" w:sz="12" w:space="0" w:color="000000"/>
              <w:left w:val="single" w:sz="6" w:space="0" w:color="000000"/>
              <w:bottom w:val="nil" w:sz="6" w:space="0" w:color="auto"/>
              <w:right w:val="single" w:sz="6" w:space="0" w:color="000000"/>
            </w:tcBorders>
            <w:shd w:val="clear" w:color="auto" w:fill="D2D2D2"/>
          </w:tcPr>
          <w:p>
            <w:pPr/>
          </w:p>
        </w:tc>
        <w:tc>
          <w:tcPr>
            <w:tcW w:w="2734"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81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82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6"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2"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6" w:space="0" w:color="000000"/>
              <w:bottom w:val="single" w:sz="6" w:space="0" w:color="000000"/>
              <w:right w:val="single" w:sz="6" w:space="0" w:color="000000"/>
            </w:tcBorders>
            <w:shd w:val="clear" w:color="auto" w:fill="D2D2D2"/>
          </w:tcPr>
          <w:p>
            <w:pPr/>
          </w:p>
        </w:tc>
        <w:tc>
          <w:tcPr>
            <w:tcW w:w="2735" w:type="dxa"/>
            <w:gridSpan w:val="2"/>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right w:val="single" w:sz="12" w:space="0" w:color="000000"/>
            </w:tcBorders>
            <w:shd w:val="clear" w:color="auto" w:fill="D2D2D2"/>
          </w:tcPr>
          <w:p>
            <w:pPr/>
          </w:p>
        </w:tc>
      </w:tr>
      <w:tr>
        <w:trPr>
          <w:trHeight w:val="195" w:hRule="exact"/>
        </w:trPr>
        <w:tc>
          <w:tcPr>
            <w:tcW w:w="1352" w:type="dxa"/>
            <w:vMerge/>
            <w:tcBorders>
              <w:left w:val="single" w:sz="12" w:space="0" w:color="000000"/>
              <w:bottom w:val="nil" w:sz="6" w:space="0" w:color="auto"/>
              <w:right w:val="single" w:sz="6" w:space="0" w:color="000000"/>
            </w:tcBorders>
            <w:shd w:val="clear" w:color="auto" w:fill="D2D2D2"/>
          </w:tcPr>
          <w:p>
            <w:pPr/>
          </w:p>
        </w:tc>
        <w:tc>
          <w:tcPr>
            <w:tcW w:w="1378"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226"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tcBorders>
              <w:left w:val="single" w:sz="6" w:space="0" w:color="000000"/>
              <w:right w:val="single" w:sz="12" w:space="0" w:color="000000"/>
            </w:tcBorders>
            <w:shd w:val="clear" w:color="auto" w:fill="D2D2D2"/>
          </w:tcPr>
          <w:p>
            <w:pPr/>
          </w:p>
        </w:tc>
      </w:tr>
      <w:tr>
        <w:trPr>
          <w:trHeight w:val="211" w:hRule="exact"/>
        </w:trPr>
        <w:tc>
          <w:tcPr>
            <w:tcW w:w="1352" w:type="dxa"/>
            <w:tcBorders>
              <w:top w:val="nil" w:sz="6" w:space="0" w:color="auto"/>
              <w:left w:val="single" w:sz="12" w:space="0" w:color="000000"/>
              <w:bottom w:val="single" w:sz="6" w:space="0" w:color="000000"/>
              <w:right w:val="single" w:sz="6" w:space="0" w:color="000000"/>
            </w:tcBorders>
            <w:shd w:val="clear" w:color="auto" w:fill="D2D2D2"/>
          </w:tcPr>
          <w:p>
            <w:pPr/>
          </w:p>
        </w:tc>
        <w:tc>
          <w:tcPr>
            <w:tcW w:w="1378"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8"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434,682.70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504,885.87</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939,568.57</w:t>
            </w: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1,357,758.84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6,329.08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945,386.71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418,701.21</w:t>
            </w: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307,721.77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572,001.75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879,723.52</w:t>
            </w:r>
          </w:p>
        </w:tc>
      </w:tr>
      <w:tr>
        <w:trPr>
          <w:trHeight w:val="415" w:hRule="exact"/>
        </w:trPr>
        <w:tc>
          <w:tcPr>
            <w:tcW w:w="135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2,100,163.31</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1,083,216.70</w:t>
            </w:r>
          </w:p>
        </w:tc>
        <w:tc>
          <w:tcPr>
            <w:tcW w:w="1367" w:type="dxa"/>
            <w:tcBorders>
              <w:top w:val="single" w:sz="6" w:space="0" w:color="000000"/>
              <w:left w:val="single" w:sz="6" w:space="0" w:color="000000"/>
              <w:bottom w:val="single" w:sz="12" w:space="0" w:color="000000"/>
              <w:right w:val="single" w:sz="6" w:space="0" w:color="000000"/>
            </w:tcBorders>
          </w:tcPr>
          <w:p>
            <w:pP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945,386.71</w:t>
            </w:r>
          </w:p>
        </w:tc>
        <w:tc>
          <w:tcPr>
            <w:tcW w:w="1367"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2,237,993.30</w:t>
            </w:r>
          </w:p>
        </w:tc>
      </w:tr>
    </w:tbl>
    <w:p>
      <w:pPr>
        <w:spacing w:before="72"/>
        <w:ind w:left="1134" w:right="0" w:firstLine="0"/>
        <w:jc w:val="left"/>
        <w:rPr>
          <w:rFonts w:ascii="宋体" w:hAnsi="宋体" w:cs="宋体" w:eastAsia="宋体" w:hint="default"/>
          <w:sz w:val="20"/>
          <w:szCs w:val="20"/>
        </w:rPr>
      </w:pPr>
      <w:bookmarkStart w:name="（3）存货期末余额含有借款费用资本化金额的说明" w:id="255"/>
      <w:bookmarkEnd w:id="255"/>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）存货期末余额含有借款费用资本化金额的说明</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3" w:right="0" w:firstLine="0"/>
        <w:jc w:val="left"/>
        <w:rPr>
          <w:rFonts w:ascii="宋体" w:hAnsi="宋体" w:cs="宋体" w:eastAsia="宋体" w:hint="default"/>
          <w:sz w:val="20"/>
          <w:szCs w:val="20"/>
        </w:rPr>
      </w:pPr>
      <w:bookmarkStart w:name="（4）期末建造合同形成的已完工未结算资产情况" w:id="256"/>
      <w:bookmarkEnd w:id="256"/>
      <w:r>
        <w:rPr/>
      </w: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）期末建造合同形成的已完工未结算资产情况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其他说明：</w:t>
      </w:r>
    </w:p>
    <w:p>
      <w:pPr>
        <w:spacing w:line="240" w:lineRule="auto" w:before="10"/>
        <w:rPr>
          <w:rFonts w:ascii="宋体" w:hAnsi="宋体" w:cs="宋体" w:eastAsia="宋体" w:hint="default"/>
          <w:sz w:val="14"/>
          <w:szCs w:val="14"/>
        </w:rPr>
      </w:pPr>
    </w:p>
    <w:p>
      <w:pPr>
        <w:pStyle w:val="BodyText"/>
        <w:spacing w:line="412" w:lineRule="auto"/>
        <w:ind w:right="1117" w:firstLine="420"/>
        <w:jc w:val="left"/>
        <w:rPr>
          <w:rFonts w:ascii="宋体" w:hAnsi="宋体" w:cs="宋体" w:eastAsia="宋体" w:hint="default"/>
          <w:sz w:val="20"/>
          <w:szCs w:val="20"/>
        </w:rPr>
      </w:pPr>
      <w:r>
        <w:rPr/>
        <w:t>存货年末余额比年初数增加</w:t>
      </w:r>
      <w:r>
        <w:rPr>
          <w:rFonts w:ascii="宋体" w:hAnsi="宋体" w:cs="宋体" w:eastAsia="宋体" w:hint="default"/>
        </w:rPr>
        <w:t>31,991,638.79</w:t>
      </w:r>
      <w:r>
        <w:rPr>
          <w:rFonts w:ascii="宋体" w:hAnsi="宋体" w:cs="宋体" w:eastAsia="宋体" w:hint="default"/>
          <w:spacing w:val="-24"/>
        </w:rPr>
        <w:t> </w:t>
      </w:r>
      <w:r>
        <w:rPr/>
        <w:t>元，增加比例为</w:t>
      </w:r>
      <w:r>
        <w:rPr>
          <w:rFonts w:ascii="宋体" w:hAnsi="宋体" w:cs="宋体" w:eastAsia="宋体" w:hint="default"/>
        </w:rPr>
        <w:t>36.81%</w:t>
      </w:r>
      <w:r>
        <w:rPr/>
        <w:t>，增加的主要原因为：公司与子公 司索瑞电气在手订单较多，正在积极备货中，所以原材料与在产品期末余额较高。 </w:t>
      </w:r>
      <w:bookmarkStart w:name="11、划分为持有待售的资产" w:id="257"/>
      <w:bookmarkEnd w:id="257"/>
      <w:r>
        <w:rPr/>
      </w:r>
      <w:r>
        <w:rPr>
          <w:rFonts w:ascii="宋体" w:hAnsi="宋体" w:cs="宋体" w:eastAsia="宋体" w:hint="default"/>
          <w:b/>
          <w:bCs/>
          <w:sz w:val="20"/>
          <w:szCs w:val="20"/>
        </w:rPr>
        <w:t>11</w:t>
      </w:r>
      <w:r>
        <w:rPr>
          <w:rFonts w:ascii="宋体" w:hAnsi="宋体" w:cs="宋体" w:eastAsia="宋体" w:hint="default"/>
          <w:b/>
          <w:bCs/>
          <w:sz w:val="20"/>
          <w:szCs w:val="20"/>
        </w:rPr>
        <w:t>、划分为持有待售的资产</w:t>
      </w:r>
      <w:r>
        <w:rPr>
          <w:rFonts w:ascii="宋体" w:hAnsi="宋体" w:cs="宋体" w:eastAsia="宋体" w:hint="default"/>
          <w:sz w:val="20"/>
          <w:szCs w:val="20"/>
        </w:rPr>
      </w:r>
    </w:p>
    <w:p>
      <w:pPr>
        <w:pStyle w:val="BodyText"/>
        <w:spacing w:line="240" w:lineRule="auto" w:before="53"/>
        <w:ind w:right="0"/>
        <w:jc w:val="left"/>
      </w:pPr>
      <w:r>
        <w:rPr/>
        <w:t>□ 适用 √</w:t>
      </w:r>
      <w:r>
        <w:rPr>
          <w:spacing w:val="-1"/>
        </w:rPr>
        <w:t> </w:t>
      </w:r>
      <w:r>
        <w:rPr/>
        <w:t>不适用</w:t>
      </w:r>
    </w:p>
    <w:p>
      <w:pPr>
        <w:spacing w:line="240" w:lineRule="auto" w:before="7"/>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12、一年内到期的非流动资产" w:id="258"/>
      <w:bookmarkEnd w:id="258"/>
      <w:r>
        <w:rPr/>
      </w:r>
      <w:r>
        <w:rPr>
          <w:rFonts w:ascii="宋体" w:hAnsi="宋体" w:cs="宋体" w:eastAsia="宋体" w:hint="default"/>
          <w:b/>
          <w:bCs/>
          <w:sz w:val="20"/>
          <w:szCs w:val="20"/>
        </w:rPr>
        <w:t>12</w:t>
      </w:r>
      <w:r>
        <w:rPr>
          <w:rFonts w:ascii="宋体" w:hAnsi="宋体" w:cs="宋体" w:eastAsia="宋体" w:hint="default"/>
          <w:b/>
          <w:bCs/>
          <w:sz w:val="20"/>
          <w:szCs w:val="20"/>
        </w:rPr>
        <w:t>、一年内到期的非流动资产</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13、其他流动资产" w:id="259"/>
      <w:bookmarkEnd w:id="259"/>
      <w:r>
        <w:rPr/>
      </w:r>
      <w:r>
        <w:rPr>
          <w:rFonts w:ascii="宋体" w:hAnsi="宋体" w:cs="宋体" w:eastAsia="宋体" w:hint="default"/>
          <w:b/>
          <w:bCs/>
          <w:sz w:val="20"/>
          <w:szCs w:val="20"/>
        </w:rPr>
        <w:t>13</w:t>
      </w:r>
      <w:r>
        <w:rPr>
          <w:rFonts w:ascii="宋体" w:hAnsi="宋体" w:cs="宋体" w:eastAsia="宋体" w:hint="default"/>
          <w:b/>
          <w:bCs/>
          <w:sz w:val="20"/>
          <w:szCs w:val="20"/>
        </w:rPr>
        <w:t>、其他流动资产</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88"/>
        <w:gridCol w:w="3191"/>
        <w:gridCol w:w="3191"/>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405"/>
              <w:jc w:val="right"/>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3,076,886.56</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21,270,269.47</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预交的企业所得税</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1,205,667.11</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595,349.79</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1,204.00</w:t>
            </w: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1405"/>
              <w:jc w:val="righ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4,283,757.67</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21,865,619.26</w:t>
            </w:r>
          </w:p>
        </w:tc>
      </w:tr>
    </w:tbl>
    <w:p>
      <w:pPr>
        <w:pStyle w:val="BodyText"/>
        <w:spacing w:line="240" w:lineRule="auto" w:before="63"/>
        <w:ind w:left="1134" w:right="0"/>
        <w:jc w:val="left"/>
      </w:pPr>
      <w:r>
        <w:rPr/>
        <w:t>其他说明：</w:t>
      </w:r>
    </w:p>
    <w:p>
      <w:pPr>
        <w:spacing w:line="240" w:lineRule="auto" w:before="10"/>
        <w:rPr>
          <w:rFonts w:ascii="宋体" w:hAnsi="宋体" w:cs="宋体" w:eastAsia="宋体" w:hint="default"/>
          <w:sz w:val="14"/>
          <w:szCs w:val="14"/>
        </w:rPr>
      </w:pPr>
    </w:p>
    <w:p>
      <w:pPr>
        <w:pStyle w:val="BodyText"/>
        <w:spacing w:line="408" w:lineRule="auto"/>
        <w:ind w:right="1216" w:firstLine="420"/>
        <w:jc w:val="left"/>
      </w:pPr>
      <w:r>
        <w:rPr/>
        <w:t>其他流动资产年末数比年初数减少</w:t>
      </w:r>
      <w:r>
        <w:rPr>
          <w:rFonts w:ascii="宋体" w:hAnsi="宋体" w:cs="宋体" w:eastAsia="宋体" w:hint="default"/>
        </w:rPr>
        <w:t>17,581,861.59</w:t>
      </w:r>
      <w:r>
        <w:rPr/>
        <w:t>元，减少比例为</w:t>
      </w:r>
      <w:r>
        <w:rPr>
          <w:rFonts w:ascii="宋体" w:hAnsi="宋体" w:cs="宋体" w:eastAsia="宋体" w:hint="default"/>
        </w:rPr>
        <w:t>80.41%</w:t>
      </w:r>
      <w:r>
        <w:rPr/>
        <w:t>，变动的主要原因为：本期 末待抵扣增值税</w:t>
      </w:r>
      <w:r>
        <w:rPr>
          <w:rFonts w:ascii="宋体" w:hAnsi="宋体" w:cs="宋体" w:eastAsia="宋体" w:hint="default"/>
        </w:rPr>
        <w:t>-</w:t>
      </w:r>
      <w:r>
        <w:rPr/>
        <w:t>进项税减少。</w:t>
      </w:r>
    </w:p>
    <w:p>
      <w:pPr>
        <w:spacing w:before="56"/>
        <w:ind w:left="1133" w:right="0" w:firstLine="0"/>
        <w:jc w:val="left"/>
        <w:rPr>
          <w:rFonts w:ascii="宋体" w:hAnsi="宋体" w:cs="宋体" w:eastAsia="宋体" w:hint="default"/>
          <w:sz w:val="20"/>
          <w:szCs w:val="20"/>
        </w:rPr>
      </w:pPr>
      <w:bookmarkStart w:name="14、可供出售金融资产" w:id="260"/>
      <w:bookmarkEnd w:id="260"/>
      <w:r>
        <w:rPr/>
      </w:r>
      <w:r>
        <w:rPr>
          <w:rFonts w:ascii="宋体" w:hAnsi="宋体" w:cs="宋体" w:eastAsia="宋体" w:hint="default"/>
          <w:b/>
          <w:bCs/>
          <w:sz w:val="20"/>
          <w:szCs w:val="20"/>
        </w:rPr>
        <w:t>14</w:t>
      </w:r>
      <w:r>
        <w:rPr>
          <w:rFonts w:ascii="宋体" w:hAnsi="宋体" w:cs="宋体" w:eastAsia="宋体" w:hint="default"/>
          <w:b/>
          <w:bCs/>
          <w:sz w:val="20"/>
          <w:szCs w:val="20"/>
        </w:rPr>
        <w:t>、可供出售金融资产</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可供出售金融资产情况" w:id="261"/>
      <w:bookmarkEnd w:id="261"/>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）可供出售金融资产情况</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1991"/>
        <w:gridCol w:w="1412"/>
        <w:gridCol w:w="989"/>
        <w:gridCol w:w="1421"/>
        <w:gridCol w:w="1024"/>
        <w:gridCol w:w="1367"/>
        <w:gridCol w:w="1366"/>
      </w:tblGrid>
      <w:tr>
        <w:trPr>
          <w:trHeight w:val="219" w:hRule="exact"/>
        </w:trPr>
        <w:tc>
          <w:tcPr>
            <w:tcW w:w="1991"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822" w:type="dxa"/>
            <w:gridSpan w:val="3"/>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7" w:type="dxa"/>
            <w:gridSpan w:val="3"/>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91"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2" w:type="dxa"/>
            <w:gridSpan w:val="3"/>
            <w:vMerge/>
            <w:tcBorders>
              <w:left w:val="single" w:sz="6" w:space="0" w:color="000000"/>
              <w:bottom w:val="single" w:sz="6" w:space="0" w:color="000000"/>
              <w:right w:val="single" w:sz="6" w:space="0" w:color="000000"/>
            </w:tcBorders>
            <w:shd w:val="clear" w:color="auto" w:fill="D2D2D2"/>
          </w:tcPr>
          <w:p>
            <w:pPr/>
          </w:p>
        </w:tc>
        <w:tc>
          <w:tcPr>
            <w:tcW w:w="3757" w:type="dxa"/>
            <w:gridSpan w:val="3"/>
            <w:vMerge/>
            <w:tcBorders>
              <w:left w:val="single" w:sz="6" w:space="0" w:color="000000"/>
              <w:bottom w:val="single" w:sz="6" w:space="0" w:color="000000"/>
              <w:right w:val="single" w:sz="12" w:space="0" w:color="000000"/>
            </w:tcBorders>
            <w:shd w:val="clear" w:color="auto" w:fill="D2D2D2"/>
          </w:tcPr>
          <w:p>
            <w:pPr/>
          </w:p>
        </w:tc>
      </w:tr>
      <w:tr>
        <w:trPr>
          <w:trHeight w:val="195" w:hRule="exact"/>
        </w:trPr>
        <w:tc>
          <w:tcPr>
            <w:tcW w:w="1991" w:type="dxa"/>
            <w:vMerge/>
            <w:tcBorders>
              <w:left w:val="single" w:sz="12" w:space="0" w:color="000000"/>
              <w:bottom w:val="nil" w:sz="6" w:space="0" w:color="auto"/>
              <w:right w:val="single" w:sz="6" w:space="0" w:color="000000"/>
            </w:tcBorders>
            <w:shd w:val="clear" w:color="auto" w:fill="D2D2D2"/>
          </w:tcPr>
          <w:p>
            <w:pPr/>
          </w:p>
        </w:tc>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3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8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1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2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34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2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1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0"/>
              <w:ind w:left="3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991" w:type="dxa"/>
            <w:tcBorders>
              <w:top w:val="nil" w:sz="6" w:space="0" w:color="auto"/>
              <w:left w:val="single" w:sz="12" w:space="0" w:color="000000"/>
              <w:bottom w:val="single" w:sz="6" w:space="0" w:color="000000"/>
              <w:right w:val="single" w:sz="6" w:space="0" w:color="000000"/>
            </w:tcBorders>
            <w:shd w:val="clear" w:color="auto" w:fill="D2D2D2"/>
          </w:tcPr>
          <w:p>
            <w:pPr/>
          </w:p>
        </w:tc>
        <w:tc>
          <w:tcPr>
            <w:tcW w:w="1412" w:type="dxa"/>
            <w:vMerge/>
            <w:tcBorders>
              <w:left w:val="single" w:sz="6" w:space="0" w:color="000000"/>
              <w:bottom w:val="single" w:sz="6" w:space="0" w:color="000000"/>
              <w:right w:val="single" w:sz="6" w:space="0" w:color="000000"/>
            </w:tcBorders>
            <w:shd w:val="clear" w:color="auto" w:fill="D2D2D2"/>
          </w:tcPr>
          <w:p>
            <w:pPr/>
          </w:p>
        </w:tc>
        <w:tc>
          <w:tcPr>
            <w:tcW w:w="989" w:type="dxa"/>
            <w:vMerge/>
            <w:tcBorders>
              <w:left w:val="single" w:sz="6" w:space="0" w:color="000000"/>
              <w:bottom w:val="single" w:sz="6" w:space="0" w:color="000000"/>
              <w:right w:val="single" w:sz="6" w:space="0" w:color="000000"/>
            </w:tcBorders>
            <w:shd w:val="clear" w:color="auto" w:fill="D2D2D2"/>
          </w:tcPr>
          <w:p>
            <w:pPr/>
          </w:p>
        </w:tc>
        <w:tc>
          <w:tcPr>
            <w:tcW w:w="1421" w:type="dxa"/>
            <w:vMerge/>
            <w:tcBorders>
              <w:left w:val="single" w:sz="6" w:space="0" w:color="000000"/>
              <w:bottom w:val="single" w:sz="6" w:space="0" w:color="000000"/>
              <w:right w:val="single" w:sz="6" w:space="0" w:color="000000"/>
            </w:tcBorders>
            <w:shd w:val="clear" w:color="auto" w:fill="D2D2D2"/>
          </w:tcPr>
          <w:p>
            <w:pPr/>
          </w:p>
        </w:tc>
        <w:tc>
          <w:tcPr>
            <w:tcW w:w="1024"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9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4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22,300,000.00</w:t>
            </w:r>
          </w:p>
        </w:tc>
        <w:tc>
          <w:tcPr>
            <w:tcW w:w="989"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22,300,000.00</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68" w:right="0"/>
              <w:jc w:val="center"/>
              <w:rPr>
                <w:rFonts w:ascii="宋体" w:hAnsi="宋体" w:cs="宋体" w:eastAsia="宋体" w:hint="default"/>
                <w:sz w:val="18"/>
                <w:szCs w:val="18"/>
              </w:rPr>
            </w:pPr>
            <w:r>
              <w:rPr>
                <w:rFonts w:ascii="宋体"/>
                <w:sz w:val="18"/>
              </w:rPr>
              <w:t>700,000.00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700,000.00</w:t>
            </w:r>
          </w:p>
        </w:tc>
      </w:tr>
      <w:tr>
        <w:trPr>
          <w:trHeight w:val="407" w:hRule="exact"/>
        </w:trPr>
        <w:tc>
          <w:tcPr>
            <w:tcW w:w="19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4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22,300,000.00</w:t>
            </w:r>
          </w:p>
        </w:tc>
        <w:tc>
          <w:tcPr>
            <w:tcW w:w="989"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22,300,000.00</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68" w:right="0"/>
              <w:jc w:val="center"/>
              <w:rPr>
                <w:rFonts w:ascii="宋体" w:hAnsi="宋体" w:cs="宋体" w:eastAsia="宋体" w:hint="default"/>
                <w:sz w:val="18"/>
                <w:szCs w:val="18"/>
              </w:rPr>
            </w:pPr>
            <w:r>
              <w:rPr>
                <w:rFonts w:ascii="宋体"/>
                <w:sz w:val="18"/>
              </w:rPr>
              <w:t>700,000.00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9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22,300,000.00</w:t>
            </w:r>
          </w:p>
        </w:tc>
        <w:tc>
          <w:tcPr>
            <w:tcW w:w="989" w:type="dxa"/>
            <w:tcBorders>
              <w:top w:val="single" w:sz="6" w:space="0" w:color="000000"/>
              <w:left w:val="single" w:sz="6" w:space="0" w:color="000000"/>
              <w:bottom w:val="single" w:sz="12" w:space="0" w:color="000000"/>
              <w:right w:val="single" w:sz="6" w:space="0" w:color="000000"/>
            </w:tcBorders>
          </w:tcPr>
          <w:p>
            <w:pPr/>
          </w:p>
        </w:tc>
        <w:tc>
          <w:tcPr>
            <w:tcW w:w="14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22,300,000.00</w:t>
            </w:r>
          </w:p>
        </w:tc>
        <w:tc>
          <w:tcPr>
            <w:tcW w:w="10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68" w:right="0"/>
              <w:jc w:val="center"/>
              <w:rPr>
                <w:rFonts w:ascii="宋体" w:hAnsi="宋体" w:cs="宋体" w:eastAsia="宋体" w:hint="default"/>
                <w:sz w:val="18"/>
                <w:szCs w:val="18"/>
              </w:rPr>
            </w:pPr>
            <w:r>
              <w:rPr>
                <w:rFonts w:ascii="宋体"/>
                <w:sz w:val="18"/>
              </w:rPr>
              <w:t>700,000.00</w:t>
            </w:r>
          </w:p>
        </w:tc>
        <w:tc>
          <w:tcPr>
            <w:tcW w:w="1367"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700,000.00</w:t>
            </w:r>
          </w:p>
        </w:tc>
      </w:tr>
    </w:tbl>
    <w:p>
      <w:pPr>
        <w:spacing w:before="72"/>
        <w:ind w:left="1134" w:right="0" w:firstLine="0"/>
        <w:jc w:val="left"/>
        <w:rPr>
          <w:rFonts w:ascii="宋体" w:hAnsi="宋体" w:cs="宋体" w:eastAsia="宋体" w:hint="default"/>
          <w:sz w:val="20"/>
          <w:szCs w:val="20"/>
        </w:rPr>
      </w:pPr>
      <w:bookmarkStart w:name="（2）期末按公允价值计量的可供出售金融资产" w:id="262"/>
      <w:bookmarkEnd w:id="262"/>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）期末按公允价值计量的可供出售金融资产</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3）期末按成本计量的可供出售金融资产" w:id="263"/>
      <w:bookmarkEnd w:id="263"/>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）期末按成本计量的可供出售金融资产</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834" w:type="dxa"/>
        <w:tblLayout w:type="fixed"/>
        <w:tblCellMar>
          <w:top w:w="0" w:type="dxa"/>
          <w:left w:w="0" w:type="dxa"/>
          <w:bottom w:w="0" w:type="dxa"/>
          <w:right w:w="0" w:type="dxa"/>
        </w:tblCellMar>
        <w:tblLook w:val="01E0"/>
      </w:tblPr>
      <w:tblGrid>
        <w:gridCol w:w="1148"/>
        <w:gridCol w:w="1122"/>
        <w:gridCol w:w="1277"/>
        <w:gridCol w:w="425"/>
        <w:gridCol w:w="1276"/>
        <w:gridCol w:w="568"/>
        <w:gridCol w:w="566"/>
        <w:gridCol w:w="568"/>
        <w:gridCol w:w="425"/>
        <w:gridCol w:w="1417"/>
        <w:gridCol w:w="1057"/>
      </w:tblGrid>
      <w:tr>
        <w:trPr>
          <w:trHeight w:val="415" w:hRule="exact"/>
        </w:trPr>
        <w:tc>
          <w:tcPr>
            <w:tcW w:w="1148"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100" w:type="dxa"/>
            <w:gridSpan w:val="4"/>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27" w:type="dxa"/>
            <w:gridSpan w:val="4"/>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9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7"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430" w:right="71" w:hanging="360"/>
              <w:jc w:val="left"/>
              <w:rPr>
                <w:rFonts w:ascii="宋体" w:hAnsi="宋体" w:cs="宋体" w:eastAsia="宋体" w:hint="default"/>
                <w:sz w:val="18"/>
                <w:szCs w:val="18"/>
              </w:rPr>
            </w:pPr>
            <w:r>
              <w:rPr>
                <w:rFonts w:ascii="宋体" w:hAnsi="宋体" w:cs="宋体" w:eastAsia="宋体" w:hint="default"/>
                <w:sz w:val="18"/>
                <w:szCs w:val="18"/>
              </w:rPr>
              <w:t>在被投资单位持 股比例</w:t>
            </w:r>
          </w:p>
        </w:tc>
        <w:tc>
          <w:tcPr>
            <w:tcW w:w="1057"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430" w:right="61"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r>
      <w:tr>
        <w:trPr>
          <w:trHeight w:val="719" w:hRule="exact"/>
        </w:trPr>
        <w:tc>
          <w:tcPr>
            <w:tcW w:w="1148" w:type="dxa"/>
            <w:vMerge/>
            <w:tcBorders>
              <w:left w:val="single" w:sz="12" w:space="0" w:color="000000"/>
              <w:bottom w:val="single" w:sz="6" w:space="0" w:color="000000"/>
              <w:right w:val="single" w:sz="6" w:space="0" w:color="000000"/>
            </w:tcBorders>
            <w:shd w:val="clear" w:color="auto" w:fill="D2D2D2"/>
          </w:tcPr>
          <w:p>
            <w:pPr/>
          </w:p>
        </w:tc>
        <w:tc>
          <w:tcPr>
            <w:tcW w:w="11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4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5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95" w:right="95"/>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95" w:right="95"/>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4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1417" w:type="dxa"/>
            <w:vMerge/>
            <w:tcBorders>
              <w:left w:val="single" w:sz="6" w:space="0" w:color="000000"/>
              <w:bottom w:val="single" w:sz="6" w:space="0" w:color="000000"/>
              <w:right w:val="single" w:sz="6" w:space="0" w:color="000000"/>
            </w:tcBorders>
            <w:shd w:val="clear" w:color="auto" w:fill="D2D2D2"/>
          </w:tcPr>
          <w:p>
            <w:pPr/>
          </w:p>
        </w:tc>
        <w:tc>
          <w:tcPr>
            <w:tcW w:w="1057" w:type="dxa"/>
            <w:vMerge/>
            <w:tcBorders>
              <w:left w:val="single" w:sz="6" w:space="0" w:color="000000"/>
              <w:bottom w:val="single" w:sz="6" w:space="0" w:color="000000"/>
              <w:right w:val="single" w:sz="12" w:space="0" w:color="000000"/>
            </w:tcBorders>
            <w:shd w:val="clear" w:color="auto" w:fill="D2D2D2"/>
          </w:tcPr>
          <w:p>
            <w:pPr/>
          </w:p>
        </w:tc>
      </w:tr>
      <w:tr>
        <w:trPr>
          <w:trHeight w:val="719" w:hRule="exact"/>
        </w:trPr>
        <w:tc>
          <w:tcPr>
            <w:tcW w:w="1148"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4" w:right="29"/>
              <w:jc w:val="left"/>
              <w:rPr>
                <w:rFonts w:ascii="宋体" w:hAnsi="宋体" w:cs="宋体" w:eastAsia="宋体" w:hint="default"/>
                <w:sz w:val="18"/>
                <w:szCs w:val="18"/>
              </w:rPr>
            </w:pPr>
            <w:r>
              <w:rPr>
                <w:rFonts w:ascii="宋体" w:hAnsi="宋体" w:cs="宋体" w:eastAsia="宋体" w:hint="default"/>
                <w:sz w:val="18"/>
                <w:szCs w:val="18"/>
              </w:rPr>
              <w:t>贵州贵银投资 有限公司</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700,000.00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700,000.00</w:t>
            </w: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7.00%</w:t>
            </w:r>
          </w:p>
        </w:tc>
        <w:tc>
          <w:tcPr>
            <w:tcW w:w="1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0.00</w:t>
            </w:r>
          </w:p>
        </w:tc>
      </w:tr>
      <w:tr>
        <w:trPr>
          <w:trHeight w:val="719" w:hRule="exact"/>
        </w:trPr>
        <w:tc>
          <w:tcPr>
            <w:tcW w:w="1148"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4" w:right="29"/>
              <w:jc w:val="left"/>
              <w:rPr>
                <w:rFonts w:ascii="宋体" w:hAnsi="宋体" w:cs="宋体" w:eastAsia="宋体" w:hint="default"/>
                <w:sz w:val="18"/>
                <w:szCs w:val="18"/>
              </w:rPr>
            </w:pPr>
            <w:r>
              <w:rPr>
                <w:rFonts w:ascii="宋体" w:hAnsi="宋体" w:cs="宋体" w:eastAsia="宋体" w:hint="default"/>
                <w:sz w:val="18"/>
                <w:szCs w:val="18"/>
              </w:rPr>
              <w:t>广东九联科技 股份有限公司</w:t>
            </w:r>
          </w:p>
        </w:tc>
        <w:tc>
          <w:tcPr>
            <w:tcW w:w="112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21,600,000.00</w:t>
            </w: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21,600,000.00</w:t>
            </w: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4.00%</w:t>
            </w:r>
          </w:p>
        </w:tc>
        <w:tc>
          <w:tcPr>
            <w:tcW w:w="1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0.00</w:t>
            </w:r>
          </w:p>
        </w:tc>
      </w:tr>
      <w:tr>
        <w:trPr>
          <w:trHeight w:val="415" w:hRule="exact"/>
        </w:trPr>
        <w:tc>
          <w:tcPr>
            <w:tcW w:w="114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122"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700,000.00</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21,600,000.00</w:t>
            </w:r>
          </w:p>
        </w:tc>
        <w:tc>
          <w:tcPr>
            <w:tcW w:w="425"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22,300,000.00</w:t>
            </w:r>
          </w:p>
        </w:tc>
        <w:tc>
          <w:tcPr>
            <w:tcW w:w="568"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9" w:space="0" w:color="D2D2D2"/>
            </w:tcBorders>
          </w:tcPr>
          <w:p>
            <w:pPr/>
          </w:p>
        </w:tc>
        <w:tc>
          <w:tcPr>
            <w:tcW w:w="141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0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0.00</w:t>
            </w:r>
          </w:p>
        </w:tc>
      </w:tr>
    </w:tbl>
    <w:p>
      <w:pPr>
        <w:spacing w:before="73"/>
        <w:ind w:left="1134" w:right="0" w:firstLine="0"/>
        <w:jc w:val="left"/>
        <w:rPr>
          <w:rFonts w:ascii="宋体" w:hAnsi="宋体" w:cs="宋体" w:eastAsia="宋体" w:hint="default"/>
          <w:sz w:val="20"/>
          <w:szCs w:val="20"/>
        </w:rPr>
      </w:pPr>
      <w:bookmarkStart w:name="（4）报告期内可供出售金融资产减值的变动情况" w:id="264"/>
      <w:bookmarkEnd w:id="264"/>
      <w:r>
        <w:rPr/>
      </w: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）报告期内可供出售金融资产减值的变动情况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5）可供出售权益工具期末公允价值严重下跌或非暂时性下跌但未计提减值准备的相关说" w:id="265"/>
      <w:bookmarkEnd w:id="265"/>
      <w:r>
        <w:rPr/>
      </w:r>
      <w:r>
        <w:rPr>
          <w:rFonts w:ascii="宋体" w:hAnsi="宋体" w:cs="宋体" w:eastAsia="宋体" w:hint="default"/>
          <w:b/>
          <w:bCs/>
          <w:sz w:val="20"/>
          <w:szCs w:val="20"/>
        </w:rPr>
        <w:t>（</w:t>
      </w:r>
      <w:r>
        <w:rPr>
          <w:rFonts w:ascii="宋体" w:hAnsi="宋体" w:cs="宋体" w:eastAsia="宋体" w:hint="default"/>
          <w:b/>
          <w:bCs/>
          <w:sz w:val="20"/>
          <w:szCs w:val="20"/>
        </w:rPr>
        <w:t>5</w:t>
      </w:r>
      <w:r>
        <w:rPr>
          <w:rFonts w:ascii="宋体" w:hAnsi="宋体" w:cs="宋体" w:eastAsia="宋体" w:hint="default"/>
          <w:b/>
          <w:bCs/>
          <w:sz w:val="20"/>
          <w:szCs w:val="20"/>
        </w:rPr>
        <w:t>）可供出售权益工具期末公允价值严重下跌或非暂时性下跌但未计提减值准备的相关说明</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15、持有至到期投资" w:id="266"/>
      <w:bookmarkEnd w:id="266"/>
      <w:r>
        <w:rPr/>
      </w:r>
      <w:r>
        <w:rPr>
          <w:rFonts w:ascii="宋体" w:hAnsi="宋体" w:cs="宋体" w:eastAsia="宋体" w:hint="default"/>
          <w:b/>
          <w:bCs/>
          <w:sz w:val="20"/>
          <w:szCs w:val="20"/>
        </w:rPr>
        <w:t>15</w:t>
      </w:r>
      <w:r>
        <w:rPr>
          <w:rFonts w:ascii="宋体" w:hAnsi="宋体" w:cs="宋体" w:eastAsia="宋体" w:hint="default"/>
          <w:b/>
          <w:bCs/>
          <w:sz w:val="20"/>
          <w:szCs w:val="20"/>
        </w:rPr>
        <w:t>、持有至到期投资</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3" w:right="0" w:firstLine="0"/>
        <w:jc w:val="left"/>
        <w:rPr>
          <w:rFonts w:ascii="宋体" w:hAnsi="宋体" w:cs="宋体" w:eastAsia="宋体" w:hint="default"/>
          <w:sz w:val="20"/>
          <w:szCs w:val="20"/>
        </w:rPr>
      </w:pPr>
      <w:bookmarkStart w:name="（1）持有至到期投资情况" w:id="267"/>
      <w:bookmarkEnd w:id="267"/>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）持有至到期投资情况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期末重要的持有至到期投资" w:id="268"/>
      <w:bookmarkEnd w:id="268"/>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）期末重要的持有至到期投资</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3）本期重分类的持有至到期投资" w:id="269"/>
      <w:bookmarkEnd w:id="269"/>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）本期重分类的持有至到期投资</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16、长期应收款" w:id="270"/>
      <w:bookmarkEnd w:id="270"/>
      <w:r>
        <w:rPr/>
      </w:r>
      <w:r>
        <w:rPr>
          <w:rFonts w:ascii="宋体" w:hAnsi="宋体" w:cs="宋体" w:eastAsia="宋体" w:hint="default"/>
          <w:b/>
          <w:bCs/>
          <w:sz w:val="20"/>
          <w:szCs w:val="20"/>
        </w:rPr>
        <w:t>16</w:t>
      </w:r>
      <w:r>
        <w:rPr>
          <w:rFonts w:ascii="宋体" w:hAnsi="宋体" w:cs="宋体" w:eastAsia="宋体" w:hint="default"/>
          <w:b/>
          <w:bCs/>
          <w:sz w:val="20"/>
          <w:szCs w:val="20"/>
        </w:rPr>
        <w:t>、长期应收款</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3" w:right="0" w:firstLine="0"/>
        <w:jc w:val="left"/>
        <w:rPr>
          <w:rFonts w:ascii="宋体" w:hAnsi="宋体" w:cs="宋体" w:eastAsia="宋体" w:hint="default"/>
          <w:sz w:val="20"/>
          <w:szCs w:val="20"/>
        </w:rPr>
      </w:pPr>
      <w:bookmarkStart w:name="（1）长期应收款情况" w:id="271"/>
      <w:bookmarkEnd w:id="271"/>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）长期应收款情况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3" w:right="0" w:firstLine="0"/>
        <w:jc w:val="left"/>
        <w:rPr>
          <w:rFonts w:ascii="宋体" w:hAnsi="宋体" w:cs="宋体" w:eastAsia="宋体" w:hint="default"/>
          <w:sz w:val="20"/>
          <w:szCs w:val="20"/>
        </w:rPr>
      </w:pPr>
      <w:bookmarkStart w:name="（2）因金融资产转移而终止确认的长期应收款" w:id="272"/>
      <w:bookmarkEnd w:id="272"/>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）因金融资产转移而终止确认的长期应收款</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3）转移长期应收款且继续涉入形成的资产、负债金额" w:id="273"/>
      <w:bookmarkEnd w:id="273"/>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）转移长期应收款且继续涉入形成的资产、负债金额</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17、长期股权投资" w:id="274"/>
      <w:bookmarkEnd w:id="274"/>
      <w:r>
        <w:rPr/>
      </w:r>
      <w:r>
        <w:rPr>
          <w:rFonts w:ascii="宋体" w:hAnsi="宋体" w:cs="宋体" w:eastAsia="宋体" w:hint="default"/>
          <w:b/>
          <w:bCs/>
          <w:sz w:val="20"/>
          <w:szCs w:val="20"/>
        </w:rPr>
        <w:t>17</w:t>
      </w:r>
      <w:r>
        <w:rPr>
          <w:rFonts w:ascii="宋体" w:hAnsi="宋体" w:cs="宋体" w:eastAsia="宋体" w:hint="default"/>
          <w:b/>
          <w:bCs/>
          <w:sz w:val="20"/>
          <w:szCs w:val="20"/>
        </w:rPr>
        <w:t>、长期股权投资</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797"/>
        <w:gridCol w:w="798"/>
        <w:gridCol w:w="1242"/>
        <w:gridCol w:w="353"/>
        <w:gridCol w:w="1065"/>
        <w:gridCol w:w="143"/>
        <w:gridCol w:w="389"/>
        <w:gridCol w:w="602"/>
        <w:gridCol w:w="709"/>
        <w:gridCol w:w="708"/>
        <w:gridCol w:w="426"/>
        <w:gridCol w:w="1544"/>
        <w:gridCol w:w="797"/>
      </w:tblGrid>
      <w:tr>
        <w:trPr>
          <w:trHeight w:val="413" w:hRule="exact"/>
        </w:trPr>
        <w:tc>
          <w:tcPr>
            <w:tcW w:w="797"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9" w:lineRule="auto"/>
              <w:ind w:left="292" w:right="29"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37" w:type="dxa"/>
            <w:gridSpan w:val="9"/>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44"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9" w:lineRule="auto"/>
              <w:ind w:left="31" w:right="2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343" w:hRule="exact"/>
        </w:trPr>
        <w:tc>
          <w:tcPr>
            <w:tcW w:w="797" w:type="dxa"/>
            <w:vMerge/>
            <w:tcBorders>
              <w:left w:val="single" w:sz="12" w:space="0" w:color="000000"/>
              <w:bottom w:val="single" w:sz="6" w:space="0" w:color="000000"/>
              <w:right w:val="single" w:sz="6" w:space="0" w:color="000000"/>
            </w:tcBorders>
            <w:shd w:val="clear" w:color="auto" w:fill="D2D2D2"/>
          </w:tcPr>
          <w:p>
            <w:pPr/>
          </w:p>
        </w:tc>
        <w:tc>
          <w:tcPr>
            <w:tcW w:w="798" w:type="dxa"/>
            <w:vMerge/>
            <w:tcBorders>
              <w:left w:val="single" w:sz="6" w:space="0" w:color="000000"/>
              <w:bottom w:val="single" w:sz="6" w:space="0" w:color="000000"/>
              <w:right w:val="single" w:sz="6" w:space="0" w:color="000000"/>
            </w:tcBorders>
            <w:shd w:val="clear" w:color="auto" w:fill="D2D2D2"/>
          </w:tcPr>
          <w:p>
            <w:pPr/>
          </w:p>
        </w:tc>
        <w:tc>
          <w:tcPr>
            <w:tcW w:w="12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3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2"/>
              <w:ind w:left="79" w:right="77"/>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0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4" w:right="75"/>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2"/>
              <w:ind w:left="79" w:right="77"/>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6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 w:right="23"/>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2"/>
              <w:ind w:left="77" w:right="74"/>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5" w:right="7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4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4" w:type="dxa"/>
            <w:vMerge/>
            <w:tcBorders>
              <w:left w:val="single" w:sz="6" w:space="0" w:color="000000"/>
              <w:bottom w:val="single" w:sz="6" w:space="0" w:color="000000"/>
              <w:right w:val="single" w:sz="6" w:space="0" w:color="000000"/>
            </w:tcBorders>
            <w:shd w:val="clear" w:color="auto" w:fill="D2D2D2"/>
          </w:tcPr>
          <w:p>
            <w:pPr/>
          </w:p>
        </w:tc>
        <w:tc>
          <w:tcPr>
            <w:tcW w:w="797" w:type="dxa"/>
            <w:vMerge/>
            <w:tcBorders>
              <w:left w:val="single" w:sz="6" w:space="0" w:color="000000"/>
              <w:bottom w:val="single" w:sz="6" w:space="0" w:color="000000"/>
              <w:right w:val="single" w:sz="12" w:space="0" w:color="000000"/>
            </w:tcBorders>
            <w:shd w:val="clear" w:color="auto" w:fill="D2D2D2"/>
          </w:tcPr>
          <w:p>
            <w:pPr/>
          </w:p>
        </w:tc>
      </w:tr>
      <w:tr>
        <w:trPr>
          <w:trHeight w:val="408" w:hRule="exact"/>
        </w:trPr>
        <w:tc>
          <w:tcPr>
            <w:tcW w:w="9574" w:type="dxa"/>
            <w:gridSpan w:val="13"/>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7" w:hRule="exact"/>
        </w:trPr>
        <w:tc>
          <w:tcPr>
            <w:tcW w:w="9574" w:type="dxa"/>
            <w:gridSpan w:val="13"/>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3" w:hRule="exact"/>
        </w:trPr>
        <w:tc>
          <w:tcPr>
            <w:tcW w:w="797"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39"/>
              <w:jc w:val="both"/>
              <w:rPr>
                <w:rFonts w:ascii="宋体" w:hAnsi="宋体" w:cs="宋体" w:eastAsia="宋体" w:hint="default"/>
                <w:sz w:val="18"/>
                <w:szCs w:val="18"/>
              </w:rPr>
            </w:pPr>
            <w:r>
              <w:rPr>
                <w:rFonts w:ascii="宋体" w:hAnsi="宋体" w:cs="宋体" w:eastAsia="宋体" w:hint="default"/>
                <w:sz w:val="18"/>
                <w:szCs w:val="18"/>
              </w:rPr>
              <w:t>中云文化 大数据科 技有限公 司</w:t>
            </w:r>
          </w:p>
        </w:tc>
        <w:tc>
          <w:tcPr>
            <w:tcW w:w="798" w:type="dxa"/>
            <w:tcBorders>
              <w:top w:val="single" w:sz="6" w:space="0" w:color="000000"/>
              <w:left w:val="single" w:sz="6" w:space="0" w:color="000000"/>
              <w:bottom w:val="single" w:sz="6" w:space="0" w:color="000000"/>
              <w:right w:val="single" w:sz="6" w:space="0" w:color="000000"/>
            </w:tcBorders>
          </w:tcPr>
          <w:p>
            <w:pP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4" w:right="0"/>
              <w:jc w:val="center"/>
              <w:rPr>
                <w:rFonts w:ascii="宋体" w:hAnsi="宋体" w:cs="宋体" w:eastAsia="宋体" w:hint="default"/>
                <w:sz w:val="18"/>
                <w:szCs w:val="18"/>
              </w:rPr>
            </w:pPr>
            <w:r>
              <w:rPr>
                <w:rFonts w:ascii="宋体"/>
                <w:sz w:val="18"/>
              </w:rPr>
              <w:t>12,000,000.00</w:t>
            </w:r>
          </w:p>
        </w:tc>
        <w:tc>
          <w:tcPr>
            <w:tcW w:w="353" w:type="dxa"/>
            <w:tcBorders>
              <w:top w:val="single" w:sz="6" w:space="0" w:color="000000"/>
              <w:left w:val="single" w:sz="6" w:space="0" w:color="000000"/>
              <w:bottom w:val="single" w:sz="6" w:space="0" w:color="000000"/>
              <w:right w:val="single" w:sz="6" w:space="0" w:color="000000"/>
            </w:tcBorders>
          </w:tcPr>
          <w:p>
            <w:pP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1" w:right="0"/>
              <w:jc w:val="left"/>
              <w:rPr>
                <w:rFonts w:ascii="宋体" w:hAnsi="宋体" w:cs="宋体" w:eastAsia="宋体" w:hint="default"/>
                <w:sz w:val="18"/>
                <w:szCs w:val="18"/>
              </w:rPr>
            </w:pPr>
            <w:r>
              <w:rPr>
                <w:rFonts w:ascii="宋体"/>
                <w:sz w:val="18"/>
              </w:rPr>
              <w:t>-227,664.77</w:t>
            </w:r>
          </w:p>
        </w:tc>
        <w:tc>
          <w:tcPr>
            <w:tcW w:w="389"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11,772,335.23</w:t>
            </w:r>
          </w:p>
        </w:tc>
        <w:tc>
          <w:tcPr>
            <w:tcW w:w="797" w:type="dxa"/>
            <w:tcBorders>
              <w:top w:val="single" w:sz="6" w:space="0" w:color="000000"/>
              <w:left w:val="single" w:sz="6" w:space="0" w:color="000000"/>
              <w:bottom w:val="single" w:sz="6" w:space="0" w:color="000000"/>
              <w:right w:val="single" w:sz="12" w:space="0" w:color="000000"/>
            </w:tcBorders>
          </w:tcPr>
          <w:p>
            <w:pPr/>
          </w:p>
        </w:tc>
      </w:tr>
      <w:tr>
        <w:trPr>
          <w:trHeight w:val="1343" w:hRule="exact"/>
        </w:trPr>
        <w:tc>
          <w:tcPr>
            <w:tcW w:w="797"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39"/>
              <w:jc w:val="both"/>
              <w:rPr>
                <w:rFonts w:ascii="宋体" w:hAnsi="宋体" w:cs="宋体" w:eastAsia="宋体" w:hint="default"/>
                <w:sz w:val="18"/>
                <w:szCs w:val="18"/>
              </w:rPr>
            </w:pPr>
            <w:r>
              <w:rPr>
                <w:rFonts w:ascii="宋体" w:hAnsi="宋体" w:cs="宋体" w:eastAsia="宋体" w:hint="default"/>
                <w:sz w:val="18"/>
                <w:szCs w:val="18"/>
              </w:rPr>
              <w:t>北京中广 格兰信息 科技有限 公司</w:t>
            </w:r>
          </w:p>
        </w:tc>
        <w:tc>
          <w:tcPr>
            <w:tcW w:w="798" w:type="dxa"/>
            <w:tcBorders>
              <w:top w:val="single" w:sz="6" w:space="0" w:color="000000"/>
              <w:left w:val="single" w:sz="6" w:space="0" w:color="000000"/>
              <w:bottom w:val="single" w:sz="6" w:space="0" w:color="000000"/>
              <w:right w:val="single" w:sz="6" w:space="0" w:color="000000"/>
            </w:tcBorders>
          </w:tcPr>
          <w:p>
            <w:pP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4" w:right="0"/>
              <w:jc w:val="center"/>
              <w:rPr>
                <w:rFonts w:ascii="宋体" w:hAnsi="宋体" w:cs="宋体" w:eastAsia="宋体" w:hint="default"/>
                <w:sz w:val="18"/>
                <w:szCs w:val="18"/>
              </w:rPr>
            </w:pPr>
            <w:r>
              <w:rPr>
                <w:rFonts w:ascii="宋体"/>
                <w:sz w:val="18"/>
              </w:rPr>
              <w:t>10,714,290.00</w:t>
            </w:r>
          </w:p>
        </w:tc>
        <w:tc>
          <w:tcPr>
            <w:tcW w:w="353" w:type="dxa"/>
            <w:tcBorders>
              <w:top w:val="single" w:sz="6" w:space="0" w:color="000000"/>
              <w:left w:val="single" w:sz="6" w:space="0" w:color="000000"/>
              <w:bottom w:val="single" w:sz="6" w:space="0" w:color="000000"/>
              <w:right w:val="single" w:sz="6" w:space="0" w:color="000000"/>
            </w:tcBorders>
          </w:tcPr>
          <w:p>
            <w:pP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1" w:right="0"/>
              <w:jc w:val="left"/>
              <w:rPr>
                <w:rFonts w:ascii="宋体" w:hAnsi="宋体" w:cs="宋体" w:eastAsia="宋体" w:hint="default"/>
                <w:sz w:val="18"/>
                <w:szCs w:val="18"/>
              </w:rPr>
            </w:pPr>
            <w:r>
              <w:rPr>
                <w:rFonts w:ascii="宋体"/>
                <w:sz w:val="18"/>
              </w:rPr>
              <w:t>-533,050.40</w:t>
            </w:r>
          </w:p>
        </w:tc>
        <w:tc>
          <w:tcPr>
            <w:tcW w:w="389"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10,181,239.60</w:t>
            </w:r>
          </w:p>
        </w:tc>
        <w:tc>
          <w:tcPr>
            <w:tcW w:w="79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79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6" w:space="0" w:color="000000"/>
              <w:left w:val="single" w:sz="6" w:space="0" w:color="000000"/>
              <w:bottom w:val="single" w:sz="6" w:space="0" w:color="000000"/>
              <w:right w:val="single" w:sz="6" w:space="0" w:color="000000"/>
            </w:tcBorders>
          </w:tcPr>
          <w:p>
            <w:pP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4" w:right="0"/>
              <w:jc w:val="center"/>
              <w:rPr>
                <w:rFonts w:ascii="宋体" w:hAnsi="宋体" w:cs="宋体" w:eastAsia="宋体" w:hint="default"/>
                <w:sz w:val="18"/>
                <w:szCs w:val="18"/>
              </w:rPr>
            </w:pPr>
            <w:r>
              <w:rPr>
                <w:rFonts w:ascii="宋体"/>
                <w:sz w:val="18"/>
              </w:rPr>
              <w:t>22,714,290.00</w:t>
            </w:r>
          </w:p>
        </w:tc>
        <w:tc>
          <w:tcPr>
            <w:tcW w:w="353" w:type="dxa"/>
            <w:tcBorders>
              <w:top w:val="single" w:sz="6" w:space="0" w:color="000000"/>
              <w:left w:val="single" w:sz="6" w:space="0" w:color="000000"/>
              <w:bottom w:val="single" w:sz="6" w:space="0" w:color="000000"/>
              <w:right w:val="single" w:sz="6" w:space="0" w:color="000000"/>
            </w:tcBorders>
          </w:tcPr>
          <w:p>
            <w:pPr/>
          </w:p>
        </w:tc>
        <w:tc>
          <w:tcPr>
            <w:tcW w:w="12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81" w:right="0"/>
              <w:jc w:val="left"/>
              <w:rPr>
                <w:rFonts w:ascii="宋体" w:hAnsi="宋体" w:cs="宋体" w:eastAsia="宋体" w:hint="default"/>
                <w:sz w:val="18"/>
                <w:szCs w:val="18"/>
              </w:rPr>
            </w:pPr>
            <w:r>
              <w:rPr>
                <w:rFonts w:ascii="宋体"/>
                <w:sz w:val="18"/>
              </w:rPr>
              <w:t>-760,715.17</w:t>
            </w:r>
          </w:p>
        </w:tc>
        <w:tc>
          <w:tcPr>
            <w:tcW w:w="389"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21,953,574.83</w:t>
            </w:r>
          </w:p>
        </w:tc>
        <w:tc>
          <w:tcPr>
            <w:tcW w:w="797"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79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6" w:space="0" w:color="000000"/>
              <w:left w:val="single" w:sz="6" w:space="0" w:color="000000"/>
              <w:bottom w:val="single" w:sz="12" w:space="0" w:color="000000"/>
              <w:right w:val="single" w:sz="6" w:space="0" w:color="000000"/>
            </w:tcBorders>
          </w:tcPr>
          <w:p>
            <w:pPr/>
          </w:p>
        </w:tc>
        <w:tc>
          <w:tcPr>
            <w:tcW w:w="1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4" w:right="0"/>
              <w:jc w:val="center"/>
              <w:rPr>
                <w:rFonts w:ascii="宋体" w:hAnsi="宋体" w:cs="宋体" w:eastAsia="宋体" w:hint="default"/>
                <w:sz w:val="18"/>
                <w:szCs w:val="18"/>
              </w:rPr>
            </w:pPr>
            <w:r>
              <w:rPr>
                <w:rFonts w:ascii="宋体"/>
                <w:sz w:val="18"/>
              </w:rPr>
              <w:t>22,714,290.00</w:t>
            </w:r>
          </w:p>
        </w:tc>
        <w:tc>
          <w:tcPr>
            <w:tcW w:w="353" w:type="dxa"/>
            <w:tcBorders>
              <w:top w:val="single" w:sz="6" w:space="0" w:color="000000"/>
              <w:left w:val="single" w:sz="6" w:space="0" w:color="000000"/>
              <w:bottom w:val="single" w:sz="12" w:space="0" w:color="000000"/>
              <w:right w:val="single" w:sz="6" w:space="0" w:color="000000"/>
            </w:tcBorders>
          </w:tcPr>
          <w:p>
            <w:pPr/>
          </w:p>
        </w:tc>
        <w:tc>
          <w:tcPr>
            <w:tcW w:w="120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81" w:right="0"/>
              <w:jc w:val="left"/>
              <w:rPr>
                <w:rFonts w:ascii="宋体" w:hAnsi="宋体" w:cs="宋体" w:eastAsia="宋体" w:hint="default"/>
                <w:sz w:val="18"/>
                <w:szCs w:val="18"/>
              </w:rPr>
            </w:pPr>
            <w:r>
              <w:rPr>
                <w:rFonts w:ascii="宋体"/>
                <w:sz w:val="18"/>
              </w:rPr>
              <w:t>-760,715.17</w:t>
            </w:r>
          </w:p>
        </w:tc>
        <w:tc>
          <w:tcPr>
            <w:tcW w:w="389" w:type="dxa"/>
            <w:tcBorders>
              <w:top w:val="single" w:sz="6" w:space="0" w:color="000000"/>
              <w:left w:val="single" w:sz="6" w:space="0" w:color="000000"/>
              <w:bottom w:val="single" w:sz="12" w:space="0" w:color="000000"/>
              <w:right w:val="single" w:sz="6" w:space="0" w:color="000000"/>
            </w:tcBorders>
          </w:tcPr>
          <w:p>
            <w:pPr/>
          </w:p>
        </w:tc>
        <w:tc>
          <w:tcPr>
            <w:tcW w:w="602" w:type="dxa"/>
            <w:tcBorders>
              <w:top w:val="single" w:sz="6" w:space="0" w:color="000000"/>
              <w:left w:val="single" w:sz="6" w:space="0" w:color="000000"/>
              <w:bottom w:val="single" w:sz="12" w:space="0" w:color="000000"/>
              <w:right w:val="single" w:sz="6" w:space="0" w:color="000000"/>
            </w:tcBorders>
          </w:tcPr>
          <w:p>
            <w:pPr/>
          </w:p>
        </w:tc>
        <w:tc>
          <w:tcPr>
            <w:tcW w:w="709" w:type="dxa"/>
            <w:tcBorders>
              <w:top w:val="single" w:sz="6" w:space="0" w:color="000000"/>
              <w:left w:val="single" w:sz="6"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1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21,953,574.83</w:t>
            </w:r>
          </w:p>
        </w:tc>
        <w:tc>
          <w:tcPr>
            <w:tcW w:w="797" w:type="dxa"/>
            <w:tcBorders>
              <w:top w:val="single" w:sz="6" w:space="0" w:color="000000"/>
              <w:left w:val="single" w:sz="6" w:space="0" w:color="000000"/>
              <w:bottom w:val="single" w:sz="12" w:space="0" w:color="000000"/>
              <w:right w:val="single" w:sz="12" w:space="0" w:color="000000"/>
            </w:tcBorders>
          </w:tcPr>
          <w:p>
            <w:pPr/>
          </w:p>
        </w:tc>
      </w:tr>
    </w:tbl>
    <w:p>
      <w:pPr>
        <w:spacing w:before="72"/>
        <w:ind w:left="1134" w:right="0" w:firstLine="0"/>
        <w:jc w:val="left"/>
        <w:rPr>
          <w:rFonts w:ascii="宋体" w:hAnsi="宋体" w:cs="宋体" w:eastAsia="宋体" w:hint="default"/>
          <w:sz w:val="20"/>
          <w:szCs w:val="20"/>
        </w:rPr>
      </w:pPr>
      <w:bookmarkStart w:name="18、投资性房地产" w:id="275"/>
      <w:bookmarkEnd w:id="275"/>
      <w:r>
        <w:rPr/>
      </w:r>
      <w:r>
        <w:rPr>
          <w:rFonts w:ascii="宋体" w:hAnsi="宋体" w:cs="宋体" w:eastAsia="宋体" w:hint="default"/>
          <w:b/>
          <w:bCs/>
          <w:sz w:val="20"/>
          <w:szCs w:val="20"/>
        </w:rPr>
        <w:t>18</w:t>
      </w:r>
      <w:r>
        <w:rPr>
          <w:rFonts w:ascii="宋体" w:hAnsi="宋体" w:cs="宋体" w:eastAsia="宋体" w:hint="default"/>
          <w:b/>
          <w:bCs/>
          <w:sz w:val="20"/>
          <w:szCs w:val="20"/>
        </w:rPr>
        <w:t>、投资性房地产</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采用成本计量模式的投资性房地产" w:id="276"/>
      <w:bookmarkEnd w:id="276"/>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）采用成本计量模式的投资性房地产</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4"/>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125" w:type="dxa"/>
        <w:tblLayout w:type="fixed"/>
        <w:tblCellMar>
          <w:top w:w="0" w:type="dxa"/>
          <w:left w:w="0" w:type="dxa"/>
          <w:bottom w:w="0" w:type="dxa"/>
          <w:right w:w="0" w:type="dxa"/>
        </w:tblCellMar>
        <w:tblLook w:val="01E0"/>
      </w:tblPr>
      <w:tblGrid>
        <w:gridCol w:w="1896"/>
        <w:gridCol w:w="1927"/>
        <w:gridCol w:w="1914"/>
        <w:gridCol w:w="1914"/>
        <w:gridCol w:w="1913"/>
      </w:tblGrid>
      <w:tr>
        <w:trPr>
          <w:trHeight w:val="490" w:hRule="exact"/>
        </w:trPr>
        <w:tc>
          <w:tcPr>
            <w:tcW w:w="18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8"/>
              <w:ind w:left="42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8"/>
              <w:ind w:left="49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8"/>
              <w:ind w:left="589"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88"/>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8"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left="711" w:right="0"/>
              <w:jc w:val="left"/>
              <w:rPr>
                <w:rFonts w:ascii="宋体" w:hAnsi="宋体" w:cs="宋体" w:eastAsia="宋体" w:hint="default"/>
                <w:sz w:val="18"/>
                <w:szCs w:val="18"/>
              </w:rPr>
            </w:pPr>
            <w:r>
              <w:rPr>
                <w:rFonts w:ascii="宋体"/>
                <w:sz w:val="18"/>
              </w:rPr>
              <w:t>15,921,853.07</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07" w:right="0"/>
              <w:jc w:val="left"/>
              <w:rPr>
                <w:rFonts w:ascii="宋体" w:hAnsi="宋体" w:cs="宋体" w:eastAsia="宋体" w:hint="default"/>
                <w:sz w:val="18"/>
                <w:szCs w:val="18"/>
              </w:rPr>
            </w:pPr>
            <w:r>
              <w:rPr>
                <w:rFonts w:ascii="宋体"/>
                <w:sz w:val="18"/>
              </w:rPr>
              <w:t>15,921,853.07</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2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）外购</w:t>
            </w:r>
          </w:p>
        </w:tc>
        <w:tc>
          <w:tcPr>
            <w:tcW w:w="192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727" w:hRule="exact"/>
        </w:trPr>
        <w:tc>
          <w:tcPr>
            <w:tcW w:w="18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52"/>
              <w:ind w:left="6" w:right="6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）存货</w:t>
            </w:r>
            <w:r>
              <w:rPr>
                <w:rFonts w:ascii="宋体" w:hAnsi="宋体" w:cs="宋体" w:eastAsia="宋体" w:hint="default"/>
                <w:sz w:val="18"/>
                <w:szCs w:val="18"/>
              </w:rPr>
              <w:t>\</w:t>
            </w:r>
            <w:r>
              <w:rPr>
                <w:rFonts w:ascii="宋体" w:hAnsi="宋体" w:cs="宋体" w:eastAsia="宋体" w:hint="default"/>
                <w:sz w:val="18"/>
                <w:szCs w:val="18"/>
              </w:rPr>
              <w:t>固定资 产</w:t>
            </w:r>
            <w:r>
              <w:rPr>
                <w:rFonts w:ascii="宋体" w:hAnsi="宋体" w:cs="宋体" w:eastAsia="宋体" w:hint="default"/>
                <w:sz w:val="18"/>
                <w:szCs w:val="18"/>
              </w:rPr>
              <w:t>\</w:t>
            </w:r>
            <w:r>
              <w:rPr>
                <w:rFonts w:ascii="宋体" w:hAnsi="宋体" w:cs="宋体" w:eastAsia="宋体" w:hint="default"/>
                <w:sz w:val="18"/>
                <w:szCs w:val="18"/>
              </w:rPr>
              <w:t>在建工程转入</w:t>
            </w:r>
          </w:p>
        </w:tc>
        <w:tc>
          <w:tcPr>
            <w:tcW w:w="1927" w:type="dxa"/>
            <w:tcBorders>
              <w:top w:val="single" w:sz="6" w:space="0" w:color="000000"/>
              <w:left w:val="single" w:sz="14" w:space="0" w:color="D2D2D2"/>
              <w:bottom w:val="single" w:sz="12" w:space="0" w:color="000000"/>
              <w:right w:val="single" w:sz="6" w:space="0" w:color="000000"/>
            </w:tcBorders>
          </w:tcPr>
          <w:p>
            <w:pPr/>
          </w:p>
        </w:tc>
        <w:tc>
          <w:tcPr>
            <w:tcW w:w="1914" w:type="dxa"/>
            <w:tcBorders>
              <w:top w:val="single" w:sz="6" w:space="0" w:color="000000"/>
              <w:left w:val="single" w:sz="6" w:space="0" w:color="000000"/>
              <w:bottom w:val="single" w:sz="12" w:space="0" w:color="000000"/>
              <w:right w:val="single" w:sz="6" w:space="0" w:color="000000"/>
            </w:tcBorders>
          </w:tcPr>
          <w:p>
            <w:pPr/>
          </w:p>
        </w:tc>
        <w:tc>
          <w:tcPr>
            <w:tcW w:w="1914" w:type="dxa"/>
            <w:tcBorders>
              <w:top w:val="single" w:sz="6" w:space="0" w:color="000000"/>
              <w:left w:val="single" w:sz="6" w:space="0" w:color="000000"/>
              <w:bottom w:val="single" w:sz="12" w:space="0" w:color="000000"/>
              <w:right w:val="single" w:sz="6" w:space="0" w:color="000000"/>
            </w:tcBorders>
          </w:tcPr>
          <w:p>
            <w:pPr/>
          </w:p>
        </w:tc>
        <w:tc>
          <w:tcPr>
            <w:tcW w:w="1913"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1913"/>
        <w:gridCol w:w="1917"/>
        <w:gridCol w:w="1914"/>
        <w:gridCol w:w="1914"/>
        <w:gridCol w:w="1913"/>
      </w:tblGrid>
      <w:tr>
        <w:trPr>
          <w:trHeight w:val="415" w:hRule="exact"/>
        </w:trPr>
        <w:tc>
          <w:tcPr>
            <w:tcW w:w="19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917" w:type="dxa"/>
            <w:tcBorders>
              <w:top w:val="single" w:sz="12" w:space="0" w:color="000000"/>
              <w:left w:val="single" w:sz="6" w:space="0" w:color="000000"/>
              <w:bottom w:val="single" w:sz="6" w:space="0" w:color="000000"/>
              <w:right w:val="single" w:sz="6" w:space="0" w:color="000000"/>
            </w:tcBorders>
          </w:tcPr>
          <w:p>
            <w:pPr/>
          </w:p>
        </w:tc>
        <w:tc>
          <w:tcPr>
            <w:tcW w:w="1914" w:type="dxa"/>
            <w:tcBorders>
              <w:top w:val="single" w:sz="12" w:space="0" w:color="000000"/>
              <w:left w:val="single" w:sz="6" w:space="0" w:color="000000"/>
              <w:bottom w:val="single" w:sz="6" w:space="0" w:color="000000"/>
              <w:right w:val="single" w:sz="6" w:space="0" w:color="000000"/>
            </w:tcBorders>
          </w:tcPr>
          <w:p>
            <w:pPr/>
          </w:p>
        </w:tc>
        <w:tc>
          <w:tcPr>
            <w:tcW w:w="1914" w:type="dxa"/>
            <w:tcBorders>
              <w:top w:val="single" w:sz="12" w:space="0" w:color="000000"/>
              <w:left w:val="single" w:sz="6" w:space="0" w:color="000000"/>
              <w:bottom w:val="single" w:sz="6" w:space="0" w:color="000000"/>
              <w:right w:val="single" w:sz="6" w:space="0" w:color="000000"/>
            </w:tcBorders>
          </w:tcPr>
          <w:p>
            <w:pPr/>
          </w:p>
        </w:tc>
        <w:tc>
          <w:tcPr>
            <w:tcW w:w="1913" w:type="dxa"/>
            <w:tcBorders>
              <w:top w:val="single" w:sz="12" w:space="0" w:color="000000"/>
              <w:left w:val="single" w:sz="6" w:space="0" w:color="000000"/>
              <w:bottom w:val="single" w:sz="6" w:space="0" w:color="000000"/>
              <w:right w:val="single" w:sz="12" w:space="0" w:color="000000"/>
            </w:tcBorders>
          </w:tcPr>
          <w:p>
            <w:pP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7"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17"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17"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15,921,853.07</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15,921,853.07</w:t>
            </w:r>
          </w:p>
        </w:tc>
      </w:tr>
      <w:tr>
        <w:trPr>
          <w:trHeight w:val="719"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13" w:right="75"/>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4,852,467.80</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4,852,467.80</w:t>
            </w: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778,267.08</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778,267.08</w:t>
            </w: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）计提或摊销</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778,267.08</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778,267.08</w:t>
            </w: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7"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17"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17"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5,630,734.88</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5,630,734.88</w:t>
            </w: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17"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7"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917"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7"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17"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17"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7"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10,291,118.19</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10,291,118.19</w:t>
            </w:r>
          </w:p>
        </w:tc>
      </w:tr>
      <w:tr>
        <w:trPr>
          <w:trHeight w:val="415" w:hRule="exact"/>
        </w:trPr>
        <w:tc>
          <w:tcPr>
            <w:tcW w:w="19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9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11,069,385.27</w:t>
            </w:r>
          </w:p>
        </w:tc>
        <w:tc>
          <w:tcPr>
            <w:tcW w:w="1914" w:type="dxa"/>
            <w:tcBorders>
              <w:top w:val="single" w:sz="6" w:space="0" w:color="000000"/>
              <w:left w:val="single" w:sz="6" w:space="0" w:color="000000"/>
              <w:bottom w:val="single" w:sz="12" w:space="0" w:color="000000"/>
              <w:right w:val="single" w:sz="6" w:space="0" w:color="000000"/>
            </w:tcBorders>
          </w:tcPr>
          <w:p>
            <w:pPr/>
          </w:p>
        </w:tc>
        <w:tc>
          <w:tcPr>
            <w:tcW w:w="1914" w:type="dxa"/>
            <w:tcBorders>
              <w:top w:val="single" w:sz="6" w:space="0" w:color="000000"/>
              <w:left w:val="single" w:sz="6" w:space="0" w:color="000000"/>
              <w:bottom w:val="single" w:sz="12" w:space="0" w:color="000000"/>
              <w:right w:val="single" w:sz="6" w:space="0" w:color="000000"/>
            </w:tcBorders>
          </w:tcPr>
          <w:p>
            <w:pP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11,069,385.27</w:t>
            </w:r>
          </w:p>
        </w:tc>
      </w:tr>
    </w:tbl>
    <w:p>
      <w:pPr>
        <w:spacing w:before="72"/>
        <w:ind w:left="1134" w:right="0" w:firstLine="0"/>
        <w:jc w:val="left"/>
        <w:rPr>
          <w:rFonts w:ascii="宋体" w:hAnsi="宋体" w:cs="宋体" w:eastAsia="宋体" w:hint="default"/>
          <w:sz w:val="20"/>
          <w:szCs w:val="20"/>
        </w:rPr>
      </w:pPr>
      <w:bookmarkStart w:name="（2）采用公允价值计量模式的投资性房地产" w:id="277"/>
      <w:bookmarkEnd w:id="277"/>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）采用公允价值计量模式的投资性房地产</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3）未办妥产权证书的投资性房地产情况" w:id="278"/>
      <w:bookmarkEnd w:id="278"/>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）未办妥产权证书的投资性房地产情况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19、固定资产" w:id="279"/>
      <w:bookmarkEnd w:id="279"/>
      <w:r>
        <w:rPr/>
      </w:r>
      <w:r>
        <w:rPr>
          <w:rFonts w:ascii="宋体" w:hAnsi="宋体" w:cs="宋体" w:eastAsia="宋体" w:hint="default"/>
          <w:b/>
          <w:bCs/>
          <w:sz w:val="20"/>
          <w:szCs w:val="20"/>
        </w:rPr>
        <w:t>19</w:t>
      </w:r>
      <w:r>
        <w:rPr>
          <w:rFonts w:ascii="宋体" w:hAnsi="宋体" w:cs="宋体" w:eastAsia="宋体" w:hint="default"/>
          <w:b/>
          <w:bCs/>
          <w:sz w:val="20"/>
          <w:szCs w:val="20"/>
        </w:rPr>
        <w:t>、固定资产</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固定资产情况" w:id="280"/>
      <w:bookmarkEnd w:id="280"/>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）固定资产情况</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976" w:type="dxa"/>
        <w:tblLayout w:type="fixed"/>
        <w:tblCellMar>
          <w:top w:w="0" w:type="dxa"/>
          <w:left w:w="0" w:type="dxa"/>
          <w:bottom w:w="0" w:type="dxa"/>
          <w:right w:w="0" w:type="dxa"/>
        </w:tblCellMar>
        <w:tblLook w:val="01E0"/>
      </w:tblPr>
      <w:tblGrid>
        <w:gridCol w:w="1509"/>
        <w:gridCol w:w="1367"/>
        <w:gridCol w:w="1368"/>
        <w:gridCol w:w="1366"/>
        <w:gridCol w:w="1367"/>
        <w:gridCol w:w="1367"/>
        <w:gridCol w:w="1360"/>
      </w:tblGrid>
      <w:tr>
        <w:trPr>
          <w:trHeight w:val="422" w:hRule="exact"/>
        </w:trPr>
        <w:tc>
          <w:tcPr>
            <w:tcW w:w="1509"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366"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360" w:type="dxa"/>
            <w:tcBorders>
              <w:top w:val="single" w:sz="12"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976" w:type="dxa"/>
        <w:tblLayout w:type="fixed"/>
        <w:tblCellMar>
          <w:top w:w="0" w:type="dxa"/>
          <w:left w:w="0" w:type="dxa"/>
          <w:bottom w:w="0" w:type="dxa"/>
          <w:right w:w="0" w:type="dxa"/>
        </w:tblCellMar>
        <w:tblLook w:val="01E0"/>
      </w:tblPr>
      <w:tblGrid>
        <w:gridCol w:w="1509"/>
        <w:gridCol w:w="1367"/>
        <w:gridCol w:w="1368"/>
        <w:gridCol w:w="1367"/>
        <w:gridCol w:w="1367"/>
        <w:gridCol w:w="1367"/>
        <w:gridCol w:w="1366"/>
      </w:tblGrid>
      <w:tr>
        <w:trPr>
          <w:trHeight w:val="415" w:hRule="exact"/>
        </w:trPr>
        <w:tc>
          <w:tcPr>
            <w:tcW w:w="150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12" w:space="0" w:color="000000"/>
              <w:left w:val="single" w:sz="6" w:space="0" w:color="000000"/>
              <w:bottom w:val="single" w:sz="6" w:space="0" w:color="000000"/>
              <w:right w:val="single" w:sz="6" w:space="0" w:color="000000"/>
            </w:tcBorders>
          </w:tcPr>
          <w:p>
            <w:pPr/>
          </w:p>
        </w:tc>
        <w:tc>
          <w:tcPr>
            <w:tcW w:w="1368" w:type="dxa"/>
            <w:tcBorders>
              <w:top w:val="single" w:sz="12" w:space="0" w:color="000000"/>
              <w:left w:val="single" w:sz="6" w:space="0" w:color="000000"/>
              <w:bottom w:val="single" w:sz="6" w:space="0" w:color="000000"/>
              <w:right w:val="single" w:sz="6" w:space="0" w:color="000000"/>
            </w:tcBorders>
          </w:tcPr>
          <w:p>
            <w:pPr/>
          </w:p>
        </w:tc>
        <w:tc>
          <w:tcPr>
            <w:tcW w:w="1367" w:type="dxa"/>
            <w:tcBorders>
              <w:top w:val="single" w:sz="12" w:space="0" w:color="000000"/>
              <w:left w:val="single" w:sz="6" w:space="0" w:color="000000"/>
              <w:bottom w:val="single" w:sz="6" w:space="0" w:color="000000"/>
              <w:right w:val="single" w:sz="6" w:space="0" w:color="000000"/>
            </w:tcBorders>
          </w:tcPr>
          <w:p>
            <w:pPr/>
          </w:p>
        </w:tc>
        <w:tc>
          <w:tcPr>
            <w:tcW w:w="1367" w:type="dxa"/>
            <w:tcBorders>
              <w:top w:val="single" w:sz="12" w:space="0" w:color="000000"/>
              <w:left w:val="single" w:sz="6" w:space="0" w:color="000000"/>
              <w:bottom w:val="single" w:sz="6" w:space="0" w:color="000000"/>
              <w:right w:val="single" w:sz="6" w:space="0" w:color="000000"/>
            </w:tcBorders>
          </w:tcPr>
          <w:p>
            <w:pPr/>
          </w:p>
        </w:tc>
        <w:tc>
          <w:tcPr>
            <w:tcW w:w="1367" w:type="dxa"/>
            <w:tcBorders>
              <w:top w:val="single" w:sz="12" w:space="0" w:color="000000"/>
              <w:left w:val="single" w:sz="6" w:space="0" w:color="000000"/>
              <w:bottom w:val="single" w:sz="6" w:space="0" w:color="000000"/>
              <w:right w:val="single" w:sz="6" w:space="0" w:color="000000"/>
            </w:tcBorders>
          </w:tcPr>
          <w:p>
            <w:pPr/>
          </w:p>
        </w:tc>
        <w:tc>
          <w:tcPr>
            <w:tcW w:w="1366" w:type="dxa"/>
            <w:tcBorders>
              <w:top w:val="single" w:sz="12" w:space="0" w:color="000000"/>
              <w:left w:val="single" w:sz="6" w:space="0" w:color="000000"/>
              <w:bottom w:val="single" w:sz="6" w:space="0" w:color="000000"/>
              <w:right w:val="single" w:sz="12" w:space="0" w:color="000000"/>
            </w:tcBorders>
          </w:tcPr>
          <w:p>
            <w:pPr/>
          </w:p>
        </w:tc>
      </w:tr>
      <w:tr>
        <w:trPr>
          <w:trHeight w:val="407"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81,428,177.15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24,135,883.45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54,201,945.71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19,122,431.87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19,314,716.83</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60" w:right="0"/>
              <w:jc w:val="center"/>
              <w:rPr>
                <w:rFonts w:ascii="宋体" w:hAnsi="宋体" w:cs="宋体" w:eastAsia="宋体" w:hint="default"/>
                <w:sz w:val="18"/>
                <w:szCs w:val="18"/>
              </w:rPr>
            </w:pPr>
            <w:r>
              <w:rPr>
                <w:rFonts w:ascii="宋体"/>
                <w:sz w:val="18"/>
              </w:rPr>
              <w:t>198,203,155.01</w:t>
            </w:r>
          </w:p>
        </w:tc>
      </w:tr>
      <w:tr>
        <w:trPr>
          <w:trHeight w:val="407"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4,324,773.94</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23,826,684.74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2,491,434.51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2,919,893.07</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50" w:right="0"/>
              <w:jc w:val="center"/>
              <w:rPr>
                <w:rFonts w:ascii="宋体" w:hAnsi="宋体" w:cs="宋体" w:eastAsia="宋体" w:hint="default"/>
                <w:sz w:val="18"/>
                <w:szCs w:val="18"/>
              </w:rPr>
            </w:pPr>
            <w:r>
              <w:rPr>
                <w:rFonts w:ascii="宋体"/>
                <w:sz w:val="18"/>
              </w:rPr>
              <w:t>33,562,786.26</w:t>
            </w:r>
          </w:p>
        </w:tc>
      </w:tr>
      <w:tr>
        <w:trPr>
          <w:trHeight w:val="407"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1,002,573.94</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7,803,849.74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1,331,998.29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949,256.98</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50" w:right="0"/>
              <w:jc w:val="center"/>
              <w:rPr>
                <w:rFonts w:ascii="宋体" w:hAnsi="宋体" w:cs="宋体" w:eastAsia="宋体" w:hint="default"/>
                <w:sz w:val="18"/>
                <w:szCs w:val="18"/>
              </w:rPr>
            </w:pPr>
            <w:r>
              <w:rPr>
                <w:rFonts w:ascii="宋体"/>
                <w:sz w:val="18"/>
              </w:rPr>
              <w:t>11,087,678.95</w:t>
            </w:r>
          </w:p>
        </w:tc>
      </w:tr>
      <w:tr>
        <w:trPr>
          <w:trHeight w:val="719"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13" w:right="18" w:firstLine="321"/>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2</w:t>
            </w:r>
            <w:r>
              <w:rPr>
                <w:rFonts w:ascii="宋体" w:hAnsi="宋体" w:cs="宋体" w:eastAsia="宋体" w:hint="default"/>
                <w:spacing w:val="-6"/>
                <w:sz w:val="18"/>
                <w:szCs w:val="18"/>
              </w:rPr>
              <w:t>）在建工程</w:t>
            </w:r>
            <w:r>
              <w:rPr>
                <w:rFonts w:ascii="宋体" w:hAnsi="宋体" w:cs="宋体" w:eastAsia="宋体" w:hint="default"/>
                <w:sz w:val="18"/>
                <w:szCs w:val="18"/>
              </w:rPr>
              <w:t> 转入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3,322,200.00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15,113,895.00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20,512.82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1,411,708.87</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0" w:right="0"/>
              <w:jc w:val="center"/>
              <w:rPr>
                <w:rFonts w:ascii="宋体" w:hAnsi="宋体" w:cs="宋体" w:eastAsia="宋体" w:hint="default"/>
                <w:sz w:val="18"/>
                <w:szCs w:val="18"/>
              </w:rPr>
            </w:pPr>
            <w:r>
              <w:rPr>
                <w:rFonts w:ascii="宋体"/>
                <w:sz w:val="18"/>
              </w:rPr>
              <w:t>19,868,316.69</w:t>
            </w:r>
          </w:p>
        </w:tc>
      </w:tr>
      <w:tr>
        <w:trPr>
          <w:trHeight w:val="719"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13" w:right="18" w:firstLine="321"/>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3</w:t>
            </w:r>
            <w:r>
              <w:rPr>
                <w:rFonts w:ascii="宋体" w:hAnsi="宋体" w:cs="宋体" w:eastAsia="宋体" w:hint="default"/>
                <w:spacing w:val="-6"/>
                <w:sz w:val="18"/>
                <w:szCs w:val="18"/>
              </w:rPr>
              <w:t>）企业合并</w:t>
            </w:r>
            <w:r>
              <w:rPr>
                <w:rFonts w:ascii="宋体" w:hAnsi="宋体" w:cs="宋体" w:eastAsia="宋体" w:hint="default"/>
                <w:sz w:val="18"/>
                <w:szCs w:val="18"/>
              </w:rPr>
              <w:t> 增加</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908,940.00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1,138,923.40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558,927.22</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0" w:right="0"/>
              <w:jc w:val="center"/>
              <w:rPr>
                <w:rFonts w:ascii="宋体" w:hAnsi="宋体" w:cs="宋体" w:eastAsia="宋体" w:hint="default"/>
                <w:sz w:val="18"/>
                <w:szCs w:val="18"/>
              </w:rPr>
            </w:pPr>
            <w:r>
              <w:rPr>
                <w:rFonts w:ascii="宋体"/>
                <w:sz w:val="18"/>
              </w:rPr>
              <w:t>2,606,790.62</w:t>
            </w:r>
          </w:p>
        </w:tc>
      </w:tr>
      <w:tr>
        <w:trPr>
          <w:trHeight w:val="408"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3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6,378,070.20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150,000.00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247,000.51</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40" w:right="0"/>
              <w:jc w:val="center"/>
              <w:rPr>
                <w:rFonts w:ascii="宋体" w:hAnsi="宋体" w:cs="宋体" w:eastAsia="宋体" w:hint="default"/>
                <w:sz w:val="18"/>
                <w:szCs w:val="18"/>
              </w:rPr>
            </w:pPr>
            <w:r>
              <w:rPr>
                <w:rFonts w:ascii="宋体"/>
                <w:sz w:val="18"/>
              </w:rPr>
              <w:t>6,775,070.71</w:t>
            </w:r>
          </w:p>
        </w:tc>
      </w:tr>
      <w:tr>
        <w:trPr>
          <w:trHeight w:val="719"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1</w:t>
            </w:r>
            <w:r>
              <w:rPr>
                <w:rFonts w:ascii="宋体" w:hAnsi="宋体" w:cs="宋体" w:eastAsia="宋体" w:hint="default"/>
                <w:spacing w:val="-6"/>
                <w:sz w:val="18"/>
                <w:szCs w:val="18"/>
              </w:rPr>
              <w:t>）处置或报</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6,378,070.20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150,000.00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247,000.51</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0"/>
              <w:jc w:val="center"/>
              <w:rPr>
                <w:rFonts w:ascii="宋体" w:hAnsi="宋体" w:cs="宋体" w:eastAsia="宋体" w:hint="default"/>
                <w:sz w:val="18"/>
                <w:szCs w:val="18"/>
              </w:rPr>
            </w:pPr>
            <w:r>
              <w:rPr>
                <w:rFonts w:ascii="宋体"/>
                <w:sz w:val="18"/>
              </w:rPr>
              <w:t>6,775,070.71</w:t>
            </w:r>
          </w:p>
        </w:tc>
      </w:tr>
      <w:tr>
        <w:trPr>
          <w:trHeight w:val="407"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85,752,951.09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24,135,883.45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71,650,560.25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21,463,866.38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21,987,609.39</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60" w:right="0"/>
              <w:jc w:val="center"/>
              <w:rPr>
                <w:rFonts w:ascii="宋体" w:hAnsi="宋体" w:cs="宋体" w:eastAsia="宋体" w:hint="default"/>
                <w:sz w:val="18"/>
                <w:szCs w:val="18"/>
              </w:rPr>
            </w:pPr>
            <w:r>
              <w:rPr>
                <w:rFonts w:ascii="宋体"/>
                <w:sz w:val="18"/>
              </w:rPr>
              <w:t>224,990,870.56</w:t>
            </w:r>
          </w:p>
        </w:tc>
      </w:tr>
      <w:tr>
        <w:trPr>
          <w:trHeight w:val="407"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7,084,230.70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5,452,594.48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29,511,102.76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8,545,338.36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9,295,828.53</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150" w:right="0"/>
              <w:jc w:val="center"/>
              <w:rPr>
                <w:rFonts w:ascii="宋体" w:hAnsi="宋体" w:cs="宋体" w:eastAsia="宋体" w:hint="default"/>
                <w:sz w:val="18"/>
                <w:szCs w:val="18"/>
              </w:rPr>
            </w:pPr>
            <w:r>
              <w:rPr>
                <w:rFonts w:ascii="宋体"/>
                <w:sz w:val="18"/>
              </w:rPr>
              <w:t>59,889,094.83</w:t>
            </w:r>
          </w:p>
        </w:tc>
      </w:tr>
      <w:tr>
        <w:trPr>
          <w:trHeight w:val="407"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3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2,713,423.39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2,288,081.76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10,891,841.96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2,703,363.90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2,657,140.32</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150" w:right="0"/>
              <w:jc w:val="center"/>
              <w:rPr>
                <w:rFonts w:ascii="宋体" w:hAnsi="宋体" w:cs="宋体" w:eastAsia="宋体" w:hint="default"/>
                <w:sz w:val="18"/>
                <w:szCs w:val="18"/>
              </w:rPr>
            </w:pPr>
            <w:r>
              <w:rPr>
                <w:rFonts w:ascii="宋体"/>
                <w:sz w:val="18"/>
              </w:rPr>
              <w:t>21,253,851.33</w:t>
            </w:r>
          </w:p>
        </w:tc>
      </w:tr>
      <w:tr>
        <w:trPr>
          <w:trHeight w:val="408"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2,713,423.39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2,288,081.76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10,553,691.78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1,993,147.07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2,243,775.98</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150" w:right="0"/>
              <w:jc w:val="center"/>
              <w:rPr>
                <w:rFonts w:ascii="宋体" w:hAnsi="宋体" w:cs="宋体" w:eastAsia="宋体" w:hint="default"/>
                <w:sz w:val="18"/>
                <w:szCs w:val="18"/>
              </w:rPr>
            </w:pPr>
            <w:r>
              <w:rPr>
                <w:rFonts w:ascii="宋体"/>
                <w:sz w:val="18"/>
              </w:rPr>
              <w:t>19,792,119.98</w:t>
            </w:r>
          </w:p>
        </w:tc>
      </w:tr>
      <w:tr>
        <w:trPr>
          <w:trHeight w:val="407" w:hRule="exact"/>
        </w:trPr>
        <w:tc>
          <w:tcPr>
            <w:tcW w:w="150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338,150.18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710,216.83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413,364.34</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40" w:right="0"/>
              <w:jc w:val="center"/>
              <w:rPr>
                <w:rFonts w:ascii="宋体" w:hAnsi="宋体" w:cs="宋体" w:eastAsia="宋体" w:hint="default"/>
                <w:sz w:val="18"/>
                <w:szCs w:val="18"/>
              </w:rPr>
            </w:pPr>
            <w:r>
              <w:rPr>
                <w:rFonts w:ascii="宋体"/>
                <w:sz w:val="18"/>
              </w:rPr>
              <w:t>1,461,731.35</w:t>
            </w:r>
          </w:p>
        </w:tc>
      </w:tr>
      <w:tr>
        <w:trPr>
          <w:trHeight w:val="407"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4,256,180.28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147,000.00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202,920.79</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40" w:right="0"/>
              <w:jc w:val="center"/>
              <w:rPr>
                <w:rFonts w:ascii="宋体" w:hAnsi="宋体" w:cs="宋体" w:eastAsia="宋体" w:hint="default"/>
                <w:sz w:val="18"/>
                <w:szCs w:val="18"/>
              </w:rPr>
            </w:pPr>
            <w:r>
              <w:rPr>
                <w:rFonts w:ascii="宋体"/>
                <w:sz w:val="18"/>
              </w:rPr>
              <w:t>4,606,101.07</w:t>
            </w:r>
          </w:p>
        </w:tc>
      </w:tr>
      <w:tr>
        <w:trPr>
          <w:trHeight w:val="719"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1</w:t>
            </w:r>
            <w:r>
              <w:rPr>
                <w:rFonts w:ascii="宋体" w:hAnsi="宋体" w:cs="宋体" w:eastAsia="宋体" w:hint="default"/>
                <w:spacing w:val="-6"/>
                <w:sz w:val="18"/>
                <w:szCs w:val="18"/>
              </w:rPr>
              <w:t>）处置或报</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4,256,180.28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147,000.00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202,920.79</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0"/>
              <w:jc w:val="center"/>
              <w:rPr>
                <w:rFonts w:ascii="宋体" w:hAnsi="宋体" w:cs="宋体" w:eastAsia="宋体" w:hint="default"/>
                <w:sz w:val="18"/>
                <w:szCs w:val="18"/>
              </w:rPr>
            </w:pPr>
            <w:r>
              <w:rPr>
                <w:rFonts w:ascii="宋体"/>
                <w:sz w:val="18"/>
              </w:rPr>
              <w:t>4,606,101.07</w:t>
            </w:r>
          </w:p>
        </w:tc>
      </w:tr>
      <w:tr>
        <w:trPr>
          <w:trHeight w:val="407"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9,797,654.09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7,740,676.24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36,146,764.44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11,101,702.26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11,750,048.06</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150" w:right="0"/>
              <w:jc w:val="center"/>
              <w:rPr>
                <w:rFonts w:ascii="宋体" w:hAnsi="宋体" w:cs="宋体" w:eastAsia="宋体" w:hint="default"/>
                <w:sz w:val="18"/>
                <w:szCs w:val="18"/>
              </w:rPr>
            </w:pPr>
            <w:r>
              <w:rPr>
                <w:rFonts w:ascii="宋体"/>
                <w:sz w:val="18"/>
              </w:rPr>
              <w:t>76,536,845.09</w:t>
            </w:r>
          </w:p>
        </w:tc>
      </w:tr>
      <w:tr>
        <w:trPr>
          <w:trHeight w:val="407"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34"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1</w:t>
            </w:r>
            <w:r>
              <w:rPr>
                <w:rFonts w:ascii="宋体" w:hAnsi="宋体" w:cs="宋体" w:eastAsia="宋体" w:hint="default"/>
                <w:spacing w:val="-6"/>
                <w:sz w:val="18"/>
                <w:szCs w:val="18"/>
              </w:rPr>
              <w:t>）处置或报</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75,955,297.00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16,395,207.21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35,503,795.81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10,362,164.12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10,237,561.33</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60" w:right="0"/>
              <w:jc w:val="center"/>
              <w:rPr>
                <w:rFonts w:ascii="宋体" w:hAnsi="宋体" w:cs="宋体" w:eastAsia="宋体" w:hint="default"/>
                <w:sz w:val="18"/>
                <w:szCs w:val="18"/>
              </w:rPr>
            </w:pPr>
            <w:r>
              <w:rPr>
                <w:rFonts w:ascii="宋体"/>
                <w:sz w:val="18"/>
              </w:rPr>
              <w:t>148,454,025.47</w:t>
            </w:r>
          </w:p>
        </w:tc>
      </w:tr>
      <w:tr>
        <w:trPr>
          <w:trHeight w:val="415" w:hRule="exact"/>
        </w:trPr>
        <w:tc>
          <w:tcPr>
            <w:tcW w:w="150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3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74,343,946.45</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18,683,288.97</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24,690,842.95</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10,577,093.51</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10,018,888.30</w:t>
            </w: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60" w:right="0"/>
              <w:jc w:val="center"/>
              <w:rPr>
                <w:rFonts w:ascii="宋体" w:hAnsi="宋体" w:cs="宋体" w:eastAsia="宋体" w:hint="default"/>
                <w:sz w:val="18"/>
                <w:szCs w:val="18"/>
              </w:rPr>
            </w:pPr>
            <w:r>
              <w:rPr>
                <w:rFonts w:ascii="宋体"/>
                <w:sz w:val="18"/>
              </w:rPr>
              <w:t>138,314,060.18</w:t>
            </w:r>
          </w:p>
        </w:tc>
      </w:tr>
    </w:tbl>
    <w:p>
      <w:pPr>
        <w:spacing w:before="72"/>
        <w:ind w:left="1134" w:right="0" w:firstLine="0"/>
        <w:jc w:val="left"/>
        <w:rPr>
          <w:rFonts w:ascii="宋体" w:hAnsi="宋体" w:cs="宋体" w:eastAsia="宋体" w:hint="default"/>
          <w:sz w:val="20"/>
          <w:szCs w:val="20"/>
        </w:rPr>
      </w:pPr>
      <w:bookmarkStart w:name="（2）暂时闲置的固定资产情况" w:id="281"/>
      <w:bookmarkEnd w:id="281"/>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）暂时闲置的固定资产情况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3" w:right="0" w:firstLine="0"/>
        <w:jc w:val="left"/>
        <w:rPr>
          <w:rFonts w:ascii="宋体" w:hAnsi="宋体" w:cs="宋体" w:eastAsia="宋体" w:hint="default"/>
          <w:sz w:val="20"/>
          <w:szCs w:val="20"/>
        </w:rPr>
      </w:pPr>
      <w:bookmarkStart w:name="（3）通过融资租赁租入的固定资产情况" w:id="282"/>
      <w:bookmarkEnd w:id="282"/>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）通过融资租赁租入的固定资产情况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4）通过经营租赁租出的固定资产" w:id="283"/>
      <w:bookmarkEnd w:id="283"/>
      <w:r>
        <w:rPr/>
      </w: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）通过经营租赁租出的固定资产</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5）未办妥产权证书的固定资产情况" w:id="284"/>
      <w:bookmarkEnd w:id="284"/>
      <w:r>
        <w:rPr/>
      </w:r>
      <w:r>
        <w:rPr>
          <w:rFonts w:ascii="宋体" w:hAnsi="宋体" w:cs="宋体" w:eastAsia="宋体" w:hint="default"/>
          <w:b/>
          <w:bCs/>
          <w:sz w:val="20"/>
          <w:szCs w:val="20"/>
        </w:rPr>
        <w:t>（</w:t>
      </w:r>
      <w:r>
        <w:rPr>
          <w:rFonts w:ascii="宋体" w:hAnsi="宋体" w:cs="宋体" w:eastAsia="宋体" w:hint="default"/>
          <w:b/>
          <w:bCs/>
          <w:sz w:val="20"/>
          <w:szCs w:val="20"/>
        </w:rPr>
        <w:t>5</w:t>
      </w:r>
      <w:r>
        <w:rPr>
          <w:rFonts w:ascii="宋体" w:hAnsi="宋体" w:cs="宋体" w:eastAsia="宋体" w:hint="default"/>
          <w:b/>
          <w:bCs/>
          <w:sz w:val="20"/>
          <w:szCs w:val="20"/>
        </w:rPr>
        <w:t>）未办妥产权证书的固定资产情况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0、在建工程" w:id="285"/>
      <w:bookmarkEnd w:id="285"/>
      <w:r>
        <w:rPr/>
      </w:r>
      <w:r>
        <w:rPr>
          <w:rFonts w:ascii="宋体" w:hAnsi="宋体" w:cs="宋体" w:eastAsia="宋体" w:hint="default"/>
          <w:b/>
          <w:bCs/>
          <w:sz w:val="20"/>
          <w:szCs w:val="20"/>
        </w:rPr>
        <w:t>20</w:t>
      </w:r>
      <w:r>
        <w:rPr>
          <w:rFonts w:ascii="宋体" w:hAnsi="宋体" w:cs="宋体" w:eastAsia="宋体" w:hint="default"/>
          <w:b/>
          <w:bCs/>
          <w:sz w:val="20"/>
          <w:szCs w:val="20"/>
        </w:rPr>
        <w:t>、在建工程</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在建工程情况" w:id="286"/>
      <w:bookmarkEnd w:id="286"/>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）在建工程情况</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2129"/>
        <w:gridCol w:w="1416"/>
        <w:gridCol w:w="852"/>
        <w:gridCol w:w="1416"/>
        <w:gridCol w:w="1560"/>
        <w:gridCol w:w="833"/>
        <w:gridCol w:w="1366"/>
      </w:tblGrid>
      <w:tr>
        <w:trPr>
          <w:trHeight w:val="413" w:hRule="exact"/>
        </w:trPr>
        <w:tc>
          <w:tcPr>
            <w:tcW w:w="2129"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684" w:type="dxa"/>
            <w:gridSpan w:val="3"/>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9" w:type="dxa"/>
            <w:gridSpan w:val="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2129" w:type="dxa"/>
            <w:vMerge/>
            <w:tcBorders>
              <w:left w:val="single" w:sz="12" w:space="0" w:color="000000"/>
              <w:bottom w:val="single" w:sz="6" w:space="0" w:color="000000"/>
              <w:right w:val="single" w:sz="6" w:space="0" w:color="000000"/>
            </w:tcBorders>
            <w:shd w:val="clear" w:color="auto" w:fill="D2D2D2"/>
          </w:tcPr>
          <w:p>
            <w:pPr/>
          </w:p>
        </w:tc>
        <w:tc>
          <w:tcPr>
            <w:tcW w:w="14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5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3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4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8"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生产与中试基地工程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184,957,323.30</w:t>
            </w:r>
          </w:p>
        </w:tc>
        <w:tc>
          <w:tcPr>
            <w:tcW w:w="85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184,957,323.30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142,284,836.58</w:t>
            </w:r>
          </w:p>
        </w:tc>
        <w:tc>
          <w:tcPr>
            <w:tcW w:w="833"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142,284,836.58</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分布式能源与微电网</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1,237,384.61</w:t>
            </w:r>
          </w:p>
        </w:tc>
        <w:tc>
          <w:tcPr>
            <w:tcW w:w="85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1,237,384.61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331,223.14</w:t>
            </w:r>
          </w:p>
        </w:tc>
        <w:tc>
          <w:tcPr>
            <w:tcW w:w="833"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331,223.14</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能源管理系统</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253,630.70</w:t>
            </w:r>
          </w:p>
        </w:tc>
        <w:tc>
          <w:tcPr>
            <w:tcW w:w="85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253,630.70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178,253.36</w:t>
            </w:r>
          </w:p>
        </w:tc>
        <w:tc>
          <w:tcPr>
            <w:tcW w:w="833"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178,253.36</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山源科技公司二期工程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2,749,553.75</w:t>
            </w:r>
          </w:p>
        </w:tc>
        <w:tc>
          <w:tcPr>
            <w:tcW w:w="85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2,749,553.75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4,362,964.79</w:t>
            </w:r>
          </w:p>
        </w:tc>
        <w:tc>
          <w:tcPr>
            <w:tcW w:w="833"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4,362,964.79</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睿博公司一期工程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45,952,526.94</w:t>
            </w:r>
          </w:p>
        </w:tc>
        <w:tc>
          <w:tcPr>
            <w:tcW w:w="85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45,952,526.94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12,982,923.47</w:t>
            </w:r>
          </w:p>
        </w:tc>
        <w:tc>
          <w:tcPr>
            <w:tcW w:w="833"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12,982,923.47</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设备安装</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20,522.56</w:t>
            </w:r>
          </w:p>
        </w:tc>
        <w:tc>
          <w:tcPr>
            <w:tcW w:w="85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20,522.56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118,235.79</w:t>
            </w:r>
          </w:p>
        </w:tc>
        <w:tc>
          <w:tcPr>
            <w:tcW w:w="833"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118,235.79</w:t>
            </w:r>
          </w:p>
        </w:tc>
      </w:tr>
      <w:tr>
        <w:trPr>
          <w:trHeight w:val="416" w:hRule="exact"/>
        </w:trPr>
        <w:tc>
          <w:tcPr>
            <w:tcW w:w="212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235,170,941.86</w:t>
            </w:r>
          </w:p>
        </w:tc>
        <w:tc>
          <w:tcPr>
            <w:tcW w:w="852" w:type="dxa"/>
            <w:tcBorders>
              <w:top w:val="single" w:sz="6" w:space="0" w:color="000000"/>
              <w:left w:val="single" w:sz="6" w:space="0" w:color="000000"/>
              <w:bottom w:val="single" w:sz="12" w:space="0" w:color="000000"/>
              <w:right w:val="single" w:sz="6" w:space="0" w:color="000000"/>
            </w:tcBorders>
          </w:tcPr>
          <w:p>
            <w:pP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235,170,941.86</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160,258,437.13</w:t>
            </w:r>
          </w:p>
        </w:tc>
        <w:tc>
          <w:tcPr>
            <w:tcW w:w="833"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160,258,437.13</w:t>
            </w:r>
          </w:p>
        </w:tc>
      </w:tr>
    </w:tbl>
    <w:p>
      <w:pPr>
        <w:spacing w:line="240" w:lineRule="auto" w:before="8"/>
        <w:rPr>
          <w:rFonts w:ascii="宋体" w:hAnsi="宋体" w:cs="宋体" w:eastAsia="宋体" w:hint="default"/>
          <w:sz w:val="19"/>
          <w:szCs w:val="19"/>
        </w:rPr>
      </w:pPr>
    </w:p>
    <w:p>
      <w:pPr>
        <w:spacing w:before="38"/>
        <w:ind w:left="1134" w:right="0" w:firstLine="0"/>
        <w:jc w:val="left"/>
        <w:rPr>
          <w:rFonts w:ascii="宋体" w:hAnsi="宋体" w:cs="宋体" w:eastAsia="宋体" w:hint="default"/>
          <w:sz w:val="20"/>
          <w:szCs w:val="20"/>
        </w:rPr>
      </w:pPr>
      <w:bookmarkStart w:name="（2）重要在建工程项目本期变动情况" w:id="287"/>
      <w:bookmarkEnd w:id="287"/>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）重要在建工程项目本期变动情况</w:t>
      </w:r>
      <w:r>
        <w:rPr>
          <w:rFonts w:ascii="宋体" w:hAnsi="宋体" w:cs="宋体" w:eastAsia="宋体" w:hint="default"/>
          <w:sz w:val="20"/>
          <w:szCs w:val="20"/>
        </w:rPr>
      </w:r>
    </w:p>
    <w:p>
      <w:pPr>
        <w:spacing w:line="240" w:lineRule="auto" w:before="9"/>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69" w:type="dxa"/>
        <w:tblLayout w:type="fixed"/>
        <w:tblCellMar>
          <w:top w:w="0" w:type="dxa"/>
          <w:left w:w="0" w:type="dxa"/>
          <w:bottom w:w="0" w:type="dxa"/>
          <w:right w:w="0" w:type="dxa"/>
        </w:tblCellMar>
        <w:tblLook w:val="01E0"/>
      </w:tblPr>
      <w:tblGrid>
        <w:gridCol w:w="482"/>
        <w:gridCol w:w="1419"/>
        <w:gridCol w:w="1417"/>
        <w:gridCol w:w="1276"/>
        <w:gridCol w:w="1277"/>
        <w:gridCol w:w="283"/>
        <w:gridCol w:w="1417"/>
        <w:gridCol w:w="653"/>
        <w:gridCol w:w="426"/>
        <w:gridCol w:w="1276"/>
        <w:gridCol w:w="1190"/>
        <w:gridCol w:w="326"/>
        <w:gridCol w:w="326"/>
      </w:tblGrid>
      <w:tr>
        <w:trPr>
          <w:trHeight w:val="2599" w:hRule="exact"/>
        </w:trPr>
        <w:tc>
          <w:tcPr>
            <w:tcW w:w="48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45" w:right="53"/>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141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4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2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71" w:right="89" w:hanging="181"/>
              <w:jc w:val="left"/>
              <w:rPr>
                <w:rFonts w:ascii="宋体" w:hAnsi="宋体" w:cs="宋体" w:eastAsia="宋体" w:hint="default"/>
                <w:sz w:val="18"/>
                <w:szCs w:val="18"/>
              </w:rPr>
            </w:pPr>
            <w:r>
              <w:rPr>
                <w:rFonts w:ascii="宋体" w:hAnsi="宋体" w:cs="宋体" w:eastAsia="宋体" w:hint="default"/>
                <w:sz w:val="18"/>
                <w:szCs w:val="18"/>
              </w:rPr>
              <w:t>本期转入固定 资产金额</w:t>
            </w:r>
          </w:p>
        </w:tc>
        <w:tc>
          <w:tcPr>
            <w:tcW w:w="28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43" w:right="43"/>
              <w:jc w:val="both"/>
              <w:rPr>
                <w:rFonts w:ascii="宋体" w:hAnsi="宋体" w:cs="宋体" w:eastAsia="宋体" w:hint="default"/>
                <w:sz w:val="18"/>
                <w:szCs w:val="18"/>
              </w:rPr>
            </w:pPr>
            <w:r>
              <w:rPr>
                <w:rFonts w:ascii="宋体" w:hAnsi="宋体" w:cs="宋体" w:eastAsia="宋体" w:hint="default"/>
                <w:sz w:val="18"/>
                <w:szCs w:val="18"/>
              </w:rPr>
              <w:t>本 期 其 他 减 少 金 额</w:t>
            </w:r>
          </w:p>
        </w:tc>
        <w:tc>
          <w:tcPr>
            <w:tcW w:w="14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5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0" w:right="46"/>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4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5" w:right="24"/>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360" w:right="89" w:hanging="270"/>
              <w:jc w:val="left"/>
              <w:rPr>
                <w:rFonts w:ascii="宋体" w:hAnsi="宋体" w:cs="宋体" w:eastAsia="宋体" w:hint="default"/>
                <w:sz w:val="18"/>
                <w:szCs w:val="18"/>
              </w:rPr>
            </w:pPr>
            <w:r>
              <w:rPr>
                <w:rFonts w:ascii="宋体" w:hAnsi="宋体" w:cs="宋体" w:eastAsia="宋体" w:hint="default"/>
                <w:sz w:val="18"/>
                <w:szCs w:val="18"/>
              </w:rPr>
              <w:t>利息资本化累 计金额</w:t>
            </w:r>
          </w:p>
        </w:tc>
        <w:tc>
          <w:tcPr>
            <w:tcW w:w="1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46" w:right="47"/>
              <w:jc w:val="left"/>
              <w:rPr>
                <w:rFonts w:ascii="宋体" w:hAnsi="宋体" w:cs="宋体" w:eastAsia="宋体" w:hint="default"/>
                <w:sz w:val="18"/>
                <w:szCs w:val="18"/>
              </w:rPr>
            </w:pPr>
            <w:r>
              <w:rPr>
                <w:rFonts w:ascii="宋体" w:hAnsi="宋体" w:cs="宋体" w:eastAsia="宋体" w:hint="default"/>
                <w:sz w:val="18"/>
                <w:szCs w:val="18"/>
              </w:rPr>
              <w:t>其中：本期利 息资本化金额</w:t>
            </w:r>
          </w:p>
        </w:tc>
        <w:tc>
          <w:tcPr>
            <w:tcW w:w="3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64" w:right="64"/>
              <w:jc w:val="both"/>
              <w:rPr>
                <w:rFonts w:ascii="宋体" w:hAnsi="宋体" w:cs="宋体" w:eastAsia="宋体" w:hint="default"/>
                <w:sz w:val="18"/>
                <w:szCs w:val="18"/>
              </w:rPr>
            </w:pPr>
            <w:r>
              <w:rPr>
                <w:rFonts w:ascii="宋体" w:hAnsi="宋体" w:cs="宋体" w:eastAsia="宋体" w:hint="default"/>
                <w:sz w:val="18"/>
                <w:szCs w:val="18"/>
              </w:rPr>
              <w:t>本 期 利 息 资 本 化 率</w:t>
            </w:r>
          </w:p>
        </w:tc>
        <w:tc>
          <w:tcPr>
            <w:tcW w:w="32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55"/>
              <w:jc w:val="both"/>
              <w:rPr>
                <w:rFonts w:ascii="宋体" w:hAnsi="宋体" w:cs="宋体" w:eastAsia="宋体" w:hint="default"/>
                <w:sz w:val="18"/>
                <w:szCs w:val="18"/>
              </w:rPr>
            </w:pPr>
            <w:r>
              <w:rPr>
                <w:rFonts w:ascii="宋体" w:hAnsi="宋体" w:cs="宋体" w:eastAsia="宋体" w:hint="default"/>
                <w:sz w:val="18"/>
                <w:szCs w:val="18"/>
              </w:rPr>
              <w:t>资 金 来 源</w:t>
            </w:r>
          </w:p>
        </w:tc>
      </w:tr>
      <w:tr>
        <w:trPr>
          <w:trHeight w:val="1934" w:hRule="exact"/>
        </w:trPr>
        <w:tc>
          <w:tcPr>
            <w:tcW w:w="482"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51"/>
              <w:ind w:left="13" w:right="84"/>
              <w:jc w:val="left"/>
              <w:rPr>
                <w:rFonts w:ascii="宋体" w:hAnsi="宋体" w:cs="宋体" w:eastAsia="宋体" w:hint="default"/>
                <w:sz w:val="18"/>
                <w:szCs w:val="18"/>
              </w:rPr>
            </w:pPr>
            <w:r>
              <w:rPr>
                <w:rFonts w:ascii="宋体" w:hAnsi="宋体" w:cs="宋体" w:eastAsia="宋体" w:hint="default"/>
                <w:sz w:val="18"/>
                <w:szCs w:val="18"/>
              </w:rPr>
              <w:t>生产 与中 试基 地</w:t>
            </w:r>
            <w:r>
              <w:rPr>
                <w:rFonts w:ascii="宋体" w:hAnsi="宋体" w:cs="宋体" w:eastAsia="宋体" w:hint="default"/>
                <w:sz w:val="18"/>
                <w:szCs w:val="18"/>
              </w:rPr>
              <w:t>/ </w:t>
            </w:r>
            <w:r>
              <w:rPr>
                <w:rFonts w:ascii="宋体" w:hAnsi="宋体" w:cs="宋体" w:eastAsia="宋体" w:hint="default"/>
                <w:sz w:val="18"/>
                <w:szCs w:val="18"/>
              </w:rPr>
              <w:t>厂房 一、</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13" w:right="0"/>
              <w:jc w:val="left"/>
              <w:rPr>
                <w:rFonts w:ascii="宋体" w:hAnsi="宋体" w:cs="宋体" w:eastAsia="宋体" w:hint="default"/>
                <w:sz w:val="18"/>
                <w:szCs w:val="18"/>
              </w:rPr>
            </w:pPr>
            <w:r>
              <w:rPr>
                <w:rFonts w:ascii="宋体"/>
                <w:sz w:val="18"/>
              </w:rPr>
              <w:t>50,000,000.00</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12" w:right="0"/>
              <w:jc w:val="left"/>
              <w:rPr>
                <w:rFonts w:ascii="宋体" w:hAnsi="宋体" w:cs="宋体" w:eastAsia="宋体" w:hint="default"/>
                <w:sz w:val="18"/>
                <w:szCs w:val="18"/>
              </w:rPr>
            </w:pPr>
            <w:r>
              <w:rPr>
                <w:rFonts w:ascii="宋体"/>
                <w:sz w:val="18"/>
              </w:rPr>
              <w:t>40,191,230.31</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60" w:right="0"/>
              <w:jc w:val="left"/>
              <w:rPr>
                <w:rFonts w:ascii="宋体" w:hAnsi="宋体" w:cs="宋体" w:eastAsia="宋体" w:hint="default"/>
                <w:sz w:val="18"/>
                <w:szCs w:val="18"/>
              </w:rPr>
            </w:pPr>
            <w:r>
              <w:rPr>
                <w:rFonts w:ascii="宋体"/>
                <w:sz w:val="18"/>
              </w:rPr>
              <w:t>4,381,505.65</w:t>
            </w:r>
          </w:p>
        </w:tc>
        <w:tc>
          <w:tcPr>
            <w:tcW w:w="1277"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12" w:right="0"/>
              <w:jc w:val="left"/>
              <w:rPr>
                <w:rFonts w:ascii="宋体" w:hAnsi="宋体" w:cs="宋体" w:eastAsia="宋体" w:hint="default"/>
                <w:sz w:val="18"/>
                <w:szCs w:val="18"/>
              </w:rPr>
            </w:pPr>
            <w:r>
              <w:rPr>
                <w:rFonts w:ascii="宋体"/>
                <w:sz w:val="18"/>
              </w:rPr>
              <w:t>44,572,735.96</w:t>
            </w:r>
          </w:p>
        </w:tc>
        <w:tc>
          <w:tcPr>
            <w:tcW w:w="6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9" w:right="0"/>
              <w:jc w:val="left"/>
              <w:rPr>
                <w:rFonts w:ascii="宋体" w:hAnsi="宋体" w:cs="宋体" w:eastAsia="宋体" w:hint="default"/>
                <w:sz w:val="18"/>
                <w:szCs w:val="18"/>
              </w:rPr>
            </w:pPr>
            <w:r>
              <w:rPr>
                <w:rFonts w:ascii="宋体"/>
                <w:sz w:val="18"/>
              </w:rPr>
              <w:t>89.15%</w:t>
            </w:r>
          </w:p>
        </w:tc>
        <w:tc>
          <w:tcPr>
            <w:tcW w:w="4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0" w:right="0"/>
              <w:jc w:val="left"/>
              <w:rPr>
                <w:rFonts w:ascii="宋体" w:hAnsi="宋体" w:cs="宋体" w:eastAsia="宋体" w:hint="default"/>
                <w:sz w:val="18"/>
                <w:szCs w:val="18"/>
              </w:rPr>
            </w:pPr>
            <w:r>
              <w:rPr>
                <w:rFonts w:ascii="宋体"/>
                <w:sz w:val="18"/>
              </w:rPr>
              <w:t>89%</w:t>
            </w:r>
          </w:p>
        </w:tc>
        <w:tc>
          <w:tcPr>
            <w:tcW w:w="1276" w:type="dxa"/>
            <w:tcBorders>
              <w:top w:val="single" w:sz="6" w:space="0" w:color="000000"/>
              <w:left w:val="single" w:sz="6" w:space="0" w:color="000000"/>
              <w:bottom w:val="single" w:sz="12" w:space="0" w:color="000000"/>
              <w:right w:val="single" w:sz="6" w:space="0" w:color="000000"/>
            </w:tcBorders>
          </w:tcPr>
          <w:p>
            <w:pPr/>
          </w:p>
        </w:tc>
        <w:tc>
          <w:tcPr>
            <w:tcW w:w="1190" w:type="dxa"/>
            <w:tcBorders>
              <w:top w:val="single" w:sz="6" w:space="0" w:color="000000"/>
              <w:left w:val="single" w:sz="6" w:space="0" w:color="000000"/>
              <w:bottom w:val="single" w:sz="12" w:space="0" w:color="000000"/>
              <w:right w:val="single" w:sz="6" w:space="0" w:color="000000"/>
            </w:tcBorders>
          </w:tcPr>
          <w:p>
            <w:pPr/>
          </w:p>
        </w:tc>
        <w:tc>
          <w:tcPr>
            <w:tcW w:w="326" w:type="dxa"/>
            <w:tcBorders>
              <w:top w:val="single" w:sz="6" w:space="0" w:color="000000"/>
              <w:left w:val="single" w:sz="6" w:space="0" w:color="000000"/>
              <w:bottom w:val="single" w:sz="12" w:space="0" w:color="000000"/>
              <w:right w:val="single" w:sz="6" w:space="0" w:color="000000"/>
            </w:tcBorders>
          </w:tcPr>
          <w:p>
            <w:pPr/>
          </w:p>
        </w:tc>
        <w:tc>
          <w:tcPr>
            <w:tcW w:w="3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65" w:right="55"/>
              <w:jc w:val="both"/>
              <w:rPr>
                <w:rFonts w:ascii="宋体" w:hAnsi="宋体" w:cs="宋体" w:eastAsia="宋体" w:hint="default"/>
                <w:sz w:val="18"/>
                <w:szCs w:val="18"/>
              </w:rPr>
            </w:pPr>
            <w:r>
              <w:rPr>
                <w:rFonts w:ascii="宋体" w:hAnsi="宋体" w:cs="宋体" w:eastAsia="宋体" w:hint="default"/>
                <w:sz w:val="18"/>
                <w:szCs w:val="18"/>
              </w:rPr>
              <w:t>募 股 资 金</w:t>
            </w:r>
          </w:p>
        </w:tc>
      </w:tr>
    </w:tbl>
    <w:p>
      <w:pPr>
        <w:spacing w:after="0" w:line="319" w:lineRule="auto"/>
        <w:jc w:val="both"/>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69" w:type="dxa"/>
        <w:tblLayout w:type="fixed"/>
        <w:tblCellMar>
          <w:top w:w="0" w:type="dxa"/>
          <w:left w:w="0" w:type="dxa"/>
          <w:bottom w:w="0" w:type="dxa"/>
          <w:right w:w="0" w:type="dxa"/>
        </w:tblCellMar>
        <w:tblLook w:val="01E0"/>
      </w:tblPr>
      <w:tblGrid>
        <w:gridCol w:w="482"/>
        <w:gridCol w:w="1419"/>
        <w:gridCol w:w="1417"/>
        <w:gridCol w:w="1276"/>
        <w:gridCol w:w="1277"/>
        <w:gridCol w:w="283"/>
        <w:gridCol w:w="1417"/>
        <w:gridCol w:w="653"/>
        <w:gridCol w:w="426"/>
        <w:gridCol w:w="1276"/>
        <w:gridCol w:w="1190"/>
        <w:gridCol w:w="326"/>
        <w:gridCol w:w="326"/>
      </w:tblGrid>
      <w:tr>
        <w:trPr>
          <w:trHeight w:val="374" w:hRule="exact"/>
        </w:trPr>
        <w:tc>
          <w:tcPr>
            <w:tcW w:w="48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二</w:t>
            </w:r>
          </w:p>
        </w:tc>
        <w:tc>
          <w:tcPr>
            <w:tcW w:w="1419" w:type="dxa"/>
            <w:tcBorders>
              <w:top w:val="single" w:sz="12" w:space="0" w:color="000000"/>
              <w:left w:val="single" w:sz="6" w:space="0" w:color="000000"/>
              <w:bottom w:val="single" w:sz="6" w:space="0" w:color="000000"/>
              <w:right w:val="single" w:sz="6" w:space="0" w:color="000000"/>
            </w:tcBorders>
          </w:tcPr>
          <w:p>
            <w:pPr/>
          </w:p>
        </w:tc>
        <w:tc>
          <w:tcPr>
            <w:tcW w:w="1417" w:type="dxa"/>
            <w:tcBorders>
              <w:top w:val="single" w:sz="12" w:space="0" w:color="000000"/>
              <w:left w:val="single" w:sz="6" w:space="0" w:color="000000"/>
              <w:bottom w:val="single" w:sz="6" w:space="0" w:color="000000"/>
              <w:right w:val="single" w:sz="6" w:space="0" w:color="000000"/>
            </w:tcBorders>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1417" w:type="dxa"/>
            <w:tcBorders>
              <w:top w:val="single" w:sz="12" w:space="0" w:color="000000"/>
              <w:left w:val="single" w:sz="6" w:space="0" w:color="000000"/>
              <w:bottom w:val="single" w:sz="6" w:space="0" w:color="000000"/>
              <w:right w:val="single" w:sz="6" w:space="0" w:color="000000"/>
            </w:tcBorders>
          </w:tcPr>
          <w:p>
            <w:pPr/>
          </w:p>
        </w:tc>
        <w:tc>
          <w:tcPr>
            <w:tcW w:w="653" w:type="dxa"/>
            <w:tcBorders>
              <w:top w:val="single" w:sz="12" w:space="0" w:color="000000"/>
              <w:left w:val="single" w:sz="6" w:space="0" w:color="000000"/>
              <w:bottom w:val="single" w:sz="6" w:space="0" w:color="000000"/>
              <w:right w:val="single" w:sz="6" w:space="0" w:color="000000"/>
            </w:tcBorders>
          </w:tcPr>
          <w:p>
            <w:pPr/>
          </w:p>
        </w:tc>
        <w:tc>
          <w:tcPr>
            <w:tcW w:w="426" w:type="dxa"/>
            <w:tcBorders>
              <w:top w:val="single" w:sz="12" w:space="0" w:color="000000"/>
              <w:left w:val="single" w:sz="6" w:space="0" w:color="000000"/>
              <w:bottom w:val="single" w:sz="6" w:space="0" w:color="000000"/>
              <w:right w:val="single" w:sz="6" w:space="0" w:color="000000"/>
            </w:tcBorders>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1190" w:type="dxa"/>
            <w:tcBorders>
              <w:top w:val="single" w:sz="12" w:space="0" w:color="000000"/>
              <w:left w:val="single" w:sz="6" w:space="0" w:color="000000"/>
              <w:bottom w:val="single" w:sz="6" w:space="0" w:color="000000"/>
              <w:right w:val="single" w:sz="6" w:space="0" w:color="000000"/>
            </w:tcBorders>
          </w:tcPr>
          <w:p>
            <w:pPr/>
          </w:p>
        </w:tc>
        <w:tc>
          <w:tcPr>
            <w:tcW w:w="326" w:type="dxa"/>
            <w:tcBorders>
              <w:top w:val="single" w:sz="12" w:space="0" w:color="000000"/>
              <w:left w:val="single" w:sz="6" w:space="0" w:color="000000"/>
              <w:bottom w:val="single" w:sz="6" w:space="0" w:color="000000"/>
              <w:right w:val="single" w:sz="6" w:space="0" w:color="000000"/>
            </w:tcBorders>
          </w:tcPr>
          <w:p>
            <w:pPr/>
          </w:p>
        </w:tc>
        <w:tc>
          <w:tcPr>
            <w:tcW w:w="326" w:type="dxa"/>
            <w:tcBorders>
              <w:top w:val="single" w:sz="12" w:space="0" w:color="000000"/>
              <w:left w:val="single" w:sz="6" w:space="0" w:color="000000"/>
              <w:bottom w:val="single" w:sz="6" w:space="0" w:color="000000"/>
              <w:right w:val="single" w:sz="12" w:space="0" w:color="000000"/>
            </w:tcBorders>
          </w:tcPr>
          <w:p>
            <w:pPr/>
          </w:p>
        </w:tc>
      </w:tr>
      <w:tr>
        <w:trPr>
          <w:trHeight w:val="2279" w:hRule="exact"/>
        </w:trPr>
        <w:tc>
          <w:tcPr>
            <w:tcW w:w="48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84"/>
              <w:jc w:val="left"/>
              <w:rPr>
                <w:rFonts w:ascii="宋体" w:hAnsi="宋体" w:cs="宋体" w:eastAsia="宋体" w:hint="default"/>
                <w:sz w:val="18"/>
                <w:szCs w:val="18"/>
              </w:rPr>
            </w:pPr>
            <w:r>
              <w:rPr>
                <w:rFonts w:ascii="宋体" w:hAnsi="宋体" w:cs="宋体" w:eastAsia="宋体" w:hint="default"/>
                <w:sz w:val="18"/>
                <w:szCs w:val="18"/>
              </w:rPr>
              <w:t>生产 与中 试基 地</w:t>
            </w:r>
            <w:r>
              <w:rPr>
                <w:rFonts w:ascii="宋体" w:hAnsi="宋体" w:cs="宋体" w:eastAsia="宋体" w:hint="default"/>
                <w:sz w:val="18"/>
                <w:szCs w:val="18"/>
              </w:rPr>
              <w:t>/ </w:t>
            </w:r>
            <w:r>
              <w:rPr>
                <w:rFonts w:ascii="宋体" w:hAnsi="宋体" w:cs="宋体" w:eastAsia="宋体" w:hint="default"/>
                <w:sz w:val="18"/>
                <w:szCs w:val="18"/>
              </w:rPr>
              <w:t>检验 检测 大楼</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28,000,000.00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26,745,614.62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566,698.84</w:t>
            </w:r>
          </w:p>
        </w:tc>
        <w:tc>
          <w:tcPr>
            <w:tcW w:w="1277"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27,312,313.46</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9" w:right="0"/>
              <w:jc w:val="center"/>
              <w:rPr>
                <w:rFonts w:ascii="宋体" w:hAnsi="宋体" w:cs="宋体" w:eastAsia="宋体" w:hint="default"/>
                <w:sz w:val="18"/>
                <w:szCs w:val="18"/>
              </w:rPr>
            </w:pPr>
            <w:r>
              <w:rPr>
                <w:rFonts w:ascii="宋体"/>
                <w:sz w:val="18"/>
              </w:rPr>
              <w:t>97.54%</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0" w:right="0"/>
              <w:jc w:val="left"/>
              <w:rPr>
                <w:rFonts w:ascii="宋体" w:hAnsi="宋体" w:cs="宋体" w:eastAsia="宋体" w:hint="default"/>
                <w:sz w:val="18"/>
                <w:szCs w:val="18"/>
              </w:rPr>
            </w:pPr>
            <w:r>
              <w:rPr>
                <w:rFonts w:ascii="宋体"/>
                <w:sz w:val="18"/>
              </w:rPr>
              <w:t>98%</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26" w:type="dxa"/>
            <w:tcBorders>
              <w:top w:val="single" w:sz="6" w:space="0" w:color="000000"/>
              <w:left w:val="single" w:sz="6" w:space="0" w:color="000000"/>
              <w:bottom w:val="single" w:sz="6" w:space="0" w:color="000000"/>
              <w:right w:val="single" w:sz="6" w:space="0" w:color="000000"/>
            </w:tcBorders>
          </w:tcPr>
          <w:p>
            <w:pPr/>
          </w:p>
        </w:tc>
        <w:tc>
          <w:tcPr>
            <w:tcW w:w="3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65" w:right="55"/>
              <w:jc w:val="both"/>
              <w:rPr>
                <w:rFonts w:ascii="宋体" w:hAnsi="宋体" w:cs="宋体" w:eastAsia="宋体" w:hint="default"/>
                <w:sz w:val="18"/>
                <w:szCs w:val="18"/>
              </w:rPr>
            </w:pPr>
            <w:r>
              <w:rPr>
                <w:rFonts w:ascii="宋体" w:hAnsi="宋体" w:cs="宋体" w:eastAsia="宋体" w:hint="default"/>
                <w:sz w:val="18"/>
                <w:szCs w:val="18"/>
              </w:rPr>
              <w:t>募 股 资 金</w:t>
            </w:r>
          </w:p>
        </w:tc>
      </w:tr>
      <w:tr>
        <w:trPr>
          <w:trHeight w:val="1968" w:hRule="exact"/>
        </w:trPr>
        <w:tc>
          <w:tcPr>
            <w:tcW w:w="48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84"/>
              <w:jc w:val="left"/>
              <w:rPr>
                <w:rFonts w:ascii="宋体" w:hAnsi="宋体" w:cs="宋体" w:eastAsia="宋体" w:hint="default"/>
                <w:sz w:val="18"/>
                <w:szCs w:val="18"/>
              </w:rPr>
            </w:pPr>
            <w:r>
              <w:rPr>
                <w:rFonts w:ascii="宋体" w:hAnsi="宋体" w:cs="宋体" w:eastAsia="宋体" w:hint="default"/>
                <w:sz w:val="18"/>
                <w:szCs w:val="18"/>
              </w:rPr>
              <w:t>生产 与中 试基 地</w:t>
            </w:r>
            <w:r>
              <w:rPr>
                <w:rFonts w:ascii="宋体" w:hAnsi="宋体" w:cs="宋体" w:eastAsia="宋体" w:hint="default"/>
                <w:sz w:val="18"/>
                <w:szCs w:val="18"/>
              </w:rPr>
              <w:t>/ </w:t>
            </w:r>
            <w:r>
              <w:rPr>
                <w:rFonts w:ascii="宋体" w:hAnsi="宋体" w:cs="宋体" w:eastAsia="宋体" w:hint="default"/>
                <w:sz w:val="18"/>
                <w:szCs w:val="18"/>
              </w:rPr>
              <w:t>综合 楼</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132,000,000.00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75,347,991.65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37,839,824.15</w:t>
            </w:r>
          </w:p>
        </w:tc>
        <w:tc>
          <w:tcPr>
            <w:tcW w:w="1277"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113,187,815.80</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9" w:right="0"/>
              <w:jc w:val="center"/>
              <w:rPr>
                <w:rFonts w:ascii="宋体" w:hAnsi="宋体" w:cs="宋体" w:eastAsia="宋体" w:hint="default"/>
                <w:sz w:val="18"/>
                <w:szCs w:val="18"/>
              </w:rPr>
            </w:pPr>
            <w:r>
              <w:rPr>
                <w:rFonts w:ascii="宋体"/>
                <w:sz w:val="18"/>
              </w:rPr>
              <w:t>85.75%</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0" w:right="0"/>
              <w:jc w:val="left"/>
              <w:rPr>
                <w:rFonts w:ascii="宋体" w:hAnsi="宋体" w:cs="宋体" w:eastAsia="宋体" w:hint="default"/>
                <w:sz w:val="18"/>
                <w:szCs w:val="18"/>
              </w:rPr>
            </w:pPr>
            <w:r>
              <w:rPr>
                <w:rFonts w:ascii="宋体"/>
                <w:sz w:val="18"/>
              </w:rPr>
              <w:t>86%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4,167,876.76</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z w:val="18"/>
              </w:rPr>
              <w:t>3,466,300.69</w:t>
            </w:r>
          </w:p>
        </w:tc>
        <w:tc>
          <w:tcPr>
            <w:tcW w:w="326" w:type="dxa"/>
            <w:tcBorders>
              <w:top w:val="single" w:sz="6" w:space="0" w:color="000000"/>
              <w:left w:val="single" w:sz="6" w:space="0" w:color="000000"/>
              <w:bottom w:val="single" w:sz="6" w:space="0" w:color="000000"/>
              <w:right w:val="single" w:sz="6" w:space="0" w:color="000000"/>
            </w:tcBorders>
          </w:tcPr>
          <w:p>
            <w:pPr/>
          </w:p>
        </w:tc>
        <w:tc>
          <w:tcPr>
            <w:tcW w:w="3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5" w:right="55"/>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1655" w:hRule="exact"/>
        </w:trPr>
        <w:tc>
          <w:tcPr>
            <w:tcW w:w="48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3" w:right="84"/>
              <w:jc w:val="both"/>
              <w:rPr>
                <w:rFonts w:ascii="宋体" w:hAnsi="宋体" w:cs="宋体" w:eastAsia="宋体" w:hint="default"/>
                <w:sz w:val="18"/>
                <w:szCs w:val="18"/>
              </w:rPr>
            </w:pPr>
            <w:r>
              <w:rPr>
                <w:rFonts w:ascii="宋体" w:hAnsi="宋体" w:cs="宋体" w:eastAsia="宋体" w:hint="default"/>
                <w:sz w:val="18"/>
                <w:szCs w:val="18"/>
              </w:rPr>
              <w:t>山源 科技 公司 二期 工程</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13,650,000.00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4,362,964.79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1,708,788.96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3,322,200.00</w:t>
            </w: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2,749,553.75</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9" w:right="0"/>
              <w:jc w:val="center"/>
              <w:rPr>
                <w:rFonts w:ascii="宋体" w:hAnsi="宋体" w:cs="宋体" w:eastAsia="宋体" w:hint="default"/>
                <w:sz w:val="18"/>
                <w:szCs w:val="18"/>
              </w:rPr>
            </w:pPr>
            <w:r>
              <w:rPr>
                <w:rFonts w:ascii="宋体"/>
                <w:sz w:val="18"/>
              </w:rPr>
              <w:t>44.48%</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sz w:val="18"/>
              </w:rPr>
              <w:t>90%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26" w:type="dxa"/>
            <w:tcBorders>
              <w:top w:val="single" w:sz="6" w:space="0" w:color="000000"/>
              <w:left w:val="single" w:sz="6" w:space="0" w:color="000000"/>
              <w:bottom w:val="single" w:sz="6" w:space="0" w:color="000000"/>
              <w:right w:val="single" w:sz="6" w:space="0" w:color="000000"/>
            </w:tcBorders>
          </w:tcPr>
          <w:p>
            <w:pPr/>
          </w:p>
        </w:tc>
        <w:tc>
          <w:tcPr>
            <w:tcW w:w="3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5" w:right="55"/>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1343" w:hRule="exact"/>
        </w:trPr>
        <w:tc>
          <w:tcPr>
            <w:tcW w:w="482"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84"/>
              <w:jc w:val="both"/>
              <w:rPr>
                <w:rFonts w:ascii="宋体" w:hAnsi="宋体" w:cs="宋体" w:eastAsia="宋体" w:hint="default"/>
                <w:sz w:val="18"/>
                <w:szCs w:val="18"/>
              </w:rPr>
            </w:pPr>
            <w:r>
              <w:rPr>
                <w:rFonts w:ascii="宋体" w:hAnsi="宋体" w:cs="宋体" w:eastAsia="宋体" w:hint="default"/>
                <w:sz w:val="18"/>
                <w:szCs w:val="18"/>
              </w:rPr>
              <w:t>睿博 公司 一期 工程</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58,340,000.00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12,982,923.47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32,969,603.47</w:t>
            </w:r>
          </w:p>
        </w:tc>
        <w:tc>
          <w:tcPr>
            <w:tcW w:w="1277"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45,952,526.94</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9" w:right="0"/>
              <w:jc w:val="center"/>
              <w:rPr>
                <w:rFonts w:ascii="宋体" w:hAnsi="宋体" w:cs="宋体" w:eastAsia="宋体" w:hint="default"/>
                <w:sz w:val="18"/>
                <w:szCs w:val="18"/>
              </w:rPr>
            </w:pPr>
            <w:r>
              <w:rPr>
                <w:rFonts w:ascii="宋体"/>
                <w:sz w:val="18"/>
              </w:rPr>
              <w:t>91.91%</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0" w:right="0"/>
              <w:jc w:val="left"/>
              <w:rPr>
                <w:rFonts w:ascii="宋体" w:hAnsi="宋体" w:cs="宋体" w:eastAsia="宋体" w:hint="default"/>
                <w:sz w:val="18"/>
                <w:szCs w:val="18"/>
              </w:rPr>
            </w:pPr>
            <w:r>
              <w:rPr>
                <w:rFonts w:ascii="宋体"/>
                <w:sz w:val="18"/>
              </w:rPr>
              <w:t>45%</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26" w:type="dxa"/>
            <w:tcBorders>
              <w:top w:val="single" w:sz="6" w:space="0" w:color="000000"/>
              <w:left w:val="single" w:sz="6" w:space="0" w:color="000000"/>
              <w:bottom w:val="single" w:sz="6" w:space="0" w:color="000000"/>
              <w:right w:val="single" w:sz="6" w:space="0" w:color="000000"/>
            </w:tcBorders>
          </w:tcPr>
          <w:p>
            <w:pPr/>
          </w:p>
        </w:tc>
        <w:tc>
          <w:tcPr>
            <w:tcW w:w="3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5" w:right="55"/>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719" w:hRule="exact"/>
        </w:trPr>
        <w:tc>
          <w:tcPr>
            <w:tcW w:w="482"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84"/>
              <w:jc w:val="left"/>
              <w:rPr>
                <w:rFonts w:ascii="宋体" w:hAnsi="宋体" w:cs="宋体" w:eastAsia="宋体" w:hint="default"/>
                <w:sz w:val="18"/>
                <w:szCs w:val="18"/>
              </w:rPr>
            </w:pPr>
            <w:r>
              <w:rPr>
                <w:rFonts w:ascii="宋体" w:hAnsi="宋体" w:cs="宋体" w:eastAsia="宋体" w:hint="default"/>
                <w:sz w:val="18"/>
                <w:szCs w:val="18"/>
              </w:rPr>
              <w:t>设备 安装</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118,235.79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16,448,403.46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16,546,116.69</w:t>
            </w: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20,522.56</w:t>
            </w:r>
          </w:p>
        </w:tc>
        <w:tc>
          <w:tcPr>
            <w:tcW w:w="65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326" w:type="dxa"/>
            <w:tcBorders>
              <w:top w:val="single" w:sz="6" w:space="0" w:color="000000"/>
              <w:left w:val="single" w:sz="6" w:space="0" w:color="000000"/>
              <w:bottom w:val="single" w:sz="6" w:space="0" w:color="000000"/>
              <w:right w:val="single" w:sz="6" w:space="0" w:color="000000"/>
            </w:tcBorders>
          </w:tcPr>
          <w:p>
            <w:pPr/>
          </w:p>
        </w:tc>
        <w:tc>
          <w:tcPr>
            <w:tcW w:w="326"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51"/>
              <w:ind w:left="65" w:right="55"/>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415" w:hRule="exact"/>
        </w:trPr>
        <w:tc>
          <w:tcPr>
            <w:tcW w:w="48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281,990,000.00</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159,748,960.63</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93,914,824.53</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19,868,316.69</w:t>
            </w:r>
          </w:p>
        </w:tc>
        <w:tc>
          <w:tcPr>
            <w:tcW w:w="283"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9" w:space="0" w:color="D2D2D2"/>
            </w:tcBorders>
          </w:tcPr>
          <w:p>
            <w:pPr>
              <w:pStyle w:val="TableParagraph"/>
              <w:spacing w:line="240" w:lineRule="auto" w:before="52"/>
              <w:ind w:right="14"/>
              <w:jc w:val="right"/>
              <w:rPr>
                <w:rFonts w:ascii="宋体" w:hAnsi="宋体" w:cs="宋体" w:eastAsia="宋体" w:hint="default"/>
                <w:sz w:val="18"/>
                <w:szCs w:val="18"/>
              </w:rPr>
            </w:pPr>
            <w:r>
              <w:rPr>
                <w:rFonts w:ascii="宋体"/>
                <w:sz w:val="18"/>
              </w:rPr>
              <w:t>233,795,468.47</w:t>
            </w:r>
          </w:p>
        </w:tc>
        <w:tc>
          <w:tcPr>
            <w:tcW w:w="65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sz w:val="18"/>
              </w:rPr>
              <w:t>--</w:t>
            </w:r>
          </w:p>
        </w:tc>
        <w:tc>
          <w:tcPr>
            <w:tcW w:w="426"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115" w:right="0"/>
              <w:jc w:val="left"/>
              <w:rPr>
                <w:rFonts w:ascii="宋体" w:hAnsi="宋体" w:cs="宋体" w:eastAsia="宋体" w:hint="default"/>
                <w:sz w:val="18"/>
                <w:szCs w:val="18"/>
              </w:rPr>
            </w:pPr>
            <w:r>
              <w:rPr>
                <w:rFonts w:ascii="宋体"/>
                <w:sz w:val="18"/>
              </w:rPr>
              <w:t>--</w:t>
            </w:r>
          </w:p>
        </w:tc>
        <w:tc>
          <w:tcPr>
            <w:tcW w:w="127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4,167,876.76</w:t>
            </w:r>
          </w:p>
        </w:tc>
        <w:tc>
          <w:tcPr>
            <w:tcW w:w="1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3,466,300.69</w:t>
            </w:r>
          </w:p>
        </w:tc>
        <w:tc>
          <w:tcPr>
            <w:tcW w:w="326" w:type="dxa"/>
            <w:tcBorders>
              <w:top w:val="single" w:sz="6" w:space="0" w:color="000000"/>
              <w:left w:val="single" w:sz="6" w:space="0" w:color="000000"/>
              <w:bottom w:val="single" w:sz="12" w:space="0" w:color="000000"/>
              <w:right w:val="single" w:sz="6" w:space="0" w:color="000000"/>
            </w:tcBorders>
          </w:tcPr>
          <w:p>
            <w:pPr/>
          </w:p>
        </w:tc>
        <w:tc>
          <w:tcPr>
            <w:tcW w:w="326"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65" w:right="0"/>
              <w:jc w:val="left"/>
              <w:rPr>
                <w:rFonts w:ascii="宋体" w:hAnsi="宋体" w:cs="宋体" w:eastAsia="宋体" w:hint="default"/>
                <w:sz w:val="18"/>
                <w:szCs w:val="18"/>
              </w:rPr>
            </w:pPr>
            <w:r>
              <w:rPr>
                <w:rFonts w:ascii="宋体"/>
                <w:sz w:val="18"/>
              </w:rPr>
              <w:t>--</w:t>
            </w:r>
          </w:p>
        </w:tc>
      </w:tr>
    </w:tbl>
    <w:p>
      <w:pPr>
        <w:spacing w:before="72"/>
        <w:ind w:left="1134" w:right="0" w:firstLine="0"/>
        <w:jc w:val="left"/>
        <w:rPr>
          <w:rFonts w:ascii="宋体" w:hAnsi="宋体" w:cs="宋体" w:eastAsia="宋体" w:hint="default"/>
          <w:sz w:val="20"/>
          <w:szCs w:val="20"/>
        </w:rPr>
      </w:pPr>
      <w:bookmarkStart w:name="（3）本期计提在建工程减值准备情况" w:id="288"/>
      <w:bookmarkEnd w:id="288"/>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）本期计提在建工程减值准备情况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134" w:right="8968"/>
        <w:jc w:val="left"/>
      </w:pPr>
      <w:r>
        <w:rPr/>
        <w:t>□ 适用 √</w:t>
      </w:r>
      <w:r>
        <w:rPr>
          <w:spacing w:val="-1"/>
        </w:rPr>
        <w:t> </w:t>
      </w:r>
      <w:r>
        <w:rPr/>
        <w:t>不适用</w:t>
      </w:r>
      <w:r>
        <w:rPr/>
        <w:t> 其他说明</w:t>
      </w:r>
    </w:p>
    <w:p>
      <w:pPr>
        <w:pStyle w:val="BodyText"/>
        <w:spacing w:line="408" w:lineRule="auto" w:before="46"/>
        <w:ind w:left="1134" w:right="0" w:firstLine="423"/>
        <w:jc w:val="left"/>
      </w:pPr>
      <w:r>
        <w:rPr>
          <w:spacing w:val="-1"/>
        </w:rPr>
        <w:t>山源科技二期工程原为单独修办公楼计划，本年变成综合楼，故预算由</w:t>
      </w:r>
      <w:r>
        <w:rPr>
          <w:rFonts w:ascii="宋体" w:hAnsi="宋体" w:cs="宋体" w:eastAsia="宋体" w:hint="default"/>
          <w:spacing w:val="-1"/>
        </w:rPr>
        <w:t>1680</w:t>
      </w:r>
      <w:r>
        <w:rPr>
          <w:spacing w:val="-1"/>
        </w:rPr>
        <w:t>万元调减至</w:t>
      </w:r>
      <w:r>
        <w:rPr>
          <w:rFonts w:ascii="宋体" w:hAnsi="宋体" w:cs="宋体" w:eastAsia="宋体" w:hint="default"/>
          <w:spacing w:val="-1"/>
        </w:rPr>
        <w:t>1365</w:t>
      </w:r>
      <w:r>
        <w:rPr>
          <w:spacing w:val="-1"/>
        </w:rPr>
        <w:t>万元；睿</w:t>
      </w:r>
      <w:r>
        <w:rPr/>
        <w:t> 博一期工程由于设计产能需要扩大，故预算由</w:t>
      </w:r>
      <w:r>
        <w:rPr>
          <w:rFonts w:ascii="宋体" w:hAnsi="宋体" w:cs="宋体" w:eastAsia="宋体" w:hint="default"/>
        </w:rPr>
        <w:t>1980</w:t>
      </w:r>
      <w:r>
        <w:rPr/>
        <w:t>万调增至</w:t>
      </w:r>
      <w:r>
        <w:rPr>
          <w:rFonts w:ascii="宋体" w:hAnsi="宋体" w:cs="宋体" w:eastAsia="宋体" w:hint="default"/>
        </w:rPr>
        <w:t>5834</w:t>
      </w:r>
      <w:r>
        <w:rPr/>
        <w:t>万元。</w:t>
      </w:r>
    </w:p>
    <w:p>
      <w:pPr>
        <w:pStyle w:val="BodyText"/>
        <w:spacing w:line="408" w:lineRule="auto" w:before="46"/>
        <w:ind w:right="1195" w:firstLine="423"/>
        <w:jc w:val="left"/>
      </w:pPr>
      <w:r>
        <w:rPr/>
        <w:t>在建工程年末数比年初数增加</w:t>
      </w:r>
      <w:r>
        <w:rPr>
          <w:rFonts w:ascii="宋体" w:hAnsi="宋体" w:cs="宋体" w:eastAsia="宋体" w:hint="default"/>
        </w:rPr>
        <w:t>74,912,504.73</w:t>
      </w:r>
      <w:r>
        <w:rPr/>
        <w:t>元，增加比例为</w:t>
      </w:r>
      <w:r>
        <w:rPr>
          <w:rFonts w:ascii="宋体" w:hAnsi="宋体" w:cs="宋体" w:eastAsia="宋体" w:hint="default"/>
        </w:rPr>
        <w:t>46.74%</w:t>
      </w:r>
      <w:r>
        <w:rPr/>
        <w:t>，增加的主要原因为在建工程项 目本期资金持续投入所致。</w:t>
      </w:r>
    </w:p>
    <w:p>
      <w:pPr>
        <w:spacing w:before="55"/>
        <w:ind w:left="1133" w:right="0" w:firstLine="0"/>
        <w:jc w:val="left"/>
        <w:rPr>
          <w:rFonts w:ascii="宋体" w:hAnsi="宋体" w:cs="宋体" w:eastAsia="宋体" w:hint="default"/>
          <w:sz w:val="20"/>
          <w:szCs w:val="20"/>
        </w:rPr>
      </w:pPr>
      <w:bookmarkStart w:name="21、工程物资" w:id="289"/>
      <w:bookmarkEnd w:id="289"/>
      <w:r>
        <w:rPr/>
      </w:r>
      <w:r>
        <w:rPr>
          <w:rFonts w:ascii="宋体" w:hAnsi="宋体" w:cs="宋体" w:eastAsia="宋体" w:hint="default"/>
          <w:b/>
          <w:bCs/>
          <w:sz w:val="20"/>
          <w:szCs w:val="20"/>
        </w:rPr>
        <w:t>21</w:t>
      </w:r>
      <w:r>
        <w:rPr>
          <w:rFonts w:ascii="宋体" w:hAnsi="宋体" w:cs="宋体" w:eastAsia="宋体" w:hint="default"/>
          <w:b/>
          <w:bCs/>
          <w:sz w:val="20"/>
          <w:szCs w:val="20"/>
        </w:rPr>
        <w:t>、工程物资</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2、固定资产清理" w:id="290"/>
      <w:bookmarkEnd w:id="290"/>
      <w:r>
        <w:rPr/>
      </w:r>
      <w:r>
        <w:rPr>
          <w:rFonts w:ascii="宋体" w:hAnsi="宋体" w:cs="宋体" w:eastAsia="宋体" w:hint="default"/>
          <w:b/>
          <w:bCs/>
          <w:sz w:val="20"/>
          <w:szCs w:val="20"/>
        </w:rPr>
        <w:t>22</w:t>
      </w:r>
      <w:r>
        <w:rPr>
          <w:rFonts w:ascii="宋体" w:hAnsi="宋体" w:cs="宋体" w:eastAsia="宋体" w:hint="default"/>
          <w:b/>
          <w:bCs/>
          <w:sz w:val="20"/>
          <w:szCs w:val="20"/>
        </w:rPr>
        <w:t>、固定资产清理</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3" w:right="0" w:firstLine="0"/>
        <w:jc w:val="left"/>
        <w:rPr>
          <w:rFonts w:ascii="宋体" w:hAnsi="宋体" w:cs="宋体" w:eastAsia="宋体" w:hint="default"/>
          <w:sz w:val="20"/>
          <w:szCs w:val="20"/>
        </w:rPr>
      </w:pPr>
      <w:bookmarkStart w:name="23、生产性生物资产" w:id="291"/>
      <w:bookmarkEnd w:id="291"/>
      <w:r>
        <w:rPr/>
      </w:r>
      <w:r>
        <w:rPr>
          <w:rFonts w:ascii="宋体" w:hAnsi="宋体" w:cs="宋体" w:eastAsia="宋体" w:hint="default"/>
          <w:b/>
          <w:bCs/>
          <w:sz w:val="20"/>
          <w:szCs w:val="20"/>
        </w:rPr>
        <w:t>23</w:t>
      </w:r>
      <w:r>
        <w:rPr>
          <w:rFonts w:ascii="宋体" w:hAnsi="宋体" w:cs="宋体" w:eastAsia="宋体" w:hint="default"/>
          <w:b/>
          <w:bCs/>
          <w:sz w:val="20"/>
          <w:szCs w:val="20"/>
        </w:rPr>
        <w:t>、生产性生物资产</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3" w:right="0" w:firstLine="0"/>
        <w:jc w:val="left"/>
        <w:rPr>
          <w:rFonts w:ascii="宋体" w:hAnsi="宋体" w:cs="宋体" w:eastAsia="宋体" w:hint="default"/>
          <w:sz w:val="20"/>
          <w:szCs w:val="20"/>
        </w:rPr>
      </w:pPr>
      <w:bookmarkStart w:name="（1）采用成本计量模式的生产性生物资产" w:id="292"/>
      <w:bookmarkEnd w:id="292"/>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）采用成本计量模式的生产性生物资产</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7"/>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采用公允价值计量模式的生产性生物资产" w:id="293"/>
      <w:bookmarkEnd w:id="293"/>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）采用公允价值计量模式的生产性生物资产</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4、油气资产" w:id="294"/>
      <w:bookmarkEnd w:id="294"/>
      <w:r>
        <w:rPr/>
      </w:r>
      <w:r>
        <w:rPr>
          <w:rFonts w:ascii="宋体" w:hAnsi="宋体" w:cs="宋体" w:eastAsia="宋体" w:hint="default"/>
          <w:b/>
          <w:bCs/>
          <w:sz w:val="20"/>
          <w:szCs w:val="20"/>
        </w:rPr>
        <w:t>24</w:t>
      </w:r>
      <w:r>
        <w:rPr>
          <w:rFonts w:ascii="宋体" w:hAnsi="宋体" w:cs="宋体" w:eastAsia="宋体" w:hint="default"/>
          <w:b/>
          <w:bCs/>
          <w:sz w:val="20"/>
          <w:szCs w:val="20"/>
        </w:rPr>
        <w:t>、油气资产</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5、无形资产" w:id="295"/>
      <w:bookmarkEnd w:id="295"/>
      <w:r>
        <w:rPr/>
      </w:r>
      <w:r>
        <w:rPr>
          <w:rFonts w:ascii="宋体" w:hAnsi="宋体" w:cs="宋体" w:eastAsia="宋体" w:hint="default"/>
          <w:b/>
          <w:bCs/>
          <w:sz w:val="20"/>
          <w:szCs w:val="20"/>
        </w:rPr>
        <w:t>25</w:t>
      </w:r>
      <w:r>
        <w:rPr>
          <w:rFonts w:ascii="宋体" w:hAnsi="宋体" w:cs="宋体" w:eastAsia="宋体" w:hint="default"/>
          <w:b/>
          <w:bCs/>
          <w:sz w:val="20"/>
          <w:szCs w:val="20"/>
        </w:rPr>
        <w:t>、无形资产</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无形资产情况" w:id="296"/>
      <w:bookmarkEnd w:id="296"/>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）无形资产情况</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1827"/>
        <w:gridCol w:w="1356"/>
        <w:gridCol w:w="1594"/>
        <w:gridCol w:w="1594"/>
        <w:gridCol w:w="1595"/>
        <w:gridCol w:w="1593"/>
      </w:tblGrid>
      <w:tr>
        <w:trPr>
          <w:trHeight w:val="413" w:hRule="exact"/>
        </w:trPr>
        <w:tc>
          <w:tcPr>
            <w:tcW w:w="182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35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1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12" w:space="0" w:color="000000"/>
              <w:left w:val="single" w:sz="6" w:space="0" w:color="000000"/>
              <w:bottom w:val="single" w:sz="6" w:space="0" w:color="000000"/>
              <w:right w:val="single" w:sz="9" w:space="0" w:color="D9D9D9"/>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12" w:space="0" w:color="000000"/>
              <w:left w:val="single" w:sz="9" w:space="0" w:color="D2D2D2"/>
              <w:bottom w:val="single" w:sz="6" w:space="0" w:color="000000"/>
              <w:right w:val="single" w:sz="6"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59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56" w:type="dxa"/>
            <w:tcBorders>
              <w:top w:val="single" w:sz="6" w:space="0" w:color="000000"/>
              <w:left w:val="single" w:sz="9" w:space="0" w:color="D2D2D2"/>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5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73,091,918.76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70,991,922.81</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849,127.34</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144,932,968.91</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56" w:type="dxa"/>
            <w:tcBorders>
              <w:top w:val="single" w:sz="6" w:space="0" w:color="000000"/>
              <w:left w:val="single" w:sz="9" w:space="0" w:color="D2D2D2"/>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532,081.98</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532,081.98</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356" w:type="dxa"/>
            <w:tcBorders>
              <w:top w:val="single" w:sz="6" w:space="0" w:color="000000"/>
              <w:left w:val="single" w:sz="9" w:space="0" w:color="D2D2D2"/>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83,015.38</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83,015.38</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）内部研发</w:t>
            </w:r>
          </w:p>
        </w:tc>
        <w:tc>
          <w:tcPr>
            <w:tcW w:w="1356" w:type="dxa"/>
            <w:tcBorders>
              <w:top w:val="single" w:sz="6" w:space="0" w:color="000000"/>
              <w:left w:val="single" w:sz="9" w:space="0" w:color="D2D2D2"/>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356" w:type="dxa"/>
            <w:tcBorders>
              <w:top w:val="single" w:sz="6" w:space="0" w:color="000000"/>
              <w:left w:val="single" w:sz="9" w:space="0" w:color="D2D2D2"/>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449,066.60</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449,066.60</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8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56" w:type="dxa"/>
            <w:tcBorders>
              <w:top w:val="single" w:sz="6" w:space="0" w:color="000000"/>
              <w:left w:val="single" w:sz="9" w:space="0" w:color="D2D2D2"/>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56" w:type="dxa"/>
            <w:tcBorders>
              <w:top w:val="single" w:sz="6" w:space="0" w:color="000000"/>
              <w:left w:val="single" w:sz="9" w:space="0" w:color="D2D2D2"/>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5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73,091,918.76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70,991,922.81</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1,381,209.32</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145,465,050.89</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56" w:type="dxa"/>
            <w:tcBorders>
              <w:top w:val="single" w:sz="6" w:space="0" w:color="000000"/>
              <w:left w:val="single" w:sz="9" w:space="0" w:color="D2D2D2"/>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5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3,144,241.13</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4,595,241.03</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418,548.71</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8,158,030.87</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5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1,476,875.40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4,084,464.49</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389,334.08</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5,950,673.97</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5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1,476,875.40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4,084,464.49</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139,324.77</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5,700,664.66</w:t>
            </w:r>
          </w:p>
        </w:tc>
      </w:tr>
      <w:tr>
        <w:trPr>
          <w:trHeight w:val="408" w:hRule="exact"/>
        </w:trPr>
        <w:tc>
          <w:tcPr>
            <w:tcW w:w="1827"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356"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250,009.31</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250,009.31</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56"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56"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4,621,116.53</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8,679,705.52</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807,882.79</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14,108,704.84</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56"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56"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56"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82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56" w:type="dxa"/>
            <w:tcBorders>
              <w:top w:val="single" w:sz="6" w:space="0" w:color="000000"/>
              <w:left w:val="single" w:sz="6" w:space="0" w:color="000000"/>
              <w:bottom w:val="single" w:sz="12" w:space="0" w:color="000000"/>
              <w:right w:val="single" w:sz="6" w:space="0" w:color="000000"/>
            </w:tcBorders>
          </w:tcPr>
          <w:p>
            <w:pPr/>
          </w:p>
        </w:tc>
        <w:tc>
          <w:tcPr>
            <w:tcW w:w="1594" w:type="dxa"/>
            <w:tcBorders>
              <w:top w:val="single" w:sz="6" w:space="0" w:color="000000"/>
              <w:left w:val="single" w:sz="6" w:space="0" w:color="000000"/>
              <w:bottom w:val="single" w:sz="12" w:space="0" w:color="000000"/>
              <w:right w:val="single" w:sz="6" w:space="0" w:color="000000"/>
            </w:tcBorders>
          </w:tcPr>
          <w:p>
            <w:pPr/>
          </w:p>
        </w:tc>
        <w:tc>
          <w:tcPr>
            <w:tcW w:w="1594" w:type="dxa"/>
            <w:tcBorders>
              <w:top w:val="single" w:sz="6" w:space="0" w:color="000000"/>
              <w:left w:val="single" w:sz="6" w:space="0" w:color="000000"/>
              <w:bottom w:val="single" w:sz="12" w:space="0" w:color="000000"/>
              <w:right w:val="single" w:sz="6" w:space="0" w:color="000000"/>
            </w:tcBorders>
          </w:tcPr>
          <w:p>
            <w:pPr/>
          </w:p>
        </w:tc>
        <w:tc>
          <w:tcPr>
            <w:tcW w:w="1595" w:type="dxa"/>
            <w:tcBorders>
              <w:top w:val="single" w:sz="6" w:space="0" w:color="000000"/>
              <w:left w:val="single" w:sz="6" w:space="0" w:color="000000"/>
              <w:bottom w:val="single" w:sz="12" w:space="0" w:color="000000"/>
              <w:right w:val="single" w:sz="6" w:space="0" w:color="000000"/>
            </w:tcBorders>
          </w:tcPr>
          <w:p>
            <w:pPr/>
          </w:p>
        </w:tc>
        <w:tc>
          <w:tcPr>
            <w:tcW w:w="1593"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1844"/>
        <w:gridCol w:w="1345"/>
        <w:gridCol w:w="1594"/>
        <w:gridCol w:w="1594"/>
        <w:gridCol w:w="1595"/>
        <w:gridCol w:w="1593"/>
      </w:tblGrid>
      <w:tr>
        <w:trPr>
          <w:trHeight w:val="415" w:hRule="exact"/>
        </w:trPr>
        <w:tc>
          <w:tcPr>
            <w:tcW w:w="184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45" w:type="dxa"/>
            <w:tcBorders>
              <w:top w:val="single" w:sz="12" w:space="0" w:color="000000"/>
              <w:left w:val="single" w:sz="6" w:space="0" w:color="000000"/>
              <w:bottom w:val="single" w:sz="6" w:space="0" w:color="000000"/>
              <w:right w:val="single" w:sz="6" w:space="0" w:color="000000"/>
            </w:tcBorders>
          </w:tcPr>
          <w:p>
            <w:pPr/>
          </w:p>
        </w:tc>
        <w:tc>
          <w:tcPr>
            <w:tcW w:w="1594" w:type="dxa"/>
            <w:tcBorders>
              <w:top w:val="single" w:sz="12" w:space="0" w:color="000000"/>
              <w:left w:val="single" w:sz="6" w:space="0" w:color="000000"/>
              <w:bottom w:val="single" w:sz="6" w:space="0" w:color="000000"/>
              <w:right w:val="single" w:sz="6" w:space="0" w:color="000000"/>
            </w:tcBorders>
          </w:tcPr>
          <w:p>
            <w:pPr/>
          </w:p>
        </w:tc>
        <w:tc>
          <w:tcPr>
            <w:tcW w:w="1594" w:type="dxa"/>
            <w:tcBorders>
              <w:top w:val="single" w:sz="12" w:space="0" w:color="000000"/>
              <w:left w:val="single" w:sz="6" w:space="0" w:color="000000"/>
              <w:bottom w:val="single" w:sz="6" w:space="0" w:color="000000"/>
              <w:right w:val="single" w:sz="6" w:space="0" w:color="000000"/>
            </w:tcBorders>
          </w:tcPr>
          <w:p>
            <w:pPr/>
          </w:p>
        </w:tc>
        <w:tc>
          <w:tcPr>
            <w:tcW w:w="1595" w:type="dxa"/>
            <w:tcBorders>
              <w:top w:val="single" w:sz="12" w:space="0" w:color="000000"/>
              <w:left w:val="single" w:sz="6" w:space="0" w:color="000000"/>
              <w:bottom w:val="single" w:sz="6" w:space="0" w:color="000000"/>
              <w:right w:val="single" w:sz="6" w:space="0" w:color="000000"/>
            </w:tcBorders>
          </w:tcPr>
          <w:p>
            <w:pPr/>
          </w:p>
        </w:tc>
        <w:tc>
          <w:tcPr>
            <w:tcW w:w="1593" w:type="dxa"/>
            <w:tcBorders>
              <w:top w:val="single" w:sz="12" w:space="0" w:color="000000"/>
              <w:left w:val="single" w:sz="6" w:space="0" w:color="000000"/>
              <w:bottom w:val="single" w:sz="6" w:space="0" w:color="000000"/>
              <w:right w:val="single" w:sz="12" w:space="0" w:color="000000"/>
            </w:tcBorders>
          </w:tcPr>
          <w:p>
            <w:pP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4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4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4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18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68,470,802.23</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62,312,217.29</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573,326.53</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131,356,346.05</w:t>
            </w:r>
          </w:p>
        </w:tc>
      </w:tr>
      <w:tr>
        <w:trPr>
          <w:trHeight w:val="415" w:hRule="exact"/>
        </w:trPr>
        <w:tc>
          <w:tcPr>
            <w:tcW w:w="184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186"/>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3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69,947,677.63</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66,396,681.78</w:t>
            </w:r>
          </w:p>
        </w:tc>
        <w:tc>
          <w:tcPr>
            <w:tcW w:w="1594" w:type="dxa"/>
            <w:tcBorders>
              <w:top w:val="single" w:sz="6" w:space="0" w:color="000000"/>
              <w:left w:val="single" w:sz="6" w:space="0" w:color="000000"/>
              <w:bottom w:val="single" w:sz="12" w:space="0" w:color="000000"/>
              <w:right w:val="single" w:sz="6" w:space="0" w:color="000000"/>
            </w:tcBorders>
          </w:tcPr>
          <w:p>
            <w:pPr/>
          </w:p>
        </w:tc>
        <w:tc>
          <w:tcPr>
            <w:tcW w:w="15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430,578.63</w:t>
            </w:r>
          </w:p>
        </w:tc>
        <w:tc>
          <w:tcPr>
            <w:tcW w:w="1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136,774,938.04</w:t>
            </w:r>
          </w:p>
        </w:tc>
      </w:tr>
    </w:tbl>
    <w:p>
      <w:pPr>
        <w:pStyle w:val="BodyText"/>
        <w:spacing w:line="240" w:lineRule="auto" w:before="63"/>
        <w:ind w:left="1134" w:right="0"/>
        <w:jc w:val="left"/>
      </w:pPr>
      <w:r>
        <w:rPr/>
        <w:t>本期末通过公司内部研发形成的无形资产占无形资产余额的比例</w:t>
      </w:r>
      <w:r>
        <w:rPr>
          <w:spacing w:val="-53"/>
        </w:rPr>
        <w:t> </w:t>
      </w:r>
      <w:r>
        <w:rPr>
          <w:rFonts w:ascii="宋体" w:hAnsi="宋体" w:cs="宋体" w:eastAsia="宋体" w:hint="default"/>
        </w:rPr>
        <w:t>0.00%</w:t>
      </w:r>
      <w:r>
        <w:rPr/>
        <w:t>。</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未办妥产权证书的土地使用权情况" w:id="297"/>
      <w:bookmarkEnd w:id="297"/>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）未办妥产权证书的土地使用权情况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6、开发支出" w:id="298"/>
      <w:bookmarkEnd w:id="298"/>
      <w:r>
        <w:rPr/>
      </w:r>
      <w:r>
        <w:rPr>
          <w:rFonts w:ascii="宋体" w:hAnsi="宋体" w:cs="宋体" w:eastAsia="宋体" w:hint="default"/>
          <w:b/>
          <w:bCs/>
          <w:sz w:val="20"/>
          <w:szCs w:val="20"/>
        </w:rPr>
        <w:t>26</w:t>
      </w:r>
      <w:r>
        <w:rPr>
          <w:rFonts w:ascii="宋体" w:hAnsi="宋体" w:cs="宋体" w:eastAsia="宋体" w:hint="default"/>
          <w:b/>
          <w:bCs/>
          <w:sz w:val="20"/>
          <w:szCs w:val="20"/>
        </w:rPr>
        <w:t>、开发支出</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7、商誉" w:id="299"/>
      <w:bookmarkEnd w:id="299"/>
      <w:r>
        <w:rPr/>
      </w:r>
      <w:r>
        <w:rPr>
          <w:rFonts w:ascii="宋体" w:hAnsi="宋体" w:cs="宋体" w:eastAsia="宋体" w:hint="default"/>
          <w:b/>
          <w:bCs/>
          <w:sz w:val="20"/>
          <w:szCs w:val="20"/>
        </w:rPr>
        <w:t>27</w:t>
      </w:r>
      <w:r>
        <w:rPr>
          <w:rFonts w:ascii="宋体" w:hAnsi="宋体" w:cs="宋体" w:eastAsia="宋体" w:hint="default"/>
          <w:b/>
          <w:bCs/>
          <w:sz w:val="20"/>
          <w:szCs w:val="20"/>
        </w:rPr>
        <w:t>、商誉</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商誉账面原值" w:id="300"/>
      <w:bookmarkEnd w:id="300"/>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）商誉账面原值</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1976"/>
        <w:gridCol w:w="1427"/>
        <w:gridCol w:w="1419"/>
        <w:gridCol w:w="991"/>
        <w:gridCol w:w="1277"/>
        <w:gridCol w:w="1114"/>
        <w:gridCol w:w="1366"/>
      </w:tblGrid>
      <w:tr>
        <w:trPr>
          <w:trHeight w:val="727" w:hRule="exact"/>
        </w:trPr>
        <w:tc>
          <w:tcPr>
            <w:tcW w:w="197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316" w:lineRule="auto" w:before="51"/>
              <w:ind w:left="527" w:right="74" w:hanging="451"/>
              <w:jc w:val="left"/>
              <w:rPr>
                <w:rFonts w:ascii="宋体" w:hAnsi="宋体" w:cs="宋体" w:eastAsia="宋体" w:hint="default"/>
                <w:sz w:val="18"/>
                <w:szCs w:val="18"/>
              </w:rPr>
            </w:pPr>
            <w:r>
              <w:rPr>
                <w:rFonts w:ascii="宋体" w:hAnsi="宋体" w:cs="宋体" w:eastAsia="宋体" w:hint="default"/>
                <w:sz w:val="18"/>
                <w:szCs w:val="18"/>
              </w:rPr>
              <w:t>被投资单位名称或形成 商誉的事项</w:t>
            </w:r>
          </w:p>
        </w:tc>
        <w:tc>
          <w:tcPr>
            <w:tcW w:w="1427" w:type="dxa"/>
            <w:tcBorders>
              <w:top w:val="single" w:sz="12" w:space="0" w:color="000000"/>
              <w:left w:val="single" w:sz="8" w:space="0" w:color="D9D9D9"/>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10"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391"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9" w:hRule="exact"/>
        </w:trPr>
        <w:tc>
          <w:tcPr>
            <w:tcW w:w="197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9" w:lineRule="auto" w:before="51"/>
              <w:ind w:left="13" w:right="138"/>
              <w:jc w:val="left"/>
              <w:rPr>
                <w:rFonts w:ascii="宋体" w:hAnsi="宋体" w:cs="宋体" w:eastAsia="宋体" w:hint="default"/>
                <w:sz w:val="18"/>
                <w:szCs w:val="18"/>
              </w:rPr>
            </w:pPr>
            <w:r>
              <w:rPr>
                <w:rFonts w:ascii="宋体" w:hAnsi="宋体" w:cs="宋体" w:eastAsia="宋体" w:hint="default"/>
                <w:sz w:val="18"/>
                <w:szCs w:val="18"/>
              </w:rPr>
              <w:t>南京云商天下信息技术 有限公司</w:t>
            </w:r>
          </w:p>
        </w:tc>
        <w:tc>
          <w:tcPr>
            <w:tcW w:w="1427"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3,828,073.75</w:t>
            </w: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3,828,073.75</w:t>
            </w:r>
          </w:p>
        </w:tc>
      </w:tr>
      <w:tr>
        <w:trPr>
          <w:trHeight w:val="407" w:hRule="exact"/>
        </w:trPr>
        <w:tc>
          <w:tcPr>
            <w:tcW w:w="197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427" w:type="dxa"/>
            <w:tcBorders>
              <w:top w:val="single" w:sz="6" w:space="0" w:color="000000"/>
              <w:left w:val="single" w:sz="8" w:space="0" w:color="D9D9D9"/>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319,477,893.35</w:t>
            </w: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319,477,893.35</w:t>
            </w:r>
          </w:p>
        </w:tc>
      </w:tr>
      <w:tr>
        <w:trPr>
          <w:trHeight w:val="719" w:hRule="exact"/>
        </w:trPr>
        <w:tc>
          <w:tcPr>
            <w:tcW w:w="197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6" w:lineRule="auto" w:before="52"/>
              <w:ind w:left="13" w:right="138"/>
              <w:jc w:val="left"/>
              <w:rPr>
                <w:rFonts w:ascii="宋体" w:hAnsi="宋体" w:cs="宋体" w:eastAsia="宋体" w:hint="default"/>
                <w:sz w:val="18"/>
                <w:szCs w:val="18"/>
              </w:rPr>
            </w:pPr>
            <w:r>
              <w:rPr>
                <w:rFonts w:ascii="宋体" w:hAnsi="宋体" w:cs="宋体" w:eastAsia="宋体" w:hint="default"/>
                <w:sz w:val="18"/>
                <w:szCs w:val="18"/>
              </w:rPr>
              <w:t>江苏德能电气工程有限 公司</w:t>
            </w:r>
          </w:p>
        </w:tc>
        <w:tc>
          <w:tcPr>
            <w:tcW w:w="1427" w:type="dxa"/>
            <w:tcBorders>
              <w:top w:val="single" w:sz="6" w:space="0" w:color="000000"/>
              <w:left w:val="single" w:sz="8" w:space="0" w:color="D9D9D9"/>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8,390,274.09</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8,390,274.09</w:t>
            </w:r>
          </w:p>
        </w:tc>
      </w:tr>
      <w:tr>
        <w:trPr>
          <w:trHeight w:val="719" w:hRule="exact"/>
        </w:trPr>
        <w:tc>
          <w:tcPr>
            <w:tcW w:w="1976"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6" w:lineRule="auto" w:before="52"/>
              <w:ind w:left="13" w:right="138"/>
              <w:jc w:val="left"/>
              <w:rPr>
                <w:rFonts w:ascii="宋体" w:hAnsi="宋体" w:cs="宋体" w:eastAsia="宋体" w:hint="default"/>
                <w:sz w:val="18"/>
                <w:szCs w:val="18"/>
              </w:rPr>
            </w:pPr>
            <w:r>
              <w:rPr>
                <w:rFonts w:ascii="宋体" w:hAnsi="宋体" w:cs="宋体" w:eastAsia="宋体" w:hint="default"/>
                <w:sz w:val="18"/>
                <w:szCs w:val="18"/>
              </w:rPr>
              <w:t>江苏德能电力设计咨询 有限公司</w:t>
            </w:r>
          </w:p>
        </w:tc>
        <w:tc>
          <w:tcPr>
            <w:tcW w:w="1427" w:type="dxa"/>
            <w:tcBorders>
              <w:top w:val="single" w:sz="6" w:space="0" w:color="000000"/>
              <w:left w:val="single" w:sz="8" w:space="0" w:color="D9D9D9"/>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24,652,381.50</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24,652,381.50</w:t>
            </w:r>
          </w:p>
        </w:tc>
      </w:tr>
      <w:tr>
        <w:trPr>
          <w:trHeight w:val="416" w:hRule="exact"/>
        </w:trPr>
        <w:tc>
          <w:tcPr>
            <w:tcW w:w="1976"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7" w:type="dxa"/>
            <w:tcBorders>
              <w:top w:val="single" w:sz="6" w:space="0" w:color="000000"/>
              <w:left w:val="single" w:sz="8" w:space="0" w:color="D9D9D9"/>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323,305,967.10</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33,042,655.59</w:t>
            </w:r>
          </w:p>
        </w:tc>
        <w:tc>
          <w:tcPr>
            <w:tcW w:w="991"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
        </w:tc>
        <w:tc>
          <w:tcPr>
            <w:tcW w:w="1114"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356,348,622.69</w:t>
            </w:r>
          </w:p>
        </w:tc>
      </w:tr>
    </w:tbl>
    <w:p>
      <w:pPr>
        <w:spacing w:before="72"/>
        <w:ind w:left="1134" w:right="0" w:firstLine="0"/>
        <w:jc w:val="left"/>
        <w:rPr>
          <w:rFonts w:ascii="宋体" w:hAnsi="宋体" w:cs="宋体" w:eastAsia="宋体" w:hint="default"/>
          <w:sz w:val="20"/>
          <w:szCs w:val="20"/>
        </w:rPr>
      </w:pPr>
      <w:bookmarkStart w:name="（2）商誉减值准备" w:id="301"/>
      <w:bookmarkEnd w:id="301"/>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）商誉减值准备</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134" w:right="5292"/>
        <w:jc w:val="left"/>
      </w:pPr>
      <w:r>
        <w:rPr/>
        <w:t>□ 适用 √</w:t>
      </w:r>
      <w:r>
        <w:rPr>
          <w:spacing w:val="-1"/>
        </w:rPr>
        <w:t> </w:t>
      </w:r>
      <w:r>
        <w:rPr/>
        <w:t>不适用</w:t>
      </w:r>
      <w:r>
        <w:rPr/>
        <w:t> 说明商誉减值测试过程、参数及商誉减值损失的确认方法：</w:t>
      </w:r>
    </w:p>
    <w:p>
      <w:pPr>
        <w:pStyle w:val="BodyText"/>
        <w:spacing w:line="408" w:lineRule="auto" w:before="46"/>
        <w:ind w:right="2143" w:firstLine="420"/>
        <w:jc w:val="left"/>
      </w:pPr>
      <w:r>
        <w:rPr/>
        <w:t>本报告期，本公司评估了商誉是否减值。经测试，确定上述四家单位的商誉未发生减值。 其他说明</w:t>
      </w:r>
    </w:p>
    <w:p>
      <w:pPr>
        <w:pStyle w:val="BodyText"/>
        <w:spacing w:line="408" w:lineRule="auto" w:before="46"/>
        <w:ind w:right="1132" w:firstLine="420"/>
        <w:jc w:val="both"/>
      </w:pPr>
      <w:r>
        <w:rPr/>
        <w:t>商誉年末数比年初数增加</w:t>
      </w:r>
      <w:r>
        <w:rPr>
          <w:rFonts w:ascii="宋体" w:hAnsi="宋体" w:cs="宋体" w:eastAsia="宋体" w:hint="default"/>
        </w:rPr>
        <w:t>33,042,655.59</w:t>
      </w:r>
      <w:r>
        <w:rPr/>
        <w:t>元，增加比例为</w:t>
      </w:r>
      <w:r>
        <w:rPr>
          <w:rFonts w:ascii="宋体" w:hAnsi="宋体" w:cs="宋体" w:eastAsia="宋体" w:hint="default"/>
        </w:rPr>
        <w:t>10.22%</w:t>
      </w:r>
      <w:r>
        <w:rPr/>
        <w:t>，增加的原因为本公司本年收购江苏 </w:t>
      </w:r>
      <w:r>
        <w:rPr>
          <w:spacing w:val="-1"/>
        </w:rPr>
        <w:t>德能电气工程有限公司</w:t>
      </w:r>
      <w:r>
        <w:rPr>
          <w:rFonts w:ascii="宋体" w:hAnsi="宋体" w:cs="宋体" w:eastAsia="宋体" w:hint="default"/>
          <w:spacing w:val="-1"/>
        </w:rPr>
        <w:t>100%</w:t>
      </w:r>
      <w:r>
        <w:rPr>
          <w:spacing w:val="-1"/>
        </w:rPr>
        <w:t>的股权、江苏德能电力设计咨询有限公司</w:t>
      </w:r>
      <w:r>
        <w:rPr>
          <w:rFonts w:ascii="宋体" w:hAnsi="宋体" w:cs="宋体" w:eastAsia="宋体" w:hint="default"/>
          <w:spacing w:val="-1"/>
        </w:rPr>
        <w:t>100%</w:t>
      </w:r>
      <w:r>
        <w:rPr>
          <w:spacing w:val="-1"/>
        </w:rPr>
        <w:t>的股权，投资成本超过所占对方</w:t>
      </w:r>
      <w:r>
        <w:rPr>
          <w:spacing w:val="-79"/>
        </w:rPr>
        <w:t> </w:t>
      </w:r>
      <w:r>
        <w:rPr>
          <w:spacing w:val="-79"/>
        </w:rPr>
      </w:r>
      <w:r>
        <w:rPr/>
        <w:t>净资产份额的部分形成商誉。</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3" w:right="0" w:firstLine="0"/>
        <w:jc w:val="left"/>
        <w:rPr>
          <w:rFonts w:ascii="宋体" w:hAnsi="宋体" w:cs="宋体" w:eastAsia="宋体" w:hint="default"/>
          <w:sz w:val="20"/>
          <w:szCs w:val="20"/>
        </w:rPr>
      </w:pPr>
      <w:bookmarkStart w:name="28、长期待摊费用" w:id="302"/>
      <w:bookmarkEnd w:id="302"/>
      <w:r>
        <w:rPr/>
      </w:r>
      <w:r>
        <w:rPr>
          <w:rFonts w:ascii="宋体" w:hAnsi="宋体" w:cs="宋体" w:eastAsia="宋体" w:hint="default"/>
          <w:b/>
          <w:bCs/>
          <w:sz w:val="20"/>
          <w:szCs w:val="20"/>
        </w:rPr>
        <w:t>28</w:t>
      </w:r>
      <w:r>
        <w:rPr>
          <w:rFonts w:ascii="宋体" w:hAnsi="宋体" w:cs="宋体" w:eastAsia="宋体" w:hint="default"/>
          <w:b/>
          <w:bCs/>
          <w:sz w:val="20"/>
          <w:szCs w:val="20"/>
        </w:rPr>
        <w:t>、长期待摊费用</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1595"/>
        <w:gridCol w:w="1596"/>
        <w:gridCol w:w="1595"/>
        <w:gridCol w:w="1594"/>
        <w:gridCol w:w="1594"/>
        <w:gridCol w:w="1594"/>
      </w:tblGrid>
      <w:tr>
        <w:trPr>
          <w:trHeight w:val="334" w:hRule="exact"/>
        </w:trPr>
        <w:tc>
          <w:tcPr>
            <w:tcW w:w="15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4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left="4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7" w:hRule="exact"/>
        </w:trPr>
        <w:tc>
          <w:tcPr>
            <w:tcW w:w="1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北京办事处装修</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sz w:val="18"/>
              </w:rPr>
              <w:t>513,541.67</w:t>
            </w:r>
          </w:p>
        </w:tc>
        <w:tc>
          <w:tcPr>
            <w:tcW w:w="159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sz w:val="18"/>
              </w:rPr>
              <w:t>513,541.67</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0.00</w:t>
            </w:r>
          </w:p>
        </w:tc>
      </w:tr>
      <w:tr>
        <w:trPr>
          <w:trHeight w:val="335" w:hRule="exact"/>
        </w:trPr>
        <w:tc>
          <w:tcPr>
            <w:tcW w:w="15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sz w:val="18"/>
              </w:rPr>
              <w:t>513,541.67</w:t>
            </w:r>
          </w:p>
        </w:tc>
        <w:tc>
          <w:tcPr>
            <w:tcW w:w="1595" w:type="dxa"/>
            <w:tcBorders>
              <w:top w:val="single" w:sz="6" w:space="0" w:color="000000"/>
              <w:left w:val="single" w:sz="6" w:space="0" w:color="000000"/>
              <w:bottom w:val="single" w:sz="12" w:space="0" w:color="000000"/>
              <w:right w:val="single" w:sz="6" w:space="0" w:color="000000"/>
            </w:tcBorders>
          </w:tcPr>
          <w:p>
            <w:pP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sz w:val="18"/>
              </w:rPr>
              <w:t>513,541.67</w:t>
            </w:r>
          </w:p>
        </w:tc>
        <w:tc>
          <w:tcPr>
            <w:tcW w:w="1594" w:type="dxa"/>
            <w:tcBorders>
              <w:top w:val="single" w:sz="6" w:space="0" w:color="000000"/>
              <w:left w:val="single" w:sz="6" w:space="0" w:color="000000"/>
              <w:bottom w:val="single" w:sz="12" w:space="0" w:color="000000"/>
              <w:right w:val="single" w:sz="6" w:space="0" w:color="000000"/>
            </w:tcBorders>
          </w:tcPr>
          <w:p>
            <w:pPr/>
          </w:p>
        </w:tc>
        <w:tc>
          <w:tcPr>
            <w:tcW w:w="1594"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40" w:lineRule="auto" w:before="63"/>
        <w:ind w:left="1134" w:right="0"/>
        <w:jc w:val="left"/>
      </w:pPr>
      <w:r>
        <w:rPr/>
        <w:t>其他说明</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spacing w:val="-1"/>
        </w:rPr>
        <w:t>长期待摊费用本期减少</w:t>
      </w:r>
      <w:r>
        <w:rPr>
          <w:rFonts w:ascii="宋体" w:hAnsi="宋体" w:cs="宋体" w:eastAsia="宋体" w:hint="default"/>
          <w:spacing w:val="-1"/>
        </w:rPr>
        <w:t>513,541.67</w:t>
      </w:r>
      <w:r>
        <w:rPr>
          <w:spacing w:val="-1"/>
        </w:rPr>
        <w:t>元，减少</w:t>
      </w:r>
      <w:r>
        <w:rPr>
          <w:rFonts w:ascii="宋体" w:hAnsi="宋体" w:cs="宋体" w:eastAsia="宋体" w:hint="default"/>
          <w:spacing w:val="-1"/>
        </w:rPr>
        <w:t>100%</w:t>
      </w:r>
      <w:r>
        <w:rPr>
          <w:spacing w:val="-1"/>
        </w:rPr>
        <w:t>。因本期北京办事处撤销，期初余留尚待摊销的装修</w:t>
      </w:r>
      <w:r>
        <w:rPr/>
        <w:t> 费用本期一次性摊入费用所致。</w:t>
      </w:r>
    </w:p>
    <w:p>
      <w:pPr>
        <w:spacing w:before="55"/>
        <w:ind w:left="1133" w:right="0" w:firstLine="0"/>
        <w:jc w:val="left"/>
        <w:rPr>
          <w:rFonts w:ascii="宋体" w:hAnsi="宋体" w:cs="宋体" w:eastAsia="宋体" w:hint="default"/>
          <w:sz w:val="20"/>
          <w:szCs w:val="20"/>
        </w:rPr>
      </w:pPr>
      <w:bookmarkStart w:name="29、递延所得税资产/递延所得税负债" w:id="303"/>
      <w:bookmarkEnd w:id="303"/>
      <w:r>
        <w:rPr/>
      </w:r>
      <w:r>
        <w:rPr>
          <w:rFonts w:ascii="宋体" w:hAnsi="宋体" w:cs="宋体" w:eastAsia="宋体" w:hint="default"/>
          <w:b/>
          <w:bCs/>
          <w:sz w:val="20"/>
          <w:szCs w:val="20"/>
        </w:rPr>
        <w:t>29</w:t>
      </w:r>
      <w:r>
        <w:rPr>
          <w:rFonts w:ascii="宋体" w:hAnsi="宋体" w:cs="宋体" w:eastAsia="宋体" w:hint="default"/>
          <w:b/>
          <w:bCs/>
          <w:sz w:val="20"/>
          <w:szCs w:val="20"/>
        </w:rPr>
        <w:t>、递延所得税资产</w:t>
      </w:r>
      <w:r>
        <w:rPr>
          <w:rFonts w:ascii="宋体" w:hAnsi="宋体" w:cs="宋体" w:eastAsia="宋体" w:hint="default"/>
          <w:b/>
          <w:bCs/>
          <w:sz w:val="20"/>
          <w:szCs w:val="20"/>
        </w:rPr>
        <w:t>/</w:t>
      </w:r>
      <w:r>
        <w:rPr>
          <w:rFonts w:ascii="宋体" w:hAnsi="宋体" w:cs="宋体" w:eastAsia="宋体" w:hint="default"/>
          <w:b/>
          <w:bCs/>
          <w:sz w:val="20"/>
          <w:szCs w:val="20"/>
        </w:rPr>
        <w:t>递延所得税负债</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3" w:right="0" w:firstLine="0"/>
        <w:jc w:val="left"/>
        <w:rPr>
          <w:rFonts w:ascii="宋体" w:hAnsi="宋体" w:cs="宋体" w:eastAsia="宋体" w:hint="default"/>
          <w:sz w:val="20"/>
          <w:szCs w:val="20"/>
        </w:rPr>
      </w:pPr>
      <w:bookmarkStart w:name="（1）未经抵销的递延所得税资产" w:id="304"/>
      <w:bookmarkEnd w:id="304"/>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）未经抵销的递延所得税资产</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1896"/>
        <w:gridCol w:w="1927"/>
        <w:gridCol w:w="1914"/>
        <w:gridCol w:w="1914"/>
        <w:gridCol w:w="1913"/>
      </w:tblGrid>
      <w:tr>
        <w:trPr>
          <w:trHeight w:val="219" w:hRule="exact"/>
        </w:trPr>
        <w:tc>
          <w:tcPr>
            <w:tcW w:w="1896"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841" w:type="dxa"/>
            <w:gridSpan w:val="2"/>
            <w:vMerge w:val="restart"/>
            <w:tcBorders>
              <w:top w:val="single" w:sz="12" w:space="0" w:color="000000"/>
              <w:left w:val="single" w:sz="6" w:space="0" w:color="000000"/>
              <w:right w:val="single" w:sz="6" w:space="0" w:color="FFFFFF"/>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12" w:space="0" w:color="000000"/>
              <w:left w:val="single" w:sz="6" w:space="0" w:color="FFFFFF"/>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96"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841" w:type="dxa"/>
            <w:gridSpan w:val="2"/>
            <w:vMerge/>
            <w:tcBorders>
              <w:left w:val="single" w:sz="6" w:space="0" w:color="000000"/>
              <w:bottom w:val="single" w:sz="6" w:space="0" w:color="000000"/>
              <w:right w:val="single" w:sz="6" w:space="0" w:color="FFFFFF"/>
            </w:tcBorders>
            <w:shd w:val="clear" w:color="auto" w:fill="D2D2D2"/>
          </w:tcPr>
          <w:p>
            <w:pPr/>
          </w:p>
        </w:tc>
        <w:tc>
          <w:tcPr>
            <w:tcW w:w="3828" w:type="dxa"/>
            <w:gridSpan w:val="2"/>
            <w:vMerge/>
            <w:tcBorders>
              <w:left w:val="single" w:sz="6" w:space="0" w:color="FFFFFF"/>
              <w:bottom w:val="single" w:sz="6" w:space="0" w:color="000000"/>
              <w:right w:val="single" w:sz="12" w:space="0" w:color="000000"/>
            </w:tcBorders>
            <w:shd w:val="clear" w:color="auto" w:fill="D2D2D2"/>
          </w:tcPr>
          <w:p>
            <w:pPr/>
          </w:p>
        </w:tc>
      </w:tr>
      <w:tr>
        <w:trPr>
          <w:trHeight w:val="196" w:hRule="exact"/>
        </w:trPr>
        <w:tc>
          <w:tcPr>
            <w:tcW w:w="1896" w:type="dxa"/>
            <w:vMerge/>
            <w:tcBorders>
              <w:left w:val="single" w:sz="12" w:space="0" w:color="000000"/>
              <w:bottom w:val="nil" w:sz="6" w:space="0" w:color="auto"/>
              <w:right w:val="single" w:sz="6" w:space="0" w:color="000000"/>
            </w:tcBorders>
            <w:shd w:val="clear" w:color="auto" w:fill="D2D2D2"/>
          </w:tcPr>
          <w:p>
            <w:pPr/>
          </w:p>
        </w:tc>
        <w:tc>
          <w:tcPr>
            <w:tcW w:w="192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24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6" w:space="0" w:color="000000"/>
              <w:left w:val="single" w:sz="6" w:space="0" w:color="000000"/>
              <w:right w:val="single" w:sz="6" w:space="0" w:color="FFFFFF"/>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6" w:space="0" w:color="000000"/>
              <w:left w:val="single" w:sz="6" w:space="0" w:color="FFFFFF"/>
              <w:right w:val="single" w:sz="6" w:space="0" w:color="000000"/>
            </w:tcBorders>
            <w:shd w:val="clear" w:color="auto" w:fill="D2D2D2"/>
          </w:tcPr>
          <w:p>
            <w:pPr>
              <w:pStyle w:val="TableParagraph"/>
              <w:spacing w:line="240" w:lineRule="auto" w:before="50"/>
              <w:ind w:left="229"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10" w:hRule="exact"/>
        </w:trPr>
        <w:tc>
          <w:tcPr>
            <w:tcW w:w="1896" w:type="dxa"/>
            <w:tcBorders>
              <w:top w:val="nil" w:sz="6" w:space="0" w:color="auto"/>
              <w:left w:val="single" w:sz="12" w:space="0" w:color="000000"/>
              <w:bottom w:val="single" w:sz="6" w:space="0" w:color="000000"/>
              <w:right w:val="single" w:sz="6" w:space="0" w:color="000000"/>
            </w:tcBorders>
            <w:shd w:val="clear" w:color="auto" w:fill="D2D2D2"/>
          </w:tcPr>
          <w:p>
            <w:pPr/>
          </w:p>
        </w:tc>
        <w:tc>
          <w:tcPr>
            <w:tcW w:w="1927"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FFFFFF"/>
            </w:tcBorders>
            <w:shd w:val="clear" w:color="auto" w:fill="D2D2D2"/>
          </w:tcPr>
          <w:p>
            <w:pPr/>
          </w:p>
        </w:tc>
        <w:tc>
          <w:tcPr>
            <w:tcW w:w="1914" w:type="dxa"/>
            <w:vMerge/>
            <w:tcBorders>
              <w:left w:val="single" w:sz="6" w:space="0" w:color="FFFFFF"/>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786"/>
              <w:jc w:val="right"/>
              <w:rPr>
                <w:rFonts w:ascii="宋体" w:hAnsi="宋体" w:cs="宋体" w:eastAsia="宋体" w:hint="default"/>
                <w:sz w:val="18"/>
                <w:szCs w:val="18"/>
              </w:rPr>
            </w:pPr>
            <w:r>
              <w:rPr>
                <w:rFonts w:ascii="宋体" w:hAnsi="宋体" w:cs="宋体" w:eastAsia="宋体" w:hint="default"/>
                <w:sz w:val="18"/>
                <w:szCs w:val="18"/>
              </w:rPr>
              <w:t>资产减值准备</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52,071,470.96</w:t>
            </w:r>
          </w:p>
        </w:tc>
        <w:tc>
          <w:tcPr>
            <w:tcW w:w="1914" w:type="dxa"/>
            <w:tcBorders>
              <w:top w:val="single" w:sz="6" w:space="0" w:color="000000"/>
              <w:left w:val="single" w:sz="6" w:space="0" w:color="000000"/>
              <w:bottom w:val="single" w:sz="6" w:space="0" w:color="000000"/>
              <w:right w:val="single" w:sz="6" w:space="0" w:color="FFFFFF"/>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7,963,416.44</w:t>
            </w:r>
          </w:p>
        </w:tc>
        <w:tc>
          <w:tcPr>
            <w:tcW w:w="1914" w:type="dxa"/>
            <w:tcBorders>
              <w:top w:val="single" w:sz="6" w:space="0" w:color="000000"/>
              <w:left w:val="single" w:sz="6" w:space="0" w:color="FFFFFF"/>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35,455,504.98</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5,579,880.84</w:t>
            </w:r>
          </w:p>
        </w:tc>
      </w:tr>
      <w:tr>
        <w:trPr>
          <w:trHeight w:val="415" w:hRule="exact"/>
        </w:trPr>
        <w:tc>
          <w:tcPr>
            <w:tcW w:w="18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758"/>
              <w:jc w:val="righ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52,071,470.96</w:t>
            </w:r>
          </w:p>
        </w:tc>
        <w:tc>
          <w:tcPr>
            <w:tcW w:w="1914" w:type="dxa"/>
            <w:tcBorders>
              <w:top w:val="single" w:sz="6" w:space="0" w:color="000000"/>
              <w:left w:val="single" w:sz="6" w:space="0" w:color="000000"/>
              <w:bottom w:val="single" w:sz="12" w:space="0" w:color="000000"/>
              <w:right w:val="single" w:sz="6" w:space="0" w:color="FFFFFF"/>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7,963,416.44</w:t>
            </w:r>
          </w:p>
        </w:tc>
        <w:tc>
          <w:tcPr>
            <w:tcW w:w="1914" w:type="dxa"/>
            <w:tcBorders>
              <w:top w:val="single" w:sz="6" w:space="0" w:color="000000"/>
              <w:left w:val="single" w:sz="6" w:space="0" w:color="FFFFFF"/>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35,455,504.98</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5,579,880.84</w:t>
            </w:r>
          </w:p>
        </w:tc>
      </w:tr>
    </w:tbl>
    <w:p>
      <w:pPr>
        <w:spacing w:line="240" w:lineRule="auto" w:before="10"/>
        <w:rPr>
          <w:rFonts w:ascii="宋体" w:hAnsi="宋体" w:cs="宋体" w:eastAsia="宋体" w:hint="default"/>
          <w:sz w:val="5"/>
          <w:szCs w:val="5"/>
        </w:rPr>
      </w:pPr>
    </w:p>
    <w:p>
      <w:pPr>
        <w:spacing w:before="38"/>
        <w:ind w:left="1134" w:right="0" w:firstLine="0"/>
        <w:jc w:val="left"/>
        <w:rPr>
          <w:rFonts w:ascii="宋体" w:hAnsi="宋体" w:cs="宋体" w:eastAsia="宋体" w:hint="default"/>
          <w:sz w:val="20"/>
          <w:szCs w:val="20"/>
        </w:rPr>
      </w:pPr>
      <w:bookmarkStart w:name="（2）未经抵销的递延所得税负债" w:id="305"/>
      <w:bookmarkEnd w:id="305"/>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）未经抵销的递延所得税负债</w:t>
      </w:r>
      <w:r>
        <w:rPr>
          <w:rFonts w:ascii="宋体" w:hAnsi="宋体" w:cs="宋体" w:eastAsia="宋体" w:hint="default"/>
          <w:sz w:val="20"/>
          <w:szCs w:val="20"/>
        </w:rPr>
      </w:r>
    </w:p>
    <w:p>
      <w:pPr>
        <w:spacing w:line="240" w:lineRule="auto" w:before="13"/>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1906"/>
        <w:gridCol w:w="1917"/>
        <w:gridCol w:w="1914"/>
        <w:gridCol w:w="1914"/>
        <w:gridCol w:w="1913"/>
      </w:tblGrid>
      <w:tr>
        <w:trPr>
          <w:trHeight w:val="218" w:hRule="exact"/>
        </w:trPr>
        <w:tc>
          <w:tcPr>
            <w:tcW w:w="1906"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831"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6"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6" w:space="0" w:color="000000"/>
              <w:bottom w:val="single" w:sz="6" w:space="0" w:color="000000"/>
              <w:right w:val="single" w:sz="6" w:space="0" w:color="000000"/>
            </w:tcBorders>
            <w:shd w:val="clear" w:color="auto" w:fill="D2D2D2"/>
          </w:tcPr>
          <w:p>
            <w:pPr/>
          </w:p>
        </w:tc>
        <w:tc>
          <w:tcPr>
            <w:tcW w:w="3828" w:type="dxa"/>
            <w:gridSpan w:val="2"/>
            <w:vMerge/>
            <w:tcBorders>
              <w:left w:val="single" w:sz="6" w:space="0" w:color="000000"/>
              <w:bottom w:val="single" w:sz="6" w:space="0" w:color="000000"/>
              <w:right w:val="single" w:sz="12" w:space="0" w:color="000000"/>
            </w:tcBorders>
            <w:shd w:val="clear" w:color="auto" w:fill="D2D2D2"/>
          </w:tcPr>
          <w:p>
            <w:pPr/>
          </w:p>
        </w:tc>
      </w:tr>
      <w:tr>
        <w:trPr>
          <w:trHeight w:val="196" w:hRule="exact"/>
        </w:trPr>
        <w:tc>
          <w:tcPr>
            <w:tcW w:w="1906" w:type="dxa"/>
            <w:vMerge/>
            <w:tcBorders>
              <w:left w:val="single" w:sz="12" w:space="0" w:color="000000"/>
              <w:bottom w:val="nil" w:sz="6" w:space="0" w:color="auto"/>
              <w:right w:val="single" w:sz="6" w:space="0" w:color="000000"/>
            </w:tcBorders>
            <w:shd w:val="clear" w:color="auto" w:fill="D2D2D2"/>
          </w:tcPr>
          <w:p>
            <w:pPr/>
          </w:p>
        </w:tc>
        <w:tc>
          <w:tcPr>
            <w:tcW w:w="191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11" w:hRule="exact"/>
        </w:trPr>
        <w:tc>
          <w:tcPr>
            <w:tcW w:w="1906" w:type="dxa"/>
            <w:tcBorders>
              <w:top w:val="nil" w:sz="6" w:space="0" w:color="auto"/>
              <w:left w:val="single" w:sz="12" w:space="0" w:color="000000"/>
              <w:bottom w:val="single" w:sz="6" w:space="0" w:color="000000"/>
              <w:right w:val="single" w:sz="6" w:space="0" w:color="000000"/>
            </w:tcBorders>
            <w:shd w:val="clear" w:color="auto" w:fill="D2D2D2"/>
          </w:tcPr>
          <w:p>
            <w:pPr/>
          </w:p>
        </w:tc>
        <w:tc>
          <w:tcPr>
            <w:tcW w:w="1917"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12" w:space="0" w:color="000000"/>
            </w:tcBorders>
            <w:shd w:val="clear" w:color="auto" w:fill="D2D2D2"/>
          </w:tcPr>
          <w:p>
            <w:pPr/>
          </w:p>
        </w:tc>
      </w:tr>
      <w:tr>
        <w:trPr>
          <w:trHeight w:val="719" w:hRule="exact"/>
        </w:trPr>
        <w:tc>
          <w:tcPr>
            <w:tcW w:w="190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6" w:right="75"/>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35,010,794.19</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6,530,938.69</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40,777,131.28</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7,451,945.14</w:t>
            </w:r>
          </w:p>
        </w:tc>
      </w:tr>
      <w:tr>
        <w:trPr>
          <w:trHeight w:val="415" w:hRule="exact"/>
        </w:trPr>
        <w:tc>
          <w:tcPr>
            <w:tcW w:w="190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35,010,794.19</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6,530,938.69</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40,777,131.28</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7,451,945.14</w:t>
            </w:r>
          </w:p>
        </w:tc>
      </w:tr>
    </w:tbl>
    <w:p>
      <w:pPr>
        <w:spacing w:line="240" w:lineRule="auto" w:before="10"/>
        <w:rPr>
          <w:rFonts w:ascii="宋体" w:hAnsi="宋体" w:cs="宋体" w:eastAsia="宋体" w:hint="default"/>
          <w:sz w:val="5"/>
          <w:szCs w:val="5"/>
        </w:rPr>
      </w:pPr>
    </w:p>
    <w:p>
      <w:pPr>
        <w:spacing w:before="38"/>
        <w:ind w:left="1134" w:right="0" w:firstLine="0"/>
        <w:jc w:val="left"/>
        <w:rPr>
          <w:rFonts w:ascii="宋体" w:hAnsi="宋体" w:cs="宋体" w:eastAsia="宋体" w:hint="default"/>
          <w:sz w:val="20"/>
          <w:szCs w:val="20"/>
        </w:rPr>
      </w:pPr>
      <w:bookmarkStart w:name="（3）以抵销后净额列示的递延所得税资产或负债" w:id="306"/>
      <w:bookmarkEnd w:id="306"/>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）以抵销后净额列示的递延所得税资产或负债</w:t>
      </w:r>
      <w:r>
        <w:rPr>
          <w:rFonts w:ascii="宋体" w:hAnsi="宋体" w:cs="宋体" w:eastAsia="宋体" w:hint="default"/>
          <w:sz w:val="20"/>
          <w:szCs w:val="20"/>
        </w:rPr>
      </w:r>
    </w:p>
    <w:p>
      <w:pPr>
        <w:spacing w:line="240" w:lineRule="auto" w:before="12"/>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1913"/>
        <w:gridCol w:w="1917"/>
        <w:gridCol w:w="1914"/>
        <w:gridCol w:w="1914"/>
        <w:gridCol w:w="1913"/>
      </w:tblGrid>
      <w:tr>
        <w:trPr>
          <w:trHeight w:val="171" w:hRule="exact"/>
        </w:trPr>
        <w:tc>
          <w:tcPr>
            <w:tcW w:w="1913"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917" w:type="dxa"/>
            <w:vMerge w:val="restart"/>
            <w:tcBorders>
              <w:top w:val="single" w:sz="12" w:space="0" w:color="000000"/>
              <w:left w:val="single" w:sz="6" w:space="0" w:color="000000"/>
              <w:right w:val="single" w:sz="6"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12" w:space="0" w:color="000000"/>
              <w:left w:val="single" w:sz="6" w:space="0" w:color="000000"/>
              <w:right w:val="single" w:sz="6" w:space="0" w:color="000000"/>
            </w:tcBorders>
            <w:shd w:val="clear" w:color="auto" w:fill="D2D2D2"/>
          </w:tcPr>
          <w:p>
            <w:pPr>
              <w:pStyle w:val="TableParagraph"/>
              <w:spacing w:line="319" w:lineRule="auto" w:before="51"/>
              <w:ind w:left="319" w:right="48"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12" w:space="0" w:color="000000"/>
              <w:left w:val="single" w:sz="6" w:space="0" w:color="000000"/>
              <w:right w:val="single" w:sz="6" w:space="0" w:color="000000"/>
            </w:tcBorders>
            <w:shd w:val="clear" w:color="auto" w:fill="D2D2D2"/>
          </w:tcPr>
          <w:p>
            <w:pPr>
              <w:pStyle w:val="TableParagraph"/>
              <w:spacing w:line="319" w:lineRule="auto" w:before="51"/>
              <w:ind w:left="409"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3" w:type="dxa"/>
            <w:vMerge w:val="restart"/>
            <w:tcBorders>
              <w:top w:val="single" w:sz="12" w:space="0" w:color="000000"/>
              <w:left w:val="single" w:sz="6" w:space="0" w:color="000000"/>
              <w:right w:val="single" w:sz="12" w:space="0" w:color="000000"/>
            </w:tcBorders>
            <w:shd w:val="clear" w:color="auto" w:fill="D2D2D2"/>
          </w:tcPr>
          <w:p>
            <w:pPr>
              <w:pStyle w:val="TableParagraph"/>
              <w:spacing w:line="319" w:lineRule="auto" w:before="51"/>
              <w:ind w:left="319" w:right="4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6" w:space="0" w:color="000000"/>
              <w:right w:val="single" w:sz="6" w:space="0" w:color="000000"/>
            </w:tcBorders>
            <w:shd w:val="clear" w:color="auto" w:fill="D2D2D2"/>
          </w:tcPr>
          <w:p>
            <w:pPr/>
          </w:p>
        </w:tc>
        <w:tc>
          <w:tcPr>
            <w:tcW w:w="1914" w:type="dxa"/>
            <w:vMerge/>
            <w:tcBorders>
              <w:left w:val="single" w:sz="6" w:space="0" w:color="000000"/>
              <w:right w:val="single" w:sz="6" w:space="0" w:color="000000"/>
            </w:tcBorders>
            <w:shd w:val="clear" w:color="auto" w:fill="D2D2D2"/>
          </w:tcPr>
          <w:p>
            <w:pPr/>
          </w:p>
        </w:tc>
        <w:tc>
          <w:tcPr>
            <w:tcW w:w="1914" w:type="dxa"/>
            <w:vMerge/>
            <w:tcBorders>
              <w:left w:val="single" w:sz="6" w:space="0" w:color="000000"/>
              <w:right w:val="single" w:sz="6" w:space="0" w:color="000000"/>
            </w:tcBorders>
            <w:shd w:val="clear" w:color="auto" w:fill="D2D2D2"/>
          </w:tcPr>
          <w:p>
            <w:pPr/>
          </w:p>
        </w:tc>
        <w:tc>
          <w:tcPr>
            <w:tcW w:w="1913" w:type="dxa"/>
            <w:vMerge/>
            <w:tcBorders>
              <w:left w:val="single" w:sz="6" w:space="0" w:color="000000"/>
              <w:right w:val="single" w:sz="12" w:space="0" w:color="000000"/>
            </w:tcBorders>
            <w:shd w:val="clear" w:color="auto" w:fill="D2D2D2"/>
          </w:tcPr>
          <w:p>
            <w:pPr/>
          </w:p>
        </w:tc>
      </w:tr>
      <w:tr>
        <w:trPr>
          <w:trHeight w:val="163" w:hRule="exact"/>
        </w:trPr>
        <w:tc>
          <w:tcPr>
            <w:tcW w:w="1913" w:type="dxa"/>
            <w:tcBorders>
              <w:top w:val="nil" w:sz="6" w:space="0" w:color="auto"/>
              <w:left w:val="single" w:sz="12" w:space="0" w:color="000000"/>
              <w:bottom w:val="single" w:sz="6" w:space="0" w:color="000000"/>
              <w:right w:val="single" w:sz="6" w:space="0" w:color="000000"/>
            </w:tcBorders>
            <w:shd w:val="clear" w:color="auto" w:fill="D2D2D2"/>
          </w:tcPr>
          <w:p>
            <w:pPr/>
          </w:p>
        </w:tc>
        <w:tc>
          <w:tcPr>
            <w:tcW w:w="1917"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7,963,416.44</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5,579,880.84</w:t>
            </w:r>
          </w:p>
        </w:tc>
      </w:tr>
      <w:tr>
        <w:trPr>
          <w:trHeight w:val="415" w:hRule="exact"/>
        </w:trPr>
        <w:tc>
          <w:tcPr>
            <w:tcW w:w="19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6" w:space="0" w:color="000000"/>
              <w:left w:val="single" w:sz="14" w:space="0" w:color="D2D2D2"/>
              <w:bottom w:val="single" w:sz="12" w:space="0" w:color="000000"/>
              <w:right w:val="single" w:sz="6" w:space="0" w:color="000000"/>
            </w:tcBorders>
          </w:tcPr>
          <w:p>
            <w:pP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6,530,938.69</w:t>
            </w:r>
          </w:p>
        </w:tc>
        <w:tc>
          <w:tcPr>
            <w:tcW w:w="1914" w:type="dxa"/>
            <w:tcBorders>
              <w:top w:val="single" w:sz="6" w:space="0" w:color="000000"/>
              <w:left w:val="single" w:sz="6" w:space="0" w:color="000000"/>
              <w:bottom w:val="single" w:sz="12" w:space="0" w:color="000000"/>
              <w:right w:val="single" w:sz="6" w:space="0" w:color="000000"/>
            </w:tcBorders>
          </w:tcPr>
          <w:p>
            <w:pP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7,451,945.14</w:t>
            </w:r>
          </w:p>
        </w:tc>
      </w:tr>
    </w:tbl>
    <w:p>
      <w:pPr>
        <w:spacing w:line="240" w:lineRule="auto" w:before="10"/>
        <w:rPr>
          <w:rFonts w:ascii="宋体" w:hAnsi="宋体" w:cs="宋体" w:eastAsia="宋体" w:hint="default"/>
          <w:sz w:val="5"/>
          <w:szCs w:val="5"/>
        </w:rPr>
      </w:pPr>
    </w:p>
    <w:p>
      <w:pPr>
        <w:spacing w:before="38"/>
        <w:ind w:left="1134" w:right="0" w:firstLine="0"/>
        <w:jc w:val="left"/>
        <w:rPr>
          <w:rFonts w:ascii="宋体" w:hAnsi="宋体" w:cs="宋体" w:eastAsia="宋体" w:hint="default"/>
          <w:sz w:val="20"/>
          <w:szCs w:val="20"/>
        </w:rPr>
      </w:pPr>
      <w:bookmarkStart w:name="（4）未确认递延所得税资产明细" w:id="307"/>
      <w:bookmarkEnd w:id="307"/>
      <w:r>
        <w:rPr/>
      </w: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）未确认递延所得税资产明细</w:t>
      </w:r>
      <w:r>
        <w:rPr>
          <w:rFonts w:ascii="宋体" w:hAnsi="宋体" w:cs="宋体" w:eastAsia="宋体" w:hint="default"/>
          <w:sz w:val="20"/>
          <w:szCs w:val="20"/>
        </w:rPr>
      </w:r>
    </w:p>
    <w:p>
      <w:pPr>
        <w:spacing w:line="240" w:lineRule="auto" w:before="12"/>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171"/>
        <w:gridCol w:w="3204"/>
        <w:gridCol w:w="3188"/>
      </w:tblGrid>
      <w:tr>
        <w:trPr>
          <w:trHeight w:val="414"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394"/>
              <w:jc w:val="right"/>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136,264.92</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2,100,163.31</w:t>
            </w:r>
          </w:p>
        </w:tc>
      </w:tr>
      <w:tr>
        <w:trPr>
          <w:trHeight w:val="416"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1394"/>
              <w:jc w:val="righ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136,264.92</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2,100,163.31</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3" w:right="0" w:firstLine="0"/>
        <w:jc w:val="left"/>
        <w:rPr>
          <w:rFonts w:ascii="宋体" w:hAnsi="宋体" w:cs="宋体" w:eastAsia="宋体" w:hint="default"/>
          <w:sz w:val="20"/>
          <w:szCs w:val="20"/>
        </w:rPr>
      </w:pPr>
      <w:bookmarkStart w:name="（5）未确认递延所得税资产的可抵扣亏损将于以下年度到期" w:id="308"/>
      <w:bookmarkEnd w:id="308"/>
      <w:r>
        <w:rPr/>
      </w:r>
      <w:r>
        <w:rPr>
          <w:rFonts w:ascii="宋体" w:hAnsi="宋体" w:cs="宋体" w:eastAsia="宋体" w:hint="default"/>
          <w:b/>
          <w:bCs/>
          <w:sz w:val="20"/>
          <w:szCs w:val="20"/>
        </w:rPr>
        <w:t>（</w:t>
      </w:r>
      <w:r>
        <w:rPr>
          <w:rFonts w:ascii="宋体" w:hAnsi="宋体" w:cs="宋体" w:eastAsia="宋体" w:hint="default"/>
          <w:b/>
          <w:bCs/>
          <w:sz w:val="20"/>
          <w:szCs w:val="20"/>
        </w:rPr>
        <w:t>5</w:t>
      </w:r>
      <w:r>
        <w:rPr>
          <w:rFonts w:ascii="宋体" w:hAnsi="宋体" w:cs="宋体" w:eastAsia="宋体" w:hint="default"/>
          <w:b/>
          <w:bCs/>
          <w:sz w:val="20"/>
          <w:szCs w:val="20"/>
        </w:rPr>
        <w:t>）未确认递延所得税资产的可抵扣亏损将于以下年度到期</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134" w:right="8968"/>
        <w:jc w:val="left"/>
      </w:pPr>
      <w:r>
        <w:rPr/>
        <w:t>□ 适用 √</w:t>
      </w:r>
      <w:r>
        <w:rPr>
          <w:spacing w:val="-1"/>
        </w:rPr>
        <w:t> </w:t>
      </w:r>
      <w:r>
        <w:rPr/>
        <w:t>不适用</w:t>
      </w:r>
      <w:r>
        <w:rPr/>
        <w:t> 其他说明：</w:t>
      </w:r>
    </w:p>
    <w:p>
      <w:pPr>
        <w:pStyle w:val="BodyText"/>
        <w:spacing w:line="408" w:lineRule="auto" w:before="46"/>
        <w:ind w:right="1132" w:firstLine="420"/>
        <w:jc w:val="both"/>
      </w:pPr>
      <w:r>
        <w:rPr>
          <w:spacing w:val="-1"/>
        </w:rPr>
        <w:t>递延所得税资产年末数比年初数增加</w:t>
      </w:r>
      <w:r>
        <w:rPr>
          <w:rFonts w:ascii="宋体" w:hAnsi="宋体" w:cs="宋体" w:eastAsia="宋体" w:hint="default"/>
          <w:spacing w:val="-1"/>
        </w:rPr>
        <w:t>1,767,767.03</w:t>
      </w:r>
      <w:r>
        <w:rPr>
          <w:spacing w:val="-1"/>
        </w:rPr>
        <w:t>元，增加比例为</w:t>
      </w:r>
      <w:r>
        <w:rPr>
          <w:rFonts w:ascii="宋体" w:hAnsi="宋体" w:cs="宋体" w:eastAsia="宋体" w:hint="default"/>
          <w:spacing w:val="-1"/>
        </w:rPr>
        <w:t>31.68%</w:t>
      </w:r>
      <w:r>
        <w:rPr>
          <w:spacing w:val="-1"/>
        </w:rPr>
        <w:t>，增加原因为本期新计提坏</w:t>
      </w:r>
      <w:r>
        <w:rPr/>
        <w:t> </w:t>
      </w:r>
      <w:r>
        <w:rPr>
          <w:spacing w:val="-1"/>
        </w:rPr>
        <w:t>账准备和存货跌价准备所致；递延所得税负债减少</w:t>
      </w:r>
      <w:r>
        <w:rPr>
          <w:rFonts w:ascii="宋体" w:hAnsi="宋体" w:cs="宋体" w:eastAsia="宋体" w:hint="default"/>
          <w:spacing w:val="-1"/>
        </w:rPr>
        <w:t>921,006.45</w:t>
      </w:r>
      <w:r>
        <w:rPr>
          <w:spacing w:val="-1"/>
        </w:rPr>
        <w:t>元，为上年度收购湖北索瑞电气而产生的非</w:t>
      </w:r>
      <w:r>
        <w:rPr>
          <w:spacing w:val="-78"/>
        </w:rPr>
        <w:t> </w:t>
      </w:r>
      <w:r>
        <w:rPr>
          <w:spacing w:val="-78"/>
        </w:rPr>
      </w:r>
      <w:r>
        <w:rPr/>
        <w:t>同一控制企业合并资产评估增值持续摊销所致。</w:t>
      </w:r>
    </w:p>
    <w:p>
      <w:pPr>
        <w:spacing w:before="55"/>
        <w:ind w:left="1134" w:right="0" w:firstLine="0"/>
        <w:jc w:val="left"/>
        <w:rPr>
          <w:rFonts w:ascii="宋体" w:hAnsi="宋体" w:cs="宋体" w:eastAsia="宋体" w:hint="default"/>
          <w:sz w:val="20"/>
          <w:szCs w:val="20"/>
        </w:rPr>
      </w:pPr>
      <w:bookmarkStart w:name="30、其他非流动资产" w:id="309"/>
      <w:bookmarkEnd w:id="309"/>
      <w:r>
        <w:rPr/>
      </w:r>
      <w:r>
        <w:rPr>
          <w:rFonts w:ascii="宋体" w:hAnsi="宋体" w:cs="宋体" w:eastAsia="宋体" w:hint="default"/>
          <w:b/>
          <w:bCs/>
          <w:sz w:val="20"/>
          <w:szCs w:val="20"/>
        </w:rPr>
        <w:t>30</w:t>
      </w:r>
      <w:r>
        <w:rPr>
          <w:rFonts w:ascii="宋体" w:hAnsi="宋体" w:cs="宋体" w:eastAsia="宋体" w:hint="default"/>
          <w:b/>
          <w:bCs/>
          <w:sz w:val="20"/>
          <w:szCs w:val="20"/>
        </w:rPr>
        <w:t>、其他非流动资产</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3"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405"/>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8,865,506.45</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1,383,365.00</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12,793,238.45</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8,740,138.45</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1405"/>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21,658,744.90</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10,123,503.45</w:t>
            </w:r>
          </w:p>
        </w:tc>
      </w:tr>
    </w:tbl>
    <w:p>
      <w:pPr>
        <w:pStyle w:val="BodyText"/>
        <w:spacing w:line="240" w:lineRule="auto" w:before="63"/>
        <w:ind w:left="1134" w:right="0"/>
        <w:jc w:val="left"/>
      </w:pPr>
      <w:r>
        <w:rPr/>
        <w:t>其他说明：</w:t>
      </w:r>
    </w:p>
    <w:p>
      <w:pPr>
        <w:spacing w:line="240" w:lineRule="auto" w:before="10"/>
        <w:rPr>
          <w:rFonts w:ascii="宋体" w:hAnsi="宋体" w:cs="宋体" w:eastAsia="宋体" w:hint="default"/>
          <w:sz w:val="14"/>
          <w:szCs w:val="14"/>
        </w:rPr>
      </w:pPr>
    </w:p>
    <w:p>
      <w:pPr>
        <w:pStyle w:val="BodyText"/>
        <w:spacing w:line="240" w:lineRule="auto"/>
        <w:ind w:left="1554" w:right="0"/>
        <w:jc w:val="left"/>
      </w:pPr>
      <w:r>
        <w:rPr/>
        <w:t>其他非流动资产增加原因为新增预付设备款和工程款所致。</w:t>
      </w:r>
    </w:p>
    <w:p>
      <w:pPr>
        <w:spacing w:line="240" w:lineRule="auto" w:before="6"/>
        <w:rPr>
          <w:rFonts w:ascii="宋体" w:hAnsi="宋体" w:cs="宋体" w:eastAsia="宋体" w:hint="default"/>
          <w:sz w:val="15"/>
          <w:szCs w:val="15"/>
        </w:rPr>
      </w:pPr>
    </w:p>
    <w:p>
      <w:pPr>
        <w:spacing w:before="0"/>
        <w:ind w:left="1133" w:right="0" w:firstLine="0"/>
        <w:jc w:val="left"/>
        <w:rPr>
          <w:rFonts w:ascii="宋体" w:hAnsi="宋体" w:cs="宋体" w:eastAsia="宋体" w:hint="default"/>
          <w:sz w:val="20"/>
          <w:szCs w:val="20"/>
        </w:rPr>
      </w:pPr>
      <w:bookmarkStart w:name="31、短期借款" w:id="310"/>
      <w:bookmarkEnd w:id="310"/>
      <w:r>
        <w:rPr/>
      </w:r>
      <w:r>
        <w:rPr>
          <w:rFonts w:ascii="宋体" w:hAnsi="宋体" w:cs="宋体" w:eastAsia="宋体" w:hint="default"/>
          <w:b/>
          <w:bCs/>
          <w:sz w:val="20"/>
          <w:szCs w:val="20"/>
        </w:rPr>
        <w:t>31</w:t>
      </w:r>
      <w:r>
        <w:rPr>
          <w:rFonts w:ascii="宋体" w:hAnsi="宋体" w:cs="宋体" w:eastAsia="宋体" w:hint="default"/>
          <w:b/>
          <w:bCs/>
          <w:sz w:val="20"/>
          <w:szCs w:val="20"/>
        </w:rPr>
        <w:t>、短期借款</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短期借款分类" w:id="311"/>
      <w:bookmarkEnd w:id="311"/>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）短期借款分类</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3171"/>
        <w:gridCol w:w="3204"/>
        <w:gridCol w:w="3188"/>
      </w:tblGrid>
      <w:tr>
        <w:trPr>
          <w:trHeight w:val="415"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394"/>
              <w:jc w:val="right"/>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8,000,000.00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30,000,000.00</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61,500,000.00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58,000,000.00</w:t>
            </w:r>
          </w:p>
        </w:tc>
      </w:tr>
      <w:tr>
        <w:trPr>
          <w:trHeight w:val="408"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40,000,000.00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20,000,000.00</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抵押保证借款</w:t>
            </w:r>
          </w:p>
        </w:tc>
        <w:tc>
          <w:tcPr>
            <w:tcW w:w="3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10,000,000.00</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1394"/>
              <w:jc w:val="righ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119,500,000.00</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108,000,000.00</w:t>
            </w:r>
          </w:p>
        </w:tc>
      </w:tr>
    </w:tbl>
    <w:p>
      <w:pPr>
        <w:pStyle w:val="BodyText"/>
        <w:spacing w:line="240" w:lineRule="auto" w:before="63"/>
        <w:ind w:left="1134" w:right="0"/>
        <w:jc w:val="left"/>
      </w:pPr>
      <w:r>
        <w:rPr/>
        <w:t>短期借款分类的说明：</w:t>
      </w:r>
    </w:p>
    <w:p>
      <w:pPr>
        <w:spacing w:line="240" w:lineRule="auto" w:before="10"/>
        <w:rPr>
          <w:rFonts w:ascii="宋体" w:hAnsi="宋体" w:cs="宋体" w:eastAsia="宋体" w:hint="default"/>
          <w:sz w:val="14"/>
          <w:szCs w:val="14"/>
        </w:rPr>
      </w:pPr>
    </w:p>
    <w:p>
      <w:pPr>
        <w:pStyle w:val="BodyText"/>
        <w:spacing w:line="240" w:lineRule="auto"/>
        <w:ind w:left="1702" w:right="0"/>
        <w:jc w:val="left"/>
        <w:rPr>
          <w:rFonts w:ascii="宋体" w:hAnsi="宋体" w:cs="宋体" w:eastAsia="宋体" w:hint="default"/>
        </w:rPr>
      </w:pPr>
      <w:r>
        <w:rPr/>
        <w:t>①本公司公司与南京银行白下支行签订流动资金借款合同，借款人民币</w:t>
      </w:r>
      <w:r>
        <w:rPr>
          <w:spacing w:val="-56"/>
        </w:rPr>
        <w:t> </w:t>
      </w:r>
      <w:r>
        <w:rPr>
          <w:rFonts w:ascii="宋体" w:hAnsi="宋体" w:cs="宋体" w:eastAsia="宋体" w:hint="default"/>
        </w:rPr>
        <w:t>2,000</w:t>
      </w:r>
      <w:r>
        <w:rPr>
          <w:rFonts w:ascii="宋体" w:hAnsi="宋体" w:cs="宋体" w:eastAsia="宋体" w:hint="default"/>
          <w:spacing w:val="-56"/>
        </w:rPr>
        <w:t> </w:t>
      </w:r>
      <w:r>
        <w:rPr/>
        <w:t>万元，期限</w:t>
      </w:r>
      <w:r>
        <w:rPr>
          <w:spacing w:val="-57"/>
        </w:rPr>
        <w:t> </w:t>
      </w:r>
      <w:r>
        <w:rPr>
          <w:rFonts w:ascii="宋体" w:hAnsi="宋体" w:cs="宋体" w:eastAsia="宋体" w:hint="default"/>
        </w:rPr>
        <w:t>2015</w:t>
      </w:r>
      <w:r>
        <w:rPr>
          <w:rFonts w:ascii="宋体" w:hAnsi="宋体" w:cs="宋体" w:eastAsia="宋体" w:hint="default"/>
          <w:spacing w:val="-57"/>
        </w:rPr>
        <w:t> </w:t>
      </w:r>
      <w:r>
        <w:rPr/>
        <w:t>年</w:t>
      </w:r>
      <w:r>
        <w:rPr>
          <w:spacing w:val="-58"/>
        </w:rPr>
        <w:t> </w:t>
      </w:r>
      <w:r>
        <w:rPr>
          <w:rFonts w:ascii="宋体" w:hAnsi="宋体" w:cs="宋体" w:eastAsia="宋体" w:hint="default"/>
        </w:rPr>
        <w:t>4</w:t>
      </w:r>
    </w:p>
    <w:p>
      <w:pPr>
        <w:spacing w:line="240" w:lineRule="auto" w:before="10"/>
        <w:rPr>
          <w:rFonts w:ascii="宋体" w:hAnsi="宋体" w:cs="宋体" w:eastAsia="宋体" w:hint="default"/>
          <w:sz w:val="14"/>
          <w:szCs w:val="14"/>
        </w:rPr>
      </w:pPr>
    </w:p>
    <w:p>
      <w:pPr>
        <w:pStyle w:val="BodyText"/>
        <w:spacing w:line="240" w:lineRule="auto"/>
        <w:ind w:left="1274" w:right="0"/>
        <w:jc w:val="left"/>
      </w:pPr>
      <w:r>
        <w:rPr/>
        <w:t>月</w:t>
      </w:r>
      <w:r>
        <w:rPr>
          <w:spacing w:val="-54"/>
        </w:rPr>
        <w:t> </w:t>
      </w:r>
      <w:r>
        <w:rPr>
          <w:rFonts w:ascii="宋体" w:hAnsi="宋体" w:cs="宋体" w:eastAsia="宋体" w:hint="default"/>
        </w:rPr>
        <w:t>15</w:t>
      </w:r>
      <w:r>
        <w:rPr>
          <w:rFonts w:ascii="宋体" w:hAnsi="宋体" w:cs="宋体" w:eastAsia="宋体" w:hint="default"/>
          <w:spacing w:val="-53"/>
        </w:rPr>
        <w:t> </w:t>
      </w:r>
      <w:r>
        <w:rPr/>
        <w:t>日至</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15</w:t>
      </w:r>
      <w:r>
        <w:rPr>
          <w:rFonts w:ascii="宋体" w:hAnsi="宋体" w:cs="宋体" w:eastAsia="宋体" w:hint="default"/>
          <w:spacing w:val="-54"/>
        </w:rPr>
        <w:t> </w:t>
      </w:r>
      <w:r>
        <w:rPr/>
        <w:t>日，上述借款由江苏光一投资管理有限责任公司提供保证。</w:t>
      </w:r>
    </w:p>
    <w:p>
      <w:pPr>
        <w:spacing w:line="240" w:lineRule="auto" w:before="10"/>
        <w:rPr>
          <w:rFonts w:ascii="宋体" w:hAnsi="宋体" w:cs="宋体" w:eastAsia="宋体" w:hint="default"/>
          <w:sz w:val="14"/>
          <w:szCs w:val="14"/>
        </w:rPr>
      </w:pPr>
    </w:p>
    <w:p>
      <w:pPr>
        <w:pStyle w:val="BodyText"/>
        <w:spacing w:line="240" w:lineRule="auto"/>
        <w:ind w:left="1702" w:right="0"/>
        <w:jc w:val="left"/>
      </w:pPr>
      <w:r>
        <w:rPr/>
        <w:t>②本公司与中国银行股份有限公司南京城南支行签订流动资金借款合同，借款人民币 </w:t>
      </w:r>
      <w:r>
        <w:rPr>
          <w:rFonts w:ascii="宋体" w:hAnsi="宋体" w:cs="宋体" w:eastAsia="宋体" w:hint="default"/>
        </w:rPr>
        <w:t>1,000</w:t>
      </w:r>
      <w:r>
        <w:rPr>
          <w:rFonts w:ascii="宋体" w:hAnsi="宋体" w:cs="宋体" w:eastAsia="宋体" w:hint="default"/>
          <w:spacing w:val="-64"/>
        </w:rPr>
        <w:t> </w:t>
      </w:r>
      <w:r>
        <w:rPr/>
        <w:t>万元，</w:t>
      </w:r>
    </w:p>
    <w:p>
      <w:pPr>
        <w:spacing w:line="240" w:lineRule="auto" w:before="10"/>
        <w:rPr>
          <w:rFonts w:ascii="宋体" w:hAnsi="宋体" w:cs="宋体" w:eastAsia="宋体" w:hint="default"/>
          <w:sz w:val="14"/>
          <w:szCs w:val="14"/>
        </w:rPr>
      </w:pPr>
    </w:p>
    <w:p>
      <w:pPr>
        <w:pStyle w:val="BodyText"/>
        <w:spacing w:line="240" w:lineRule="auto"/>
        <w:ind w:left="1274" w:right="0"/>
        <w:jc w:val="left"/>
      </w:pPr>
      <w:r>
        <w:rPr/>
        <w:t>期限</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日至</w:t>
      </w:r>
      <w:r>
        <w:rPr>
          <w:spacing w:val="-55"/>
        </w:rPr>
        <w:t> </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t>月</w:t>
      </w:r>
      <w:r>
        <w:rPr>
          <w:spacing w:val="-55"/>
        </w:rPr>
        <w:t> </w:t>
      </w:r>
      <w:r>
        <w:rPr>
          <w:rFonts w:ascii="宋体" w:hAnsi="宋体" w:cs="宋体" w:eastAsia="宋体" w:hint="default"/>
        </w:rPr>
        <w:t>23</w:t>
      </w:r>
      <w:r>
        <w:rPr>
          <w:rFonts w:ascii="宋体" w:hAnsi="宋体" w:cs="宋体" w:eastAsia="宋体" w:hint="default"/>
          <w:spacing w:val="-53"/>
        </w:rPr>
        <w:t> </w:t>
      </w:r>
      <w:r>
        <w:rPr/>
        <w:t>日，上述借款由江苏光一投资管理有限责任公司提供保证。</w:t>
      </w:r>
    </w:p>
    <w:p>
      <w:pPr>
        <w:spacing w:line="240" w:lineRule="auto" w:before="10"/>
        <w:rPr>
          <w:rFonts w:ascii="宋体" w:hAnsi="宋体" w:cs="宋体" w:eastAsia="宋体" w:hint="default"/>
          <w:sz w:val="14"/>
          <w:szCs w:val="14"/>
        </w:rPr>
      </w:pPr>
    </w:p>
    <w:p>
      <w:pPr>
        <w:pStyle w:val="BodyText"/>
        <w:spacing w:line="240" w:lineRule="auto"/>
        <w:ind w:left="1702" w:right="0"/>
        <w:jc w:val="left"/>
        <w:rPr>
          <w:rFonts w:ascii="宋体" w:hAnsi="宋体" w:cs="宋体" w:eastAsia="宋体" w:hint="default"/>
        </w:rPr>
      </w:pPr>
      <w:r>
        <w:rPr/>
        <w:t>③本公司与与浙商银行股份有限公司南京江宁支行签订借款合同</w:t>
      </w:r>
      <w:r>
        <w:rPr>
          <w:spacing w:val="-105"/>
        </w:rPr>
        <w:t>，</w:t>
      </w:r>
      <w:r>
        <w:rPr/>
        <w:t>借</w:t>
      </w:r>
      <w:r>
        <w:rPr>
          <w:spacing w:val="-2"/>
        </w:rPr>
        <w:t>款</w:t>
      </w:r>
      <w:r>
        <w:rPr/>
        <w:t>人民币</w:t>
      </w:r>
      <w:r>
        <w:rPr>
          <w:spacing w:val="-55"/>
        </w:rPr>
        <w:t> </w:t>
      </w:r>
      <w:r>
        <w:rPr>
          <w:rFonts w:ascii="宋体" w:hAnsi="宋体" w:cs="宋体" w:eastAsia="宋体" w:hint="default"/>
        </w:rPr>
        <w:t>2,150</w:t>
      </w:r>
      <w:r>
        <w:rPr>
          <w:rFonts w:ascii="宋体" w:hAnsi="宋体" w:cs="宋体" w:eastAsia="宋体" w:hint="default"/>
          <w:spacing w:val="-56"/>
        </w:rPr>
        <w:t> </w:t>
      </w:r>
      <w:r>
        <w:rPr/>
        <w:t>万元</w:t>
      </w:r>
      <w:r>
        <w:rPr>
          <w:spacing w:val="-105"/>
        </w:rPr>
        <w:t>，</w:t>
      </w:r>
      <w:r>
        <w:rPr>
          <w:spacing w:val="-2"/>
        </w:rPr>
        <w:t>期</w:t>
      </w:r>
      <w:r>
        <w:rPr/>
        <w:t>限</w:t>
      </w:r>
      <w:r>
        <w:rPr>
          <w:spacing w:val="-57"/>
        </w:rPr>
        <w:t> </w:t>
      </w:r>
      <w:r>
        <w:rPr>
          <w:rFonts w:ascii="宋体" w:hAnsi="宋体" w:cs="宋体" w:eastAsia="宋体" w:hint="default"/>
        </w:rPr>
        <w:t>2015</w:t>
      </w:r>
    </w:p>
    <w:p>
      <w:pPr>
        <w:spacing w:line="240" w:lineRule="auto" w:before="10"/>
        <w:rPr>
          <w:rFonts w:ascii="宋体" w:hAnsi="宋体" w:cs="宋体" w:eastAsia="宋体" w:hint="default"/>
          <w:sz w:val="14"/>
          <w:szCs w:val="14"/>
        </w:rPr>
      </w:pPr>
    </w:p>
    <w:p>
      <w:pPr>
        <w:pStyle w:val="BodyText"/>
        <w:spacing w:line="240" w:lineRule="auto"/>
        <w:ind w:left="1274" w:right="0"/>
        <w:jc w:val="left"/>
      </w:pP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日至</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5"/>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5</w:t>
      </w:r>
      <w:r>
        <w:rPr>
          <w:rFonts w:ascii="宋体" w:hAnsi="宋体" w:cs="宋体" w:eastAsia="宋体" w:hint="default"/>
          <w:spacing w:val="-53"/>
        </w:rPr>
        <w:t> </w:t>
      </w:r>
      <w:r>
        <w:rPr/>
        <w:t>日，上述借款由江苏光一投资管理有限责任公司和龙昌明提供保证。</w:t>
      </w:r>
    </w:p>
    <w:p>
      <w:pPr>
        <w:spacing w:line="240" w:lineRule="auto" w:before="10"/>
        <w:rPr>
          <w:rFonts w:ascii="宋体" w:hAnsi="宋体" w:cs="宋体" w:eastAsia="宋体" w:hint="default"/>
          <w:sz w:val="14"/>
          <w:szCs w:val="14"/>
        </w:rPr>
      </w:pPr>
    </w:p>
    <w:p>
      <w:pPr>
        <w:pStyle w:val="BodyText"/>
        <w:spacing w:line="240" w:lineRule="auto"/>
        <w:ind w:left="1702" w:right="0"/>
        <w:jc w:val="left"/>
      </w:pPr>
      <w:r>
        <w:rPr/>
        <w:t>④本公司与工商银行（南京）江宁支行签订借款合同，借款人民币</w:t>
      </w:r>
      <w:r>
        <w:rPr>
          <w:spacing w:val="-29"/>
        </w:rPr>
        <w:t> </w:t>
      </w:r>
      <w:r>
        <w:rPr>
          <w:rFonts w:ascii="宋体" w:hAnsi="宋体" w:cs="宋体" w:eastAsia="宋体" w:hint="default"/>
        </w:rPr>
        <w:t>1,000</w:t>
      </w:r>
      <w:r>
        <w:rPr>
          <w:rFonts w:ascii="宋体" w:hAnsi="宋体" w:cs="宋体" w:eastAsia="宋体" w:hint="default"/>
          <w:spacing w:val="-29"/>
        </w:rPr>
        <w:t> </w:t>
      </w:r>
      <w:r>
        <w:rPr/>
        <w:t>万元，期限</w:t>
      </w:r>
      <w:r>
        <w:rPr>
          <w:spacing w:val="-30"/>
        </w:rPr>
        <w:t> </w:t>
      </w:r>
      <w:r>
        <w:rPr>
          <w:rFonts w:ascii="宋体" w:hAnsi="宋体" w:cs="宋体" w:eastAsia="宋体" w:hint="default"/>
        </w:rPr>
        <w:t>2015</w:t>
      </w:r>
      <w:r>
        <w:rPr>
          <w:rFonts w:ascii="宋体" w:hAnsi="宋体" w:cs="宋体" w:eastAsia="宋体" w:hint="default"/>
          <w:spacing w:val="-30"/>
        </w:rPr>
        <w:t> </w:t>
      </w:r>
      <w:r>
        <w:rPr/>
        <w:t>年</w:t>
      </w:r>
      <w:r>
        <w:rPr>
          <w:spacing w:val="-30"/>
        </w:rPr>
        <w:t> </w:t>
      </w:r>
      <w:r>
        <w:rPr>
          <w:rFonts w:ascii="宋体" w:hAnsi="宋体" w:cs="宋体" w:eastAsia="宋体" w:hint="default"/>
        </w:rPr>
        <w:t>3</w:t>
      </w:r>
      <w:r>
        <w:rPr>
          <w:rFonts w:ascii="宋体" w:hAnsi="宋体" w:cs="宋体" w:eastAsia="宋体" w:hint="default"/>
          <w:spacing w:val="-29"/>
        </w:rPr>
        <w:t> </w:t>
      </w:r>
      <w:r>
        <w:rPr/>
        <w:t>月</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1274" w:right="0"/>
        <w:jc w:val="left"/>
      </w:pPr>
      <w:r>
        <w:rPr>
          <w:rFonts w:ascii="宋体" w:hAnsi="宋体" w:cs="宋体" w:eastAsia="宋体" w:hint="default"/>
        </w:rPr>
        <w:t>12</w:t>
      </w:r>
      <w:r>
        <w:rPr>
          <w:rFonts w:ascii="宋体" w:hAnsi="宋体" w:cs="宋体" w:eastAsia="宋体" w:hint="default"/>
          <w:spacing w:val="-53"/>
        </w:rPr>
        <w:t> </w:t>
      </w:r>
      <w:r>
        <w:rPr/>
        <w:t>日至</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11</w:t>
      </w:r>
      <w:r>
        <w:rPr>
          <w:rFonts w:ascii="宋体" w:hAnsi="宋体" w:cs="宋体" w:eastAsia="宋体" w:hint="default"/>
          <w:spacing w:val="-53"/>
        </w:rPr>
        <w:t> </w:t>
      </w:r>
      <w:r>
        <w:rPr/>
        <w:t>日，上述借款由江苏光一投资管理有限责任公司提供最高额担保。</w:t>
      </w:r>
    </w:p>
    <w:p>
      <w:pPr>
        <w:spacing w:line="240" w:lineRule="auto" w:before="10"/>
        <w:rPr>
          <w:rFonts w:ascii="宋体" w:hAnsi="宋体" w:cs="宋体" w:eastAsia="宋体" w:hint="default"/>
          <w:sz w:val="14"/>
          <w:szCs w:val="14"/>
        </w:rPr>
      </w:pPr>
    </w:p>
    <w:p>
      <w:pPr>
        <w:pStyle w:val="BodyText"/>
        <w:spacing w:line="240" w:lineRule="auto"/>
        <w:ind w:left="1702" w:right="0"/>
        <w:jc w:val="left"/>
        <w:rPr>
          <w:rFonts w:ascii="宋体" w:hAnsi="宋体" w:cs="宋体" w:eastAsia="宋体" w:hint="default"/>
        </w:rPr>
      </w:pPr>
      <w:r>
        <w:rPr/>
        <w:t>⑤本公司与招商银行月牙湖支行签订授信协议，授信额度</w:t>
      </w:r>
      <w:r>
        <w:rPr>
          <w:spacing w:val="-40"/>
        </w:rPr>
        <w:t> </w:t>
      </w:r>
      <w:r>
        <w:rPr>
          <w:rFonts w:ascii="宋体" w:hAnsi="宋体" w:cs="宋体" w:eastAsia="宋体" w:hint="default"/>
        </w:rPr>
        <w:t>6,000</w:t>
      </w:r>
      <w:r>
        <w:rPr>
          <w:rFonts w:ascii="宋体" w:hAnsi="宋体" w:cs="宋体" w:eastAsia="宋体" w:hint="default"/>
          <w:spacing w:val="-40"/>
        </w:rPr>
        <w:t> </w:t>
      </w:r>
      <w:r>
        <w:rPr/>
        <w:t>万元，授信期间为</w:t>
      </w:r>
      <w:r>
        <w:rPr>
          <w:spacing w:val="-40"/>
        </w:rPr>
        <w:t> </w:t>
      </w:r>
      <w:r>
        <w:rPr>
          <w:rFonts w:ascii="宋体" w:hAnsi="宋体" w:cs="宋体" w:eastAsia="宋体" w:hint="default"/>
        </w:rPr>
        <w:t>2015</w:t>
      </w:r>
      <w:r>
        <w:rPr>
          <w:rFonts w:ascii="宋体" w:hAnsi="宋体" w:cs="宋体" w:eastAsia="宋体" w:hint="default"/>
          <w:spacing w:val="-40"/>
        </w:rPr>
        <w:t> </w:t>
      </w:r>
      <w:r>
        <w:rPr/>
        <w:t>年</w:t>
      </w:r>
      <w:r>
        <w:rPr>
          <w:spacing w:val="-40"/>
        </w:rPr>
        <w:t> </w:t>
      </w:r>
      <w:r>
        <w:rPr>
          <w:rFonts w:ascii="宋体" w:hAnsi="宋体" w:cs="宋体" w:eastAsia="宋体" w:hint="default"/>
        </w:rPr>
        <w:t>6</w:t>
      </w:r>
      <w:r>
        <w:rPr>
          <w:rFonts w:ascii="宋体" w:hAnsi="宋体" w:cs="宋体" w:eastAsia="宋体" w:hint="default"/>
          <w:spacing w:val="-41"/>
        </w:rPr>
        <w:t> </w:t>
      </w:r>
      <w:r>
        <w:rPr/>
        <w:t>月</w:t>
      </w:r>
      <w:r>
        <w:rPr>
          <w:spacing w:val="-40"/>
        </w:rPr>
        <w:t> </w:t>
      </w:r>
      <w:r>
        <w:rPr>
          <w:rFonts w:ascii="宋体" w:hAnsi="宋体" w:cs="宋体" w:eastAsia="宋体" w:hint="default"/>
        </w:rPr>
        <w:t>23</w:t>
      </w:r>
    </w:p>
    <w:p>
      <w:pPr>
        <w:spacing w:line="240" w:lineRule="auto" w:before="10"/>
        <w:rPr>
          <w:rFonts w:ascii="宋体" w:hAnsi="宋体" w:cs="宋体" w:eastAsia="宋体" w:hint="default"/>
          <w:sz w:val="14"/>
          <w:szCs w:val="14"/>
        </w:rPr>
      </w:pPr>
    </w:p>
    <w:p>
      <w:pPr>
        <w:pStyle w:val="BodyText"/>
        <w:spacing w:line="240" w:lineRule="auto"/>
        <w:ind w:left="1274" w:right="0"/>
        <w:jc w:val="left"/>
      </w:pPr>
      <w:r>
        <w:rPr/>
        <w:t>日至</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22</w:t>
      </w:r>
      <w:r>
        <w:rPr>
          <w:rFonts w:ascii="宋体" w:hAnsi="宋体" w:cs="宋体" w:eastAsia="宋体" w:hint="default"/>
          <w:spacing w:val="-53"/>
        </w:rPr>
        <w:t> </w:t>
      </w:r>
      <w:r>
        <w:rPr/>
        <w:t>日，截至</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日该授信协议下贷款</w:t>
      </w:r>
      <w:r>
        <w:rPr>
          <w:spacing w:val="-54"/>
        </w:rPr>
        <w:t> </w:t>
      </w:r>
      <w:r>
        <w:rPr>
          <w:rFonts w:ascii="宋体" w:hAnsi="宋体" w:cs="宋体" w:eastAsia="宋体" w:hint="default"/>
        </w:rPr>
        <w:t>4,000</w:t>
      </w:r>
      <w:r>
        <w:rPr>
          <w:rFonts w:ascii="宋体" w:hAnsi="宋体" w:cs="宋体" w:eastAsia="宋体" w:hint="default"/>
          <w:spacing w:val="-54"/>
        </w:rPr>
        <w:t> </w:t>
      </w:r>
      <w:r>
        <w:rPr/>
        <w:t>万。</w:t>
      </w:r>
    </w:p>
    <w:p>
      <w:pPr>
        <w:spacing w:line="240" w:lineRule="auto" w:before="10"/>
        <w:rPr>
          <w:rFonts w:ascii="宋体" w:hAnsi="宋体" w:cs="宋体" w:eastAsia="宋体" w:hint="default"/>
          <w:sz w:val="14"/>
          <w:szCs w:val="14"/>
        </w:rPr>
      </w:pPr>
    </w:p>
    <w:p>
      <w:pPr>
        <w:pStyle w:val="BodyText"/>
        <w:spacing w:line="240" w:lineRule="auto"/>
        <w:ind w:left="1701" w:right="0"/>
        <w:jc w:val="left"/>
      </w:pPr>
      <w:r>
        <w:rPr/>
        <w:t>⑥子公司湖北索瑞与中行公安支行营业部签订借款合同，借款人民币</w:t>
      </w:r>
      <w:r>
        <w:rPr>
          <w:spacing w:val="-47"/>
        </w:rPr>
        <w:t> </w:t>
      </w:r>
      <w:r>
        <w:rPr>
          <w:rFonts w:ascii="宋体" w:hAnsi="宋体" w:cs="宋体" w:eastAsia="宋体" w:hint="default"/>
        </w:rPr>
        <w:t>800</w:t>
      </w:r>
      <w:r>
        <w:rPr>
          <w:rFonts w:ascii="宋体" w:hAnsi="宋体" w:cs="宋体" w:eastAsia="宋体" w:hint="default"/>
          <w:spacing w:val="-47"/>
        </w:rPr>
        <w:t> </w:t>
      </w:r>
      <w:r>
        <w:rPr/>
        <w:t>万元，期限</w:t>
      </w:r>
      <w:r>
        <w:rPr>
          <w:spacing w:val="-48"/>
        </w:rPr>
        <w:t> </w:t>
      </w:r>
      <w:r>
        <w:rPr>
          <w:rFonts w:ascii="宋体" w:hAnsi="宋体" w:cs="宋体" w:eastAsia="宋体" w:hint="default"/>
        </w:rPr>
        <w:t>2015</w:t>
      </w:r>
      <w:r>
        <w:rPr>
          <w:rFonts w:ascii="宋体" w:hAnsi="宋体" w:cs="宋体" w:eastAsia="宋体" w:hint="default"/>
          <w:spacing w:val="-47"/>
        </w:rPr>
        <w:t> </w:t>
      </w:r>
      <w:r>
        <w:rPr/>
        <w:t>年</w:t>
      </w:r>
      <w:r>
        <w:rPr>
          <w:spacing w:val="-48"/>
        </w:rPr>
        <w:t> </w:t>
      </w:r>
      <w:r>
        <w:rPr>
          <w:rFonts w:ascii="宋体" w:hAnsi="宋体" w:cs="宋体" w:eastAsia="宋体" w:hint="default"/>
        </w:rPr>
        <w:t>11</w:t>
      </w:r>
      <w:r>
        <w:rPr>
          <w:rFonts w:ascii="宋体" w:hAnsi="宋体" w:cs="宋体" w:eastAsia="宋体" w:hint="default"/>
          <w:spacing w:val="-47"/>
        </w:rPr>
        <w:t> </w:t>
      </w:r>
      <w:r>
        <w:rPr/>
        <w:t>月</w:t>
      </w:r>
    </w:p>
    <w:p>
      <w:pPr>
        <w:spacing w:line="240" w:lineRule="auto" w:before="10"/>
        <w:rPr>
          <w:rFonts w:ascii="宋体" w:hAnsi="宋体" w:cs="宋体" w:eastAsia="宋体" w:hint="default"/>
          <w:sz w:val="14"/>
          <w:szCs w:val="14"/>
        </w:rPr>
      </w:pPr>
    </w:p>
    <w:p>
      <w:pPr>
        <w:pStyle w:val="BodyText"/>
        <w:spacing w:line="240" w:lineRule="auto"/>
        <w:ind w:left="1274" w:right="0"/>
        <w:jc w:val="left"/>
      </w:pPr>
      <w:r>
        <w:rPr>
          <w:rFonts w:ascii="宋体" w:hAnsi="宋体" w:cs="宋体" w:eastAsia="宋体" w:hint="default"/>
        </w:rPr>
        <w:t>25</w:t>
      </w:r>
      <w:r>
        <w:rPr>
          <w:rFonts w:ascii="宋体" w:hAnsi="宋体" w:cs="宋体" w:eastAsia="宋体" w:hint="default"/>
          <w:spacing w:val="-53"/>
        </w:rPr>
        <w:t> </w:t>
      </w:r>
      <w:r>
        <w:rPr/>
        <w:t>日至</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24</w:t>
      </w:r>
      <w:r>
        <w:rPr>
          <w:rFonts w:ascii="宋体" w:hAnsi="宋体" w:cs="宋体" w:eastAsia="宋体" w:hint="default"/>
          <w:spacing w:val="-54"/>
        </w:rPr>
        <w:t> </w:t>
      </w:r>
      <w:r>
        <w:rPr/>
        <w:t>日，上述借款以土地使用证作为抵押。</w:t>
      </w:r>
    </w:p>
    <w:p>
      <w:pPr>
        <w:spacing w:line="240" w:lineRule="auto" w:before="10"/>
        <w:rPr>
          <w:rFonts w:ascii="宋体" w:hAnsi="宋体" w:cs="宋体" w:eastAsia="宋体" w:hint="default"/>
          <w:sz w:val="14"/>
          <w:szCs w:val="14"/>
        </w:rPr>
      </w:pPr>
    </w:p>
    <w:p>
      <w:pPr>
        <w:pStyle w:val="BodyText"/>
        <w:spacing w:line="240" w:lineRule="auto"/>
        <w:ind w:left="1702" w:right="0"/>
        <w:jc w:val="left"/>
      </w:pPr>
      <w:r>
        <w:rPr/>
        <w:t>⑦子公司湖北索瑞与公安县财政局签订借款合同，借款人民币</w:t>
      </w:r>
      <w:r>
        <w:rPr>
          <w:spacing w:val="-47"/>
        </w:rPr>
        <w:t> </w:t>
      </w:r>
      <w:r>
        <w:rPr>
          <w:rFonts w:ascii="宋体" w:hAnsi="宋体" w:cs="宋体" w:eastAsia="宋体" w:hint="default"/>
        </w:rPr>
        <w:t>1,000</w:t>
      </w:r>
      <w:r>
        <w:rPr>
          <w:rFonts w:ascii="宋体" w:hAnsi="宋体" w:cs="宋体" w:eastAsia="宋体" w:hint="default"/>
          <w:spacing w:val="-48"/>
        </w:rPr>
        <w:t> </w:t>
      </w:r>
      <w:r>
        <w:rPr/>
        <w:t>万元，期限</w:t>
      </w:r>
      <w:r>
        <w:rPr>
          <w:spacing w:val="-47"/>
        </w:rPr>
        <w:t> </w:t>
      </w:r>
      <w:r>
        <w:rPr>
          <w:rFonts w:ascii="宋体" w:hAnsi="宋体" w:cs="宋体" w:eastAsia="宋体" w:hint="default"/>
        </w:rPr>
        <w:t>2015</w:t>
      </w:r>
      <w:r>
        <w:rPr>
          <w:rFonts w:ascii="宋体" w:hAnsi="宋体" w:cs="宋体" w:eastAsia="宋体" w:hint="default"/>
          <w:spacing w:val="-47"/>
        </w:rPr>
        <w:t> </w:t>
      </w:r>
      <w:r>
        <w:rPr/>
        <w:t>年</w:t>
      </w:r>
      <w:r>
        <w:rPr>
          <w:spacing w:val="-49"/>
        </w:rPr>
        <w:t> </w:t>
      </w:r>
      <w:r>
        <w:rPr>
          <w:rFonts w:ascii="宋体" w:hAnsi="宋体" w:cs="宋体" w:eastAsia="宋体" w:hint="default"/>
        </w:rPr>
        <w:t>4</w:t>
      </w:r>
      <w:r>
        <w:rPr>
          <w:rFonts w:ascii="宋体" w:hAnsi="宋体" w:cs="宋体" w:eastAsia="宋体" w:hint="default"/>
          <w:spacing w:val="-47"/>
        </w:rPr>
        <w:t> </w:t>
      </w:r>
      <w:r>
        <w:rPr/>
        <w:t>月</w:t>
      </w:r>
      <w:r>
        <w:rPr>
          <w:spacing w:val="-48"/>
        </w:rPr>
        <w:t> </w:t>
      </w:r>
      <w:r>
        <w:rPr>
          <w:rFonts w:ascii="宋体" w:hAnsi="宋体" w:cs="宋体" w:eastAsia="宋体" w:hint="default"/>
        </w:rPr>
        <w:t>30</w:t>
      </w:r>
      <w:r>
        <w:rPr>
          <w:rFonts w:ascii="宋体" w:hAnsi="宋体" w:cs="宋体" w:eastAsia="宋体" w:hint="default"/>
          <w:spacing w:val="-47"/>
        </w:rPr>
        <w:t> </w:t>
      </w:r>
      <w:r>
        <w:rPr/>
        <w:t>日</w:t>
      </w:r>
    </w:p>
    <w:p>
      <w:pPr>
        <w:spacing w:line="240" w:lineRule="auto" w:before="10"/>
        <w:rPr>
          <w:rFonts w:ascii="宋体" w:hAnsi="宋体" w:cs="宋体" w:eastAsia="宋体" w:hint="default"/>
          <w:sz w:val="14"/>
          <w:szCs w:val="14"/>
        </w:rPr>
      </w:pPr>
    </w:p>
    <w:p>
      <w:pPr>
        <w:pStyle w:val="BodyText"/>
        <w:spacing w:line="408" w:lineRule="auto"/>
        <w:ind w:left="1274" w:right="1119"/>
        <w:jc w:val="left"/>
      </w:pPr>
      <w:r>
        <w:rPr/>
        <w:t>至</w:t>
      </w:r>
      <w:r>
        <w:rPr>
          <w:spacing w:val="-63"/>
        </w:rPr>
        <w:t> </w:t>
      </w:r>
      <w:r>
        <w:rPr>
          <w:rFonts w:ascii="宋体" w:hAnsi="宋体" w:cs="宋体" w:eastAsia="宋体" w:hint="default"/>
        </w:rPr>
        <w:t>2016</w:t>
      </w:r>
      <w:r>
        <w:rPr>
          <w:rFonts w:ascii="宋体" w:hAnsi="宋体" w:cs="宋体" w:eastAsia="宋体" w:hint="default"/>
          <w:spacing w:val="-62"/>
        </w:rPr>
        <w:t> </w:t>
      </w:r>
      <w:r>
        <w:rPr/>
        <w:t>年</w:t>
      </w:r>
      <w:r>
        <w:rPr>
          <w:spacing w:val="-64"/>
        </w:rPr>
        <w:t> </w:t>
      </w:r>
      <w:r>
        <w:rPr>
          <w:rFonts w:ascii="宋体" w:hAnsi="宋体" w:cs="宋体" w:eastAsia="宋体" w:hint="default"/>
        </w:rPr>
        <w:t>5</w:t>
      </w:r>
      <w:r>
        <w:rPr>
          <w:rFonts w:ascii="宋体" w:hAnsi="宋体" w:cs="宋体" w:eastAsia="宋体" w:hint="default"/>
          <w:spacing w:val="-63"/>
        </w:rPr>
        <w:t> </w:t>
      </w:r>
      <w:r>
        <w:rPr/>
        <w:t>月</w:t>
      </w:r>
      <w:r>
        <w:rPr>
          <w:spacing w:val="-63"/>
        </w:rPr>
        <w:t> </w:t>
      </w:r>
      <w:r>
        <w:rPr>
          <w:rFonts w:ascii="宋体" w:hAnsi="宋体" w:cs="宋体" w:eastAsia="宋体" w:hint="default"/>
        </w:rPr>
        <w:t>1</w:t>
      </w:r>
      <w:r>
        <w:rPr>
          <w:rFonts w:ascii="宋体" w:hAnsi="宋体" w:cs="宋体" w:eastAsia="宋体" w:hint="default"/>
          <w:spacing w:val="-62"/>
        </w:rPr>
        <w:t> </w:t>
      </w:r>
      <w:r>
        <w:rPr/>
        <w:t>日，上述借款由湖北索瑞提供房产抵押给工商银行公安支行，然后由工商银行公安支行 向公安县财政局提供保证，房产抵押未办理抵押登记手续。</w:t>
      </w:r>
    </w:p>
    <w:p>
      <w:pPr>
        <w:spacing w:before="55"/>
        <w:ind w:left="1134" w:right="0" w:firstLine="0"/>
        <w:jc w:val="left"/>
        <w:rPr>
          <w:rFonts w:ascii="宋体" w:hAnsi="宋体" w:cs="宋体" w:eastAsia="宋体" w:hint="default"/>
          <w:sz w:val="20"/>
          <w:szCs w:val="20"/>
        </w:rPr>
      </w:pPr>
      <w:bookmarkStart w:name="（2）已逾期未偿还的短期借款情况" w:id="312"/>
      <w:bookmarkEnd w:id="312"/>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）已逾期未偿还的短期借款情况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134" w:right="8968"/>
        <w:jc w:val="left"/>
      </w:pPr>
      <w:r>
        <w:rPr/>
        <w:t>□ 适用 √</w:t>
      </w:r>
      <w:r>
        <w:rPr>
          <w:spacing w:val="-1"/>
        </w:rPr>
        <w:t> </w:t>
      </w:r>
      <w:r>
        <w:rPr/>
        <w:t>不适用</w:t>
      </w:r>
      <w:r>
        <w:rPr/>
        <w:t> 其他说明：</w:t>
      </w:r>
    </w:p>
    <w:p>
      <w:pPr>
        <w:pStyle w:val="BodyText"/>
        <w:spacing w:line="408" w:lineRule="auto" w:before="46"/>
        <w:ind w:left="1134" w:right="1197" w:firstLine="420"/>
        <w:jc w:val="left"/>
      </w:pPr>
      <w:r>
        <w:rPr/>
        <w:t>短期借款年末数比年初数增加</w:t>
      </w:r>
      <w:r>
        <w:rPr>
          <w:rFonts w:ascii="宋体" w:hAnsi="宋体" w:cs="宋体" w:eastAsia="宋体" w:hint="default"/>
        </w:rPr>
        <w:t>11,500,000.00</w:t>
      </w:r>
      <w:r>
        <w:rPr/>
        <w:t>元，增加比例为</w:t>
      </w:r>
      <w:r>
        <w:rPr>
          <w:rFonts w:ascii="宋体" w:hAnsi="宋体" w:cs="宋体" w:eastAsia="宋体" w:hint="default"/>
        </w:rPr>
        <w:t>10.65%</w:t>
      </w:r>
      <w:r>
        <w:rPr/>
        <w:t>，增加的主要原因为增加流动资 金借款所致。</w:t>
      </w:r>
    </w:p>
    <w:p>
      <w:pPr>
        <w:spacing w:before="55"/>
        <w:ind w:left="1134" w:right="0" w:firstLine="0"/>
        <w:jc w:val="left"/>
        <w:rPr>
          <w:rFonts w:ascii="宋体" w:hAnsi="宋体" w:cs="宋体" w:eastAsia="宋体" w:hint="default"/>
          <w:sz w:val="20"/>
          <w:szCs w:val="20"/>
        </w:rPr>
      </w:pPr>
      <w:bookmarkStart w:name="32、以公允价值计量且其变动计入当期损益的金融负债" w:id="313"/>
      <w:bookmarkEnd w:id="313"/>
      <w:r>
        <w:rPr/>
      </w:r>
      <w:r>
        <w:rPr>
          <w:rFonts w:ascii="宋体" w:hAnsi="宋体" w:cs="宋体" w:eastAsia="宋体" w:hint="default"/>
          <w:b/>
          <w:bCs/>
          <w:sz w:val="20"/>
          <w:szCs w:val="20"/>
        </w:rPr>
        <w:t>32</w:t>
      </w:r>
      <w:r>
        <w:rPr>
          <w:rFonts w:ascii="宋体" w:hAnsi="宋体" w:cs="宋体" w:eastAsia="宋体" w:hint="default"/>
          <w:b/>
          <w:bCs/>
          <w:sz w:val="20"/>
          <w:szCs w:val="20"/>
        </w:rPr>
        <w:t>、以公允价值计量且其变动计入当期损益的金融负债</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7"/>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33、衍生金融负债" w:id="314"/>
      <w:bookmarkEnd w:id="314"/>
      <w:r>
        <w:rPr/>
      </w:r>
      <w:r>
        <w:rPr>
          <w:rFonts w:ascii="宋体" w:hAnsi="宋体" w:cs="宋体" w:eastAsia="宋体" w:hint="default"/>
          <w:b/>
          <w:bCs/>
          <w:sz w:val="20"/>
          <w:szCs w:val="20"/>
        </w:rPr>
        <w:t>33</w:t>
      </w:r>
      <w:r>
        <w:rPr>
          <w:rFonts w:ascii="宋体" w:hAnsi="宋体" w:cs="宋体" w:eastAsia="宋体" w:hint="default"/>
          <w:b/>
          <w:bCs/>
          <w:sz w:val="20"/>
          <w:szCs w:val="20"/>
        </w:rPr>
        <w:t>、衍生金融负债</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34、应付票据" w:id="315"/>
      <w:bookmarkEnd w:id="315"/>
      <w:r>
        <w:rPr/>
      </w:r>
      <w:r>
        <w:rPr>
          <w:rFonts w:ascii="宋体" w:hAnsi="宋体" w:cs="宋体" w:eastAsia="宋体" w:hint="default"/>
          <w:b/>
          <w:bCs/>
          <w:sz w:val="20"/>
          <w:szCs w:val="20"/>
        </w:rPr>
        <w:t>34</w:t>
      </w:r>
      <w:r>
        <w:rPr>
          <w:rFonts w:ascii="宋体" w:hAnsi="宋体" w:cs="宋体" w:eastAsia="宋体" w:hint="default"/>
          <w:b/>
          <w:bCs/>
          <w:sz w:val="20"/>
          <w:szCs w:val="20"/>
        </w:rPr>
        <w:t>、应付票据</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171"/>
        <w:gridCol w:w="3204"/>
        <w:gridCol w:w="3188"/>
      </w:tblGrid>
      <w:tr>
        <w:trPr>
          <w:trHeight w:val="413"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394"/>
              <w:jc w:val="right"/>
              <w:rPr>
                <w:rFonts w:ascii="宋体" w:hAnsi="宋体" w:cs="宋体" w:eastAsia="宋体" w:hint="default"/>
                <w:sz w:val="18"/>
                <w:szCs w:val="18"/>
              </w:rPr>
            </w:pPr>
            <w:r>
              <w:rPr>
                <w:rFonts w:ascii="宋体" w:hAnsi="宋体" w:cs="宋体" w:eastAsia="宋体" w:hint="default"/>
                <w:sz w:val="18"/>
                <w:szCs w:val="18"/>
              </w:rPr>
              <w:t>种类</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55,035,172.13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34,749,821.02</w:t>
            </w:r>
          </w:p>
        </w:tc>
      </w:tr>
      <w:tr>
        <w:trPr>
          <w:trHeight w:val="416"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1394"/>
              <w:jc w:val="righ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55,035,172.13</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34,749,821.02</w:t>
            </w:r>
          </w:p>
        </w:tc>
      </w:tr>
    </w:tbl>
    <w:p>
      <w:pPr>
        <w:pStyle w:val="BodyText"/>
        <w:spacing w:line="240" w:lineRule="auto" w:before="63"/>
        <w:ind w:left="1134" w:right="0"/>
        <w:jc w:val="left"/>
      </w:pPr>
      <w:r>
        <w:rPr/>
        <w:t>本期末已到期未支付的应付票据总额为</w:t>
      </w:r>
      <w:r>
        <w:rPr>
          <w:spacing w:val="-54"/>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35、应付账款" w:id="316"/>
      <w:bookmarkEnd w:id="316"/>
      <w:r>
        <w:rPr/>
      </w:r>
      <w:r>
        <w:rPr>
          <w:rFonts w:ascii="宋体" w:hAnsi="宋体" w:cs="宋体" w:eastAsia="宋体" w:hint="default"/>
          <w:b/>
          <w:bCs/>
          <w:sz w:val="20"/>
          <w:szCs w:val="20"/>
        </w:rPr>
        <w:t>35</w:t>
      </w:r>
      <w:r>
        <w:rPr>
          <w:rFonts w:ascii="宋体" w:hAnsi="宋体" w:cs="宋体" w:eastAsia="宋体" w:hint="default"/>
          <w:b/>
          <w:bCs/>
          <w:sz w:val="20"/>
          <w:szCs w:val="20"/>
        </w:rPr>
        <w:t>、应付账款</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应付账款列示" w:id="317"/>
      <w:bookmarkEnd w:id="317"/>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）应付账款列示</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341,172,392.83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212,074,119.99</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10,698,009.04</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9,671,791.43</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3,413,254.77</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909,445.70</w:t>
            </w:r>
          </w:p>
        </w:tc>
      </w:tr>
      <w:tr>
        <w:trPr>
          <w:trHeight w:val="416" w:hRule="exact"/>
        </w:trPr>
        <w:tc>
          <w:tcPr>
            <w:tcW w:w="318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1,926,924.74</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1,940,822.11</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96"/>
      </w:tblGrid>
      <w:tr>
        <w:trPr>
          <w:trHeight w:val="422" w:hRule="exact"/>
        </w:trPr>
        <w:tc>
          <w:tcPr>
            <w:tcW w:w="3188"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1897" w:right="0"/>
              <w:jc w:val="left"/>
              <w:rPr>
                <w:rFonts w:ascii="宋体" w:hAnsi="宋体" w:cs="宋体" w:eastAsia="宋体" w:hint="default"/>
                <w:sz w:val="18"/>
                <w:szCs w:val="18"/>
              </w:rPr>
            </w:pPr>
            <w:r>
              <w:rPr>
                <w:rFonts w:ascii="宋体"/>
                <w:sz w:val="18"/>
              </w:rPr>
              <w:t>357,210,581.38</w:t>
            </w:r>
          </w:p>
        </w:tc>
        <w:tc>
          <w:tcPr>
            <w:tcW w:w="319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1893" w:right="0"/>
              <w:jc w:val="left"/>
              <w:rPr>
                <w:rFonts w:ascii="宋体" w:hAnsi="宋体" w:cs="宋体" w:eastAsia="宋体" w:hint="default"/>
                <w:sz w:val="18"/>
                <w:szCs w:val="18"/>
              </w:rPr>
            </w:pPr>
            <w:r>
              <w:rPr>
                <w:rFonts w:ascii="宋体"/>
                <w:sz w:val="18"/>
              </w:rPr>
              <w:t>224,596,179.23</w:t>
            </w:r>
          </w:p>
        </w:tc>
      </w:tr>
    </w:tbl>
    <w:p>
      <w:pPr>
        <w:spacing w:line="240" w:lineRule="auto" w:before="8"/>
        <w:rPr>
          <w:rFonts w:ascii="宋体" w:hAnsi="宋体" w:cs="宋体" w:eastAsia="宋体" w:hint="default"/>
          <w:sz w:val="19"/>
          <w:szCs w:val="19"/>
        </w:rPr>
      </w:pPr>
    </w:p>
    <w:p>
      <w:pPr>
        <w:spacing w:before="38"/>
        <w:ind w:left="1134" w:right="0" w:firstLine="0"/>
        <w:jc w:val="left"/>
        <w:rPr>
          <w:rFonts w:ascii="宋体" w:hAnsi="宋体" w:cs="宋体" w:eastAsia="宋体" w:hint="default"/>
          <w:sz w:val="20"/>
          <w:szCs w:val="20"/>
        </w:rPr>
      </w:pPr>
      <w:bookmarkStart w:name="（2）账龄超过1年的重要应付账款" w:id="318"/>
      <w:bookmarkEnd w:id="318"/>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）账龄超过</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2"/>
          <w:sz w:val="20"/>
          <w:szCs w:val="20"/>
        </w:rPr>
        <w:t> </w:t>
      </w:r>
      <w:r>
        <w:rPr>
          <w:rFonts w:ascii="宋体" w:hAnsi="宋体" w:cs="宋体" w:eastAsia="宋体" w:hint="default"/>
          <w:b/>
          <w:bCs/>
          <w:sz w:val="20"/>
          <w:szCs w:val="20"/>
        </w:rPr>
        <w:t>年的重要应付账款</w:t>
      </w:r>
      <w:r>
        <w:rPr>
          <w:rFonts w:ascii="宋体" w:hAnsi="宋体" w:cs="宋体" w:eastAsia="宋体" w:hint="default"/>
          <w:sz w:val="20"/>
          <w:szCs w:val="20"/>
        </w:rPr>
      </w:r>
    </w:p>
    <w:p>
      <w:pPr>
        <w:spacing w:line="240" w:lineRule="auto" w:before="10"/>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76"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东莞市安天下智能科技有限公司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2,693,863.24</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未到预定付款期限</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三明亿力森达电气设备有限公司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2,293,175.38</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未到预定付款期限</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湖北凯乐科技股份有限公司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2,154,203.43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未到预定付款期限</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7,141,242.05</w:t>
            </w:r>
          </w:p>
        </w:tc>
        <w:tc>
          <w:tcPr>
            <w:tcW w:w="3188"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sz w:val="18"/>
              </w:rPr>
              <w:t>--</w:t>
            </w:r>
          </w:p>
        </w:tc>
      </w:tr>
    </w:tbl>
    <w:p>
      <w:pPr>
        <w:pStyle w:val="BodyText"/>
        <w:spacing w:line="240" w:lineRule="auto" w:before="63"/>
        <w:ind w:left="1134" w:right="0"/>
        <w:jc w:val="left"/>
      </w:pPr>
      <w:r>
        <w:rPr/>
        <w:t>其他说明：</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spacing w:val="-1"/>
        </w:rPr>
        <w:t>应付账款年末数比年初数增加</w:t>
      </w:r>
      <w:r>
        <w:rPr>
          <w:rFonts w:ascii="宋体" w:hAnsi="宋体" w:cs="宋体" w:eastAsia="宋体" w:hint="default"/>
          <w:spacing w:val="-1"/>
        </w:rPr>
        <w:t>132,614,402.15</w:t>
      </w:r>
      <w:r>
        <w:rPr>
          <w:spacing w:val="-1"/>
        </w:rPr>
        <w:t>元，增加比例为</w:t>
      </w:r>
      <w:r>
        <w:rPr>
          <w:rFonts w:ascii="宋体" w:hAnsi="宋体" w:cs="宋体" w:eastAsia="宋体" w:hint="default"/>
          <w:spacing w:val="-1"/>
        </w:rPr>
        <w:t>59.05%</w:t>
      </w:r>
      <w:r>
        <w:rPr>
          <w:spacing w:val="-1"/>
        </w:rPr>
        <w:t>，增加的主要原因为子公司湖北</w:t>
      </w:r>
      <w:r>
        <w:rPr/>
        <w:t> 索瑞电气年末采购大幅度增加所致。</w:t>
      </w:r>
    </w:p>
    <w:p>
      <w:pPr>
        <w:spacing w:before="55"/>
        <w:ind w:left="1133" w:right="0" w:firstLine="0"/>
        <w:jc w:val="left"/>
        <w:rPr>
          <w:rFonts w:ascii="宋体" w:hAnsi="宋体" w:cs="宋体" w:eastAsia="宋体" w:hint="default"/>
          <w:sz w:val="20"/>
          <w:szCs w:val="20"/>
        </w:rPr>
      </w:pPr>
      <w:bookmarkStart w:name="36、预收款项" w:id="319"/>
      <w:bookmarkEnd w:id="319"/>
      <w:r>
        <w:rPr/>
      </w:r>
      <w:r>
        <w:rPr>
          <w:rFonts w:ascii="宋体" w:hAnsi="宋体" w:cs="宋体" w:eastAsia="宋体" w:hint="default"/>
          <w:b/>
          <w:bCs/>
          <w:sz w:val="20"/>
          <w:szCs w:val="20"/>
        </w:rPr>
        <w:t>36</w:t>
      </w:r>
      <w:r>
        <w:rPr>
          <w:rFonts w:ascii="宋体" w:hAnsi="宋体" w:cs="宋体" w:eastAsia="宋体" w:hint="default"/>
          <w:b/>
          <w:bCs/>
          <w:sz w:val="20"/>
          <w:szCs w:val="20"/>
        </w:rPr>
        <w:t>、预收款项</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预收款项列示" w:id="320"/>
      <w:bookmarkEnd w:id="320"/>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）预收款项列示</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405"/>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6,358,732.77</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5,728,822.13</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20,000.00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29,451.11</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3,571.45</w:t>
            </w:r>
          </w:p>
        </w:tc>
      </w:tr>
      <w:tr>
        <w:trPr>
          <w:trHeight w:val="416"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1405"/>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6,378,732.77</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5,761,844.69</w:t>
            </w:r>
          </w:p>
        </w:tc>
      </w:tr>
    </w:tbl>
    <w:p>
      <w:pPr>
        <w:spacing w:before="72"/>
        <w:ind w:left="1134" w:right="0" w:firstLine="0"/>
        <w:jc w:val="left"/>
        <w:rPr>
          <w:rFonts w:ascii="宋体" w:hAnsi="宋体" w:cs="宋体" w:eastAsia="宋体" w:hint="default"/>
          <w:sz w:val="20"/>
          <w:szCs w:val="20"/>
        </w:rPr>
      </w:pPr>
      <w:bookmarkStart w:name="（2）账龄超过1年的重要预收款项" w:id="321"/>
      <w:bookmarkEnd w:id="321"/>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）账龄超过</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2"/>
          <w:sz w:val="20"/>
          <w:szCs w:val="20"/>
        </w:rPr>
        <w:t> </w:t>
      </w:r>
      <w:r>
        <w:rPr>
          <w:rFonts w:ascii="宋体" w:hAnsi="宋体" w:cs="宋体" w:eastAsia="宋体" w:hint="default"/>
          <w:b/>
          <w:bCs/>
          <w:sz w:val="20"/>
          <w:szCs w:val="20"/>
        </w:rPr>
        <w:t>年的重要预收款项</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3）期末建造合同形成的已结算未完工项目情况" w:id="322"/>
      <w:bookmarkEnd w:id="322"/>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）期末建造合同形成的已结算未完工项目情况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134" w:right="8968"/>
        <w:jc w:val="left"/>
      </w:pPr>
      <w:r>
        <w:rPr/>
        <w:t>□ 适用 √</w:t>
      </w:r>
      <w:r>
        <w:rPr>
          <w:spacing w:val="-1"/>
        </w:rPr>
        <w:t> </w:t>
      </w:r>
      <w:r>
        <w:rPr/>
        <w:t>不适用</w:t>
      </w:r>
      <w:r>
        <w:rPr/>
        <w:t> 其他说明：</w:t>
      </w:r>
    </w:p>
    <w:p>
      <w:pPr>
        <w:pStyle w:val="BodyText"/>
        <w:spacing w:line="408" w:lineRule="auto" w:before="46"/>
        <w:ind w:right="0" w:firstLine="420"/>
        <w:jc w:val="left"/>
      </w:pPr>
      <w:r>
        <w:rPr>
          <w:spacing w:val="-1"/>
        </w:rPr>
        <w:t>预收账款年末数比年初数增加</w:t>
      </w:r>
      <w:r>
        <w:rPr>
          <w:rFonts w:ascii="宋体" w:hAnsi="宋体" w:cs="宋体" w:eastAsia="宋体" w:hint="default"/>
          <w:spacing w:val="-1"/>
        </w:rPr>
        <w:t>616,888.08</w:t>
      </w:r>
      <w:r>
        <w:rPr>
          <w:spacing w:val="-1"/>
        </w:rPr>
        <w:t>元，增加比例为</w:t>
      </w:r>
      <w:r>
        <w:rPr>
          <w:rFonts w:ascii="宋体" w:hAnsi="宋体" w:cs="宋体" w:eastAsia="宋体" w:hint="default"/>
          <w:spacing w:val="-1"/>
        </w:rPr>
        <w:t>10.71%</w:t>
      </w:r>
      <w:r>
        <w:rPr>
          <w:spacing w:val="-1"/>
        </w:rPr>
        <w:t>，增加的主要原因为子公司湖北索瑞</w:t>
      </w:r>
      <w:r>
        <w:rPr/>
        <w:t> 电气本年预收账款增加所致。</w:t>
      </w:r>
    </w:p>
    <w:p>
      <w:pPr>
        <w:spacing w:before="56"/>
        <w:ind w:left="1133" w:right="0" w:firstLine="0"/>
        <w:jc w:val="left"/>
        <w:rPr>
          <w:rFonts w:ascii="宋体" w:hAnsi="宋体" w:cs="宋体" w:eastAsia="宋体" w:hint="default"/>
          <w:sz w:val="20"/>
          <w:szCs w:val="20"/>
        </w:rPr>
      </w:pPr>
      <w:bookmarkStart w:name="37、应付职工薪酬" w:id="323"/>
      <w:bookmarkEnd w:id="323"/>
      <w:r>
        <w:rPr/>
      </w:r>
      <w:r>
        <w:rPr>
          <w:rFonts w:ascii="宋体" w:hAnsi="宋体" w:cs="宋体" w:eastAsia="宋体" w:hint="default"/>
          <w:b/>
          <w:bCs/>
          <w:sz w:val="20"/>
          <w:szCs w:val="20"/>
        </w:rPr>
        <w:t>37</w:t>
      </w:r>
      <w:r>
        <w:rPr>
          <w:rFonts w:ascii="宋体" w:hAnsi="宋体" w:cs="宋体" w:eastAsia="宋体" w:hint="default"/>
          <w:b/>
          <w:bCs/>
          <w:sz w:val="20"/>
          <w:szCs w:val="20"/>
        </w:rPr>
        <w:t>、应付职工薪酬</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应付职工薪酬列示" w:id="324"/>
      <w:bookmarkEnd w:id="324"/>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）应付职工薪酬列示</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25" w:type="dxa"/>
        <w:tblLayout w:type="fixed"/>
        <w:tblCellMar>
          <w:top w:w="0" w:type="dxa"/>
          <w:left w:w="0" w:type="dxa"/>
          <w:bottom w:w="0" w:type="dxa"/>
          <w:right w:w="0" w:type="dxa"/>
        </w:tblCellMar>
        <w:tblLook w:val="01E0"/>
      </w:tblPr>
      <w:tblGrid>
        <w:gridCol w:w="1896"/>
        <w:gridCol w:w="1927"/>
        <w:gridCol w:w="1914"/>
        <w:gridCol w:w="1914"/>
        <w:gridCol w:w="1913"/>
      </w:tblGrid>
      <w:tr>
        <w:trPr>
          <w:trHeight w:val="415" w:hRule="exact"/>
        </w:trPr>
        <w:tc>
          <w:tcPr>
            <w:tcW w:w="18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86"/>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10,110,151.46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67,584,531.09</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66,671,960.90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11,022,721.65</w:t>
            </w:r>
          </w:p>
        </w:tc>
      </w:tr>
      <w:tr>
        <w:trPr>
          <w:trHeight w:val="719"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6" w:right="8"/>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w:t>
            </w:r>
            <w:r>
              <w:rPr>
                <w:rFonts w:ascii="宋体" w:hAnsi="宋体" w:cs="宋体" w:eastAsia="宋体" w:hint="default"/>
                <w:spacing w:val="-80"/>
                <w:sz w:val="18"/>
                <w:szCs w:val="18"/>
              </w:rPr>
              <w:t> </w:t>
            </w:r>
            <w:r>
              <w:rPr>
                <w:rFonts w:ascii="宋体" w:hAnsi="宋体" w:cs="宋体" w:eastAsia="宋体" w:hint="default"/>
                <w:sz w:val="18"/>
                <w:szCs w:val="18"/>
              </w:rPr>
              <w:t>存计划</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154,555.72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5,077,522.60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5,061,843.02</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170,235.30</w:t>
            </w:r>
          </w:p>
        </w:tc>
      </w:tr>
      <w:tr>
        <w:trPr>
          <w:trHeight w:val="415" w:hRule="exact"/>
        </w:trPr>
        <w:tc>
          <w:tcPr>
            <w:tcW w:w="18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10,264,707.18</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72,662,053.69</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71,733,803.92</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11,192,956.95</w:t>
            </w:r>
          </w:p>
        </w:tc>
      </w:tr>
    </w:tbl>
    <w:p>
      <w:pPr>
        <w:spacing w:line="240" w:lineRule="auto" w:before="8"/>
        <w:rPr>
          <w:rFonts w:ascii="宋体" w:hAnsi="宋体" w:cs="宋体" w:eastAsia="宋体" w:hint="default"/>
          <w:sz w:val="19"/>
          <w:szCs w:val="19"/>
        </w:rPr>
      </w:pPr>
    </w:p>
    <w:p>
      <w:pPr>
        <w:spacing w:before="38"/>
        <w:ind w:left="1134" w:right="0" w:firstLine="0"/>
        <w:jc w:val="left"/>
        <w:rPr>
          <w:rFonts w:ascii="宋体" w:hAnsi="宋体" w:cs="宋体" w:eastAsia="宋体" w:hint="default"/>
          <w:sz w:val="20"/>
          <w:szCs w:val="20"/>
        </w:rPr>
      </w:pPr>
      <w:bookmarkStart w:name="（2）短期薪酬列示" w:id="325"/>
      <w:bookmarkEnd w:id="325"/>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）短期薪酬列示</w:t>
      </w:r>
      <w:r>
        <w:rPr>
          <w:rFonts w:ascii="宋体" w:hAnsi="宋体" w:cs="宋体" w:eastAsia="宋体" w:hint="default"/>
          <w:sz w:val="20"/>
          <w:szCs w:val="20"/>
        </w:rPr>
      </w:r>
    </w:p>
    <w:p>
      <w:pPr>
        <w:spacing w:line="240" w:lineRule="auto" w:before="9"/>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1896"/>
        <w:gridCol w:w="1927"/>
        <w:gridCol w:w="1914"/>
        <w:gridCol w:w="1914"/>
        <w:gridCol w:w="1913"/>
      </w:tblGrid>
      <w:tr>
        <w:trPr>
          <w:trHeight w:val="413" w:hRule="exact"/>
        </w:trPr>
        <w:tc>
          <w:tcPr>
            <w:tcW w:w="18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9"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8"/>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9,926,072.92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57,650,796.16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56,718,209.81</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10,858,659.27</w:t>
            </w:r>
          </w:p>
        </w:tc>
      </w:tr>
      <w:tr>
        <w:trPr>
          <w:trHeight w:val="408"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92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4,792,492.14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4,792,492.14</w:t>
            </w: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98,398.54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2,700,827.83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2,692,283.99</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106,942.38</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86,455.60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2,362,202.99</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2,355,520.43</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93,138.16</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64"/>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8,430.31</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212,325.81</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211,011.97</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9,744.15</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64"/>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3,512.63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126,299.03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125,751.59</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4,060.07</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92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1,538,030.40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1,538,030.40</w:t>
            </w: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3"/>
              <w:ind w:left="6" w:right="8"/>
              <w:jc w:val="left"/>
              <w:rPr>
                <w:rFonts w:ascii="宋体" w:hAnsi="宋体" w:cs="宋体" w:eastAsia="宋体" w:hint="default"/>
                <w:sz w:val="18"/>
                <w:szCs w:val="18"/>
              </w:rPr>
            </w:pPr>
            <w:r>
              <w:rPr>
                <w:rFonts w:ascii="宋体" w:hAnsi="宋体" w:cs="宋体" w:eastAsia="宋体"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85,680.00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831,944.56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860,504.56</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57,120.00</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、辞退福利</w:t>
            </w:r>
          </w:p>
        </w:tc>
        <w:tc>
          <w:tcPr>
            <w:tcW w:w="1927"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70,440.00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70,440.00</w:t>
            </w: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8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10,110,151.46</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67,584,531.09</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66,671,960.90</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11,022,721.65</w:t>
            </w:r>
          </w:p>
        </w:tc>
      </w:tr>
    </w:tbl>
    <w:p>
      <w:pPr>
        <w:spacing w:line="240" w:lineRule="auto" w:before="8"/>
        <w:rPr>
          <w:rFonts w:ascii="宋体" w:hAnsi="宋体" w:cs="宋体" w:eastAsia="宋体" w:hint="default"/>
          <w:sz w:val="19"/>
          <w:szCs w:val="19"/>
        </w:rPr>
      </w:pPr>
    </w:p>
    <w:p>
      <w:pPr>
        <w:spacing w:before="38"/>
        <w:ind w:left="1134" w:right="0" w:firstLine="0"/>
        <w:jc w:val="left"/>
        <w:rPr>
          <w:rFonts w:ascii="宋体" w:hAnsi="宋体" w:cs="宋体" w:eastAsia="宋体" w:hint="default"/>
          <w:sz w:val="20"/>
          <w:szCs w:val="20"/>
        </w:rPr>
      </w:pPr>
      <w:bookmarkStart w:name="（3）设定提存计划列示" w:id="326"/>
      <w:bookmarkEnd w:id="326"/>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）设定提存计划列示</w:t>
      </w:r>
      <w:r>
        <w:rPr>
          <w:rFonts w:ascii="宋体" w:hAnsi="宋体" w:cs="宋体" w:eastAsia="宋体" w:hint="default"/>
          <w:sz w:val="20"/>
          <w:szCs w:val="20"/>
        </w:rPr>
      </w:r>
    </w:p>
    <w:p>
      <w:pPr>
        <w:spacing w:line="240" w:lineRule="auto" w:before="9"/>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1896"/>
        <w:gridCol w:w="1927"/>
        <w:gridCol w:w="1914"/>
        <w:gridCol w:w="1914"/>
        <w:gridCol w:w="1913"/>
      </w:tblGrid>
      <w:tr>
        <w:trPr>
          <w:trHeight w:val="415" w:hRule="exact"/>
        </w:trPr>
        <w:tc>
          <w:tcPr>
            <w:tcW w:w="18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140,505.20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4,716,615.19</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4,698,825.79</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158,294.60</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14,050.52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360,907.41</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363,017.23</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11,940.70</w:t>
            </w:r>
          </w:p>
        </w:tc>
      </w:tr>
      <w:tr>
        <w:trPr>
          <w:trHeight w:val="415" w:hRule="exact"/>
        </w:trPr>
        <w:tc>
          <w:tcPr>
            <w:tcW w:w="18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154,555.72</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5,077,522.60</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5,061,843.02</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170,235.30</w:t>
            </w:r>
          </w:p>
        </w:tc>
      </w:tr>
    </w:tbl>
    <w:p>
      <w:pPr>
        <w:spacing w:line="240" w:lineRule="auto" w:before="8"/>
        <w:rPr>
          <w:rFonts w:ascii="宋体" w:hAnsi="宋体" w:cs="宋体" w:eastAsia="宋体" w:hint="default"/>
          <w:sz w:val="19"/>
          <w:szCs w:val="19"/>
        </w:rPr>
      </w:pPr>
    </w:p>
    <w:p>
      <w:pPr>
        <w:spacing w:before="38"/>
        <w:ind w:left="1134" w:right="0" w:firstLine="0"/>
        <w:jc w:val="left"/>
        <w:rPr>
          <w:rFonts w:ascii="宋体" w:hAnsi="宋体" w:cs="宋体" w:eastAsia="宋体" w:hint="default"/>
          <w:sz w:val="20"/>
          <w:szCs w:val="20"/>
        </w:rPr>
      </w:pPr>
      <w:bookmarkStart w:name="38、应交税费" w:id="327"/>
      <w:bookmarkEnd w:id="327"/>
      <w:r>
        <w:rPr/>
      </w:r>
      <w:r>
        <w:rPr>
          <w:rFonts w:ascii="宋体" w:hAnsi="宋体" w:cs="宋体" w:eastAsia="宋体" w:hint="default"/>
          <w:b/>
          <w:bCs/>
          <w:sz w:val="20"/>
          <w:szCs w:val="20"/>
        </w:rPr>
        <w:t>38</w:t>
      </w:r>
      <w:r>
        <w:rPr>
          <w:rFonts w:ascii="宋体" w:hAnsi="宋体" w:cs="宋体" w:eastAsia="宋体" w:hint="default"/>
          <w:b/>
          <w:bCs/>
          <w:sz w:val="20"/>
          <w:szCs w:val="20"/>
        </w:rPr>
        <w:t>、应交税费</w:t>
      </w:r>
      <w:r>
        <w:rPr>
          <w:rFonts w:ascii="宋体" w:hAnsi="宋体" w:cs="宋体" w:eastAsia="宋体" w:hint="default"/>
          <w:sz w:val="20"/>
          <w:szCs w:val="20"/>
        </w:rPr>
      </w:r>
    </w:p>
    <w:p>
      <w:pPr>
        <w:spacing w:line="240" w:lineRule="auto" w:before="10"/>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171"/>
        <w:gridCol w:w="3204"/>
        <w:gridCol w:w="3188"/>
      </w:tblGrid>
      <w:tr>
        <w:trPr>
          <w:trHeight w:val="415"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2,220,895.68</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7,465,766.71</w:t>
            </w: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153,338.53</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169,331.23</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6,176,254.16</w:t>
            </w:r>
          </w:p>
        </w:tc>
        <w:tc>
          <w:tcPr>
            <w:tcW w:w="318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5,517,337.26</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1,222,841.11</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1,661,707.65</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756,698.51</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775,001.73</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466,162.03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1,143,075.01</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622,971.71</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678,239.19</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11,619,161.73</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17,410,458.78</w:t>
            </w:r>
          </w:p>
        </w:tc>
      </w:tr>
    </w:tbl>
    <w:p>
      <w:pPr>
        <w:pStyle w:val="BodyText"/>
        <w:spacing w:line="240" w:lineRule="auto" w:before="63"/>
        <w:ind w:left="1134" w:right="0"/>
        <w:jc w:val="left"/>
      </w:pPr>
      <w:r>
        <w:rPr/>
        <w:t>其他说明：</w:t>
      </w:r>
    </w:p>
    <w:p>
      <w:pPr>
        <w:spacing w:line="240" w:lineRule="auto" w:before="10"/>
        <w:rPr>
          <w:rFonts w:ascii="宋体" w:hAnsi="宋体" w:cs="宋体" w:eastAsia="宋体" w:hint="default"/>
          <w:sz w:val="14"/>
          <w:szCs w:val="14"/>
        </w:rPr>
      </w:pPr>
    </w:p>
    <w:p>
      <w:pPr>
        <w:pStyle w:val="BodyText"/>
        <w:spacing w:line="408" w:lineRule="auto"/>
        <w:ind w:right="1116" w:firstLine="420"/>
        <w:jc w:val="left"/>
      </w:pPr>
      <w:r>
        <w:rPr>
          <w:spacing w:val="-1"/>
        </w:rPr>
        <w:t>应交税费年末数比年初数减少</w:t>
      </w:r>
      <w:r>
        <w:rPr>
          <w:rFonts w:ascii="宋体" w:hAnsi="宋体" w:cs="宋体" w:eastAsia="宋体" w:hint="default"/>
          <w:spacing w:val="-1"/>
        </w:rPr>
        <w:t>5,791,297.05</w:t>
      </w:r>
      <w:r>
        <w:rPr>
          <w:spacing w:val="-1"/>
        </w:rPr>
        <w:t>元，减少比例为</w:t>
      </w:r>
      <w:r>
        <w:rPr>
          <w:rFonts w:ascii="宋体" w:hAnsi="宋体" w:cs="宋体" w:eastAsia="宋体" w:hint="default"/>
          <w:spacing w:val="-1"/>
        </w:rPr>
        <w:t>33.26%</w:t>
      </w:r>
      <w:r>
        <w:rPr>
          <w:spacing w:val="-1"/>
        </w:rPr>
        <w:t>，减少的主要原因为应交增值税减</w:t>
      </w:r>
      <w:r>
        <w:rPr/>
        <w:t> 少所致。</w:t>
      </w:r>
    </w:p>
    <w:p>
      <w:pPr>
        <w:spacing w:before="55"/>
        <w:ind w:left="1133" w:right="0" w:firstLine="0"/>
        <w:jc w:val="left"/>
        <w:rPr>
          <w:rFonts w:ascii="宋体" w:hAnsi="宋体" w:cs="宋体" w:eastAsia="宋体" w:hint="default"/>
          <w:sz w:val="20"/>
          <w:szCs w:val="20"/>
        </w:rPr>
      </w:pPr>
      <w:bookmarkStart w:name="39、应付利息" w:id="328"/>
      <w:bookmarkEnd w:id="328"/>
      <w:r>
        <w:rPr/>
      </w:r>
      <w:r>
        <w:rPr>
          <w:rFonts w:ascii="宋体" w:hAnsi="宋体" w:cs="宋体" w:eastAsia="宋体" w:hint="default"/>
          <w:b/>
          <w:bCs/>
          <w:sz w:val="20"/>
          <w:szCs w:val="20"/>
        </w:rPr>
        <w:t>39</w:t>
      </w:r>
      <w:r>
        <w:rPr>
          <w:rFonts w:ascii="宋体" w:hAnsi="宋体" w:cs="宋体" w:eastAsia="宋体" w:hint="default"/>
          <w:b/>
          <w:bCs/>
          <w:sz w:val="20"/>
          <w:szCs w:val="20"/>
        </w:rPr>
        <w:t>、应付利息</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40、应付股利" w:id="329"/>
      <w:bookmarkEnd w:id="329"/>
      <w:r>
        <w:rPr/>
      </w:r>
      <w:r>
        <w:rPr>
          <w:rFonts w:ascii="宋体" w:hAnsi="宋体" w:cs="宋体" w:eastAsia="宋体" w:hint="default"/>
          <w:b/>
          <w:bCs/>
          <w:sz w:val="20"/>
          <w:szCs w:val="20"/>
        </w:rPr>
        <w:t>40</w:t>
      </w:r>
      <w:r>
        <w:rPr>
          <w:rFonts w:ascii="宋体" w:hAnsi="宋体" w:cs="宋体" w:eastAsia="宋体" w:hint="default"/>
          <w:b/>
          <w:bCs/>
          <w:sz w:val="20"/>
          <w:szCs w:val="20"/>
        </w:rPr>
        <w:t>、应付股利</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171"/>
        <w:gridCol w:w="3204"/>
        <w:gridCol w:w="3188"/>
      </w:tblGrid>
      <w:tr>
        <w:trPr>
          <w:trHeight w:val="415"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394"/>
              <w:jc w:val="right"/>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5,277,031.00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15,525,288.00</w:t>
            </w: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1394"/>
              <w:jc w:val="righ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5,277,031.00</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15,525,288.00</w:t>
            </w:r>
          </w:p>
        </w:tc>
      </w:tr>
    </w:tbl>
    <w:p>
      <w:pPr>
        <w:pStyle w:val="BodyText"/>
        <w:spacing w:line="240" w:lineRule="auto" w:before="63"/>
        <w:ind w:left="1134" w:right="0"/>
        <w:jc w:val="left"/>
      </w:pPr>
      <w:r>
        <w:rPr/>
        <w:t>其他说明，包括重要的超过</w:t>
      </w:r>
      <w:r>
        <w:rPr>
          <w:spacing w:val="-53"/>
        </w:rPr>
        <w:t> </w:t>
      </w:r>
      <w:r>
        <w:rPr>
          <w:rFonts w:ascii="宋体" w:hAnsi="宋体" w:cs="宋体" w:eastAsia="宋体" w:hint="default"/>
        </w:rPr>
        <w:t>1</w:t>
      </w:r>
      <w:r>
        <w:rPr>
          <w:rFonts w:ascii="宋体" w:hAnsi="宋体" w:cs="宋体" w:eastAsia="宋体" w:hint="default"/>
          <w:spacing w:val="-53"/>
        </w:rPr>
        <w:t> </w:t>
      </w:r>
      <w:r>
        <w:rPr/>
        <w:t>年未支付的应付股利，应披露未支付原因：</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t>期</w:t>
      </w:r>
      <w:r>
        <w:rPr>
          <w:spacing w:val="-71"/>
        </w:rPr>
        <w:t> </w:t>
      </w:r>
      <w:r>
        <w:rPr/>
        <w:t>末</w:t>
      </w:r>
      <w:r>
        <w:rPr>
          <w:spacing w:val="-71"/>
        </w:rPr>
        <w:t> </w:t>
      </w:r>
      <w:r>
        <w:rPr/>
        <w:t>应</w:t>
      </w:r>
      <w:r>
        <w:rPr>
          <w:spacing w:val="-72"/>
        </w:rPr>
        <w:t> </w:t>
      </w:r>
      <w:r>
        <w:rPr/>
        <w:t>付</w:t>
      </w:r>
      <w:r>
        <w:rPr>
          <w:spacing w:val="-71"/>
        </w:rPr>
        <w:t> </w:t>
      </w:r>
      <w:r>
        <w:rPr/>
        <w:t>股</w:t>
      </w:r>
      <w:r>
        <w:rPr>
          <w:spacing w:val="-72"/>
        </w:rPr>
        <w:t> </w:t>
      </w:r>
      <w:r>
        <w:rPr/>
        <w:t>利</w:t>
      </w:r>
      <w:r>
        <w:rPr>
          <w:spacing w:val="-71"/>
        </w:rPr>
        <w:t> </w:t>
      </w:r>
      <w:r>
        <w:rPr/>
        <w:t>余</w:t>
      </w:r>
      <w:r>
        <w:rPr>
          <w:spacing w:val="-72"/>
        </w:rPr>
        <w:t> </w:t>
      </w:r>
      <w:r>
        <w:rPr/>
        <w:t>额</w:t>
      </w:r>
      <w:r>
        <w:rPr>
          <w:spacing w:val="-71"/>
        </w:rPr>
        <w:t> </w:t>
      </w:r>
      <w:r>
        <w:rPr/>
        <w:t>为</w:t>
      </w:r>
      <w:r>
        <w:rPr>
          <w:spacing w:val="-72"/>
        </w:rPr>
        <w:t> </w:t>
      </w:r>
      <w:r>
        <w:rPr/>
        <w:t>子</w:t>
      </w:r>
      <w:r>
        <w:rPr>
          <w:spacing w:val="-72"/>
        </w:rPr>
        <w:t> </w:t>
      </w:r>
      <w:r>
        <w:rPr/>
        <w:t>公</w:t>
      </w:r>
      <w:r>
        <w:rPr>
          <w:spacing w:val="-71"/>
        </w:rPr>
        <w:t> </w:t>
      </w:r>
      <w:r>
        <w:rPr/>
        <w:t>司</w:t>
      </w:r>
      <w:r>
        <w:rPr>
          <w:spacing w:val="-72"/>
        </w:rPr>
        <w:t> </w:t>
      </w:r>
      <w:r>
        <w:rPr/>
        <w:t>湖</w:t>
      </w:r>
      <w:r>
        <w:rPr>
          <w:spacing w:val="-71"/>
        </w:rPr>
        <w:t> </w:t>
      </w:r>
      <w:r>
        <w:rPr/>
        <w:t>北</w:t>
      </w:r>
      <w:r>
        <w:rPr>
          <w:spacing w:val="-72"/>
        </w:rPr>
        <w:t> </w:t>
      </w:r>
      <w:r>
        <w:rPr/>
        <w:t>索</w:t>
      </w:r>
      <w:r>
        <w:rPr>
          <w:spacing w:val="-72"/>
        </w:rPr>
        <w:t> </w:t>
      </w:r>
      <w:r>
        <w:rPr/>
        <w:t>瑞</w:t>
      </w:r>
      <w:r>
        <w:rPr>
          <w:spacing w:val="-71"/>
        </w:rPr>
        <w:t> </w:t>
      </w:r>
      <w:r>
        <w:rPr/>
        <w:t>未</w:t>
      </w:r>
      <w:r>
        <w:rPr>
          <w:spacing w:val="-72"/>
        </w:rPr>
        <w:t> </w:t>
      </w:r>
      <w:r>
        <w:rPr/>
        <w:t>付</w:t>
      </w:r>
      <w:r>
        <w:rPr>
          <w:spacing w:val="-71"/>
        </w:rPr>
        <w:t> </w:t>
      </w:r>
      <w:r>
        <w:rPr/>
        <w:t>股</w:t>
      </w:r>
      <w:r>
        <w:rPr>
          <w:spacing w:val="-72"/>
        </w:rPr>
        <w:t> </w:t>
      </w:r>
      <w:r>
        <w:rPr/>
        <w:t>利</w:t>
      </w:r>
      <w:r>
        <w:rPr>
          <w:spacing w:val="-72"/>
        </w:rPr>
        <w:t> </w:t>
      </w:r>
      <w:r>
        <w:rPr/>
        <w:t>，</w:t>
      </w:r>
      <w:r>
        <w:rPr>
          <w:spacing w:val="-71"/>
        </w:rPr>
        <w:t> </w:t>
      </w:r>
      <w:r>
        <w:rPr/>
        <w:t>期</w:t>
      </w:r>
      <w:r>
        <w:rPr>
          <w:spacing w:val="-72"/>
        </w:rPr>
        <w:t> </w:t>
      </w:r>
      <w:r>
        <w:rPr/>
        <w:t>初</w:t>
      </w:r>
      <w:r>
        <w:rPr>
          <w:spacing w:val="-71"/>
        </w:rPr>
        <w:t> </w:t>
      </w:r>
      <w:r>
        <w:rPr/>
        <w:t>余</w:t>
      </w:r>
      <w:r>
        <w:rPr>
          <w:spacing w:val="-72"/>
        </w:rPr>
        <w:t> </w:t>
      </w:r>
      <w:r>
        <w:rPr/>
        <w:t>额</w:t>
      </w:r>
      <w:r>
        <w:rPr>
          <w:spacing w:val="-72"/>
        </w:rPr>
        <w:t> </w:t>
      </w:r>
      <w:r>
        <w:rPr/>
        <w:t>为</w:t>
      </w:r>
      <w:r>
        <w:rPr>
          <w:spacing w:val="-64"/>
        </w:rPr>
        <w:t> </w:t>
      </w:r>
      <w:r>
        <w:rPr>
          <w:rFonts w:ascii="宋体" w:hAnsi="宋体" w:cs="宋体" w:eastAsia="宋体" w:hint="default"/>
        </w:rPr>
        <w:t>15,525,288.00</w:t>
      </w:r>
      <w:r>
        <w:rPr>
          <w:rFonts w:ascii="宋体" w:hAnsi="宋体" w:cs="宋体" w:eastAsia="宋体" w:hint="default"/>
          <w:spacing w:val="-69"/>
        </w:rPr>
        <w:t> </w:t>
      </w:r>
      <w:r>
        <w:rPr/>
        <w:t>元</w:t>
      </w:r>
      <w:r>
        <w:rPr>
          <w:spacing w:val="-72"/>
        </w:rPr>
        <w:t> </w:t>
      </w:r>
      <w:r>
        <w:rPr/>
        <w:t>，</w:t>
      </w:r>
      <w:r>
        <w:rPr>
          <w:spacing w:val="-71"/>
        </w:rPr>
        <w:t> </w:t>
      </w:r>
      <w:r>
        <w:rPr/>
        <w:t>本</w:t>
      </w:r>
      <w:r>
        <w:rPr>
          <w:spacing w:val="-72"/>
        </w:rPr>
        <w:t> </w:t>
      </w:r>
      <w:r>
        <w:rPr/>
        <w:t>年</w:t>
      </w:r>
      <w:r>
        <w:rPr>
          <w:spacing w:val="-71"/>
        </w:rPr>
        <w:t> </w:t>
      </w:r>
      <w:r>
        <w:rPr/>
        <w:t>支</w:t>
      </w:r>
      <w:r>
        <w:rPr>
          <w:spacing w:val="-70"/>
        </w:rPr>
        <w:t> </w:t>
      </w:r>
      <w:r>
        <w:rPr/>
        <w:t>付</w:t>
      </w:r>
      <w:r>
        <w:rPr/>
        <w:t> </w:t>
      </w:r>
      <w:r>
        <w:rPr>
          <w:rFonts w:ascii="宋体" w:hAnsi="宋体" w:cs="宋体" w:eastAsia="宋体" w:hint="default"/>
        </w:rPr>
        <w:t>10,248,257.00</w:t>
      </w:r>
      <w:r>
        <w:rPr/>
        <w:t>元 ，期末余额</w:t>
      </w:r>
      <w:r>
        <w:rPr>
          <w:spacing w:val="-3"/>
        </w:rPr>
        <w:t> </w:t>
      </w:r>
      <w:r>
        <w:rPr>
          <w:rFonts w:ascii="宋体" w:hAnsi="宋体" w:cs="宋体" w:eastAsia="宋体" w:hint="default"/>
        </w:rPr>
        <w:t>5,277,031.00</w:t>
      </w:r>
      <w:r>
        <w:rPr/>
        <w:t>元。</w:t>
      </w:r>
    </w:p>
    <w:p>
      <w:pPr>
        <w:spacing w:before="55"/>
        <w:ind w:left="1133" w:right="0" w:firstLine="0"/>
        <w:jc w:val="left"/>
        <w:rPr>
          <w:rFonts w:ascii="宋体" w:hAnsi="宋体" w:cs="宋体" w:eastAsia="宋体" w:hint="default"/>
          <w:sz w:val="20"/>
          <w:szCs w:val="20"/>
        </w:rPr>
      </w:pPr>
      <w:bookmarkStart w:name="41、其他应付款" w:id="330"/>
      <w:bookmarkEnd w:id="330"/>
      <w:r>
        <w:rPr/>
      </w:r>
      <w:r>
        <w:rPr>
          <w:rFonts w:ascii="宋体" w:hAnsi="宋体" w:cs="宋体" w:eastAsia="宋体" w:hint="default"/>
          <w:b/>
          <w:bCs/>
          <w:sz w:val="20"/>
          <w:szCs w:val="20"/>
        </w:rPr>
        <w:t>41</w:t>
      </w:r>
      <w:r>
        <w:rPr>
          <w:rFonts w:ascii="宋体" w:hAnsi="宋体" w:cs="宋体" w:eastAsia="宋体" w:hint="default"/>
          <w:b/>
          <w:bCs/>
          <w:sz w:val="20"/>
          <w:szCs w:val="20"/>
        </w:rPr>
        <w:t>、其他应付款</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3" w:right="0" w:firstLine="0"/>
        <w:jc w:val="left"/>
        <w:rPr>
          <w:rFonts w:ascii="宋体" w:hAnsi="宋体" w:cs="宋体" w:eastAsia="宋体" w:hint="default"/>
          <w:sz w:val="20"/>
          <w:szCs w:val="20"/>
        </w:rPr>
      </w:pPr>
      <w:bookmarkStart w:name="（1）按款项性质列示其他应付款" w:id="331"/>
      <w:bookmarkEnd w:id="331"/>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）按款项性质列示其他应付款</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3"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405"/>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应付股权收购款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18,226,147.03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105,604,800.00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上市及发行费用</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80,000.00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4,460,000.00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284,400.00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272,330.00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费用报销</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3,369,902.20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1,198,652.73</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1,466,354.32</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1,546,504.86</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1405"/>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23,426,803.55</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113,082,287.59</w:t>
            </w:r>
          </w:p>
        </w:tc>
      </w:tr>
    </w:tbl>
    <w:p>
      <w:pPr>
        <w:spacing w:before="72"/>
        <w:ind w:left="1134" w:right="0" w:firstLine="0"/>
        <w:jc w:val="left"/>
        <w:rPr>
          <w:rFonts w:ascii="宋体" w:hAnsi="宋体" w:cs="宋体" w:eastAsia="宋体" w:hint="default"/>
          <w:sz w:val="20"/>
          <w:szCs w:val="20"/>
        </w:rPr>
      </w:pPr>
      <w:bookmarkStart w:name="（2）账龄超过1年的重要其他应付款" w:id="332"/>
      <w:bookmarkEnd w:id="332"/>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）账龄超过</w:t>
      </w:r>
      <w:r>
        <w:rPr>
          <w:rFonts w:ascii="宋体" w:hAnsi="宋体" w:cs="宋体" w:eastAsia="宋体" w:hint="default"/>
          <w:b/>
          <w:bCs/>
          <w:spacing w:val="-51"/>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年的重要其他应付款</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134" w:right="8968"/>
        <w:jc w:val="left"/>
      </w:pPr>
      <w:r>
        <w:rPr/>
        <w:t>□ 适用 √</w:t>
      </w:r>
      <w:r>
        <w:rPr>
          <w:spacing w:val="-1"/>
        </w:rPr>
        <w:t> </w:t>
      </w:r>
      <w:r>
        <w:rPr/>
        <w:t>不适用</w:t>
      </w:r>
      <w:r>
        <w:rPr/>
        <w:t> 其他说明</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right="1198" w:firstLine="420"/>
        <w:jc w:val="left"/>
      </w:pPr>
      <w:r>
        <w:rPr/>
        <w:t>其他应付款年末数比年初减少</w:t>
      </w:r>
      <w:r>
        <w:rPr>
          <w:rFonts w:ascii="宋体" w:hAnsi="宋体" w:cs="宋体" w:eastAsia="宋体" w:hint="default"/>
        </w:rPr>
        <w:t>89,655,484.04</w:t>
      </w:r>
      <w:r>
        <w:rPr/>
        <w:t>元，减少比例为</w:t>
      </w:r>
      <w:r>
        <w:rPr>
          <w:rFonts w:ascii="宋体" w:hAnsi="宋体" w:cs="宋体" w:eastAsia="宋体" w:hint="default"/>
        </w:rPr>
        <w:t>79.28%</w:t>
      </w:r>
      <w:r>
        <w:rPr/>
        <w:t>，减少的主要原因为支付股权转 让款所致。</w:t>
      </w:r>
    </w:p>
    <w:p>
      <w:pPr>
        <w:spacing w:before="55"/>
        <w:ind w:left="1133" w:right="0" w:firstLine="0"/>
        <w:jc w:val="left"/>
        <w:rPr>
          <w:rFonts w:ascii="宋体" w:hAnsi="宋体" w:cs="宋体" w:eastAsia="宋体" w:hint="default"/>
          <w:sz w:val="20"/>
          <w:szCs w:val="20"/>
        </w:rPr>
      </w:pPr>
      <w:bookmarkStart w:name="42、划分为持有待售的负债" w:id="333"/>
      <w:bookmarkEnd w:id="333"/>
      <w:r>
        <w:rPr/>
      </w:r>
      <w:r>
        <w:rPr>
          <w:rFonts w:ascii="宋体" w:hAnsi="宋体" w:cs="宋体" w:eastAsia="宋体" w:hint="default"/>
          <w:b/>
          <w:bCs/>
          <w:sz w:val="20"/>
          <w:szCs w:val="20"/>
        </w:rPr>
        <w:t>42</w:t>
      </w:r>
      <w:r>
        <w:rPr>
          <w:rFonts w:ascii="宋体" w:hAnsi="宋体" w:cs="宋体" w:eastAsia="宋体" w:hint="default"/>
          <w:b/>
          <w:bCs/>
          <w:sz w:val="20"/>
          <w:szCs w:val="20"/>
        </w:rPr>
        <w:t>、划分为持有待售的负债</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43、一年内到期的非流动负债" w:id="334"/>
      <w:bookmarkEnd w:id="334"/>
      <w:r>
        <w:rPr/>
      </w:r>
      <w:r>
        <w:rPr>
          <w:rFonts w:ascii="宋体" w:hAnsi="宋体" w:cs="宋体" w:eastAsia="宋体" w:hint="default"/>
          <w:b/>
          <w:bCs/>
          <w:sz w:val="20"/>
          <w:szCs w:val="20"/>
        </w:rPr>
        <w:t>43</w:t>
      </w:r>
      <w:r>
        <w:rPr>
          <w:rFonts w:ascii="宋体" w:hAnsi="宋体" w:cs="宋体" w:eastAsia="宋体" w:hint="default"/>
          <w:b/>
          <w:bCs/>
          <w:sz w:val="20"/>
          <w:szCs w:val="20"/>
        </w:rPr>
        <w:t>、一年内到期的非流动负债</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171"/>
        <w:gridCol w:w="3204"/>
        <w:gridCol w:w="3188"/>
      </w:tblGrid>
      <w:tr>
        <w:trPr>
          <w:trHeight w:val="413"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21,185,624.07</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6"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21,185,624.07</w:t>
            </w:r>
          </w:p>
        </w:tc>
        <w:tc>
          <w:tcPr>
            <w:tcW w:w="3188" w:type="dxa"/>
            <w:tcBorders>
              <w:top w:val="single" w:sz="6" w:space="0" w:color="000000"/>
              <w:left w:val="single" w:sz="6" w:space="0" w:color="000000"/>
              <w:bottom w:val="single" w:sz="12" w:space="0" w:color="000000"/>
              <w:right w:val="single" w:sz="12" w:space="0" w:color="000000"/>
            </w:tcBorders>
          </w:tcPr>
          <w:p>
            <w:pPr/>
          </w:p>
        </w:tc>
      </w:tr>
    </w:tbl>
    <w:p>
      <w:pPr>
        <w:spacing w:before="72"/>
        <w:ind w:left="1134" w:right="0" w:firstLine="0"/>
        <w:jc w:val="left"/>
        <w:rPr>
          <w:rFonts w:ascii="宋体" w:hAnsi="宋体" w:cs="宋体" w:eastAsia="宋体" w:hint="default"/>
          <w:sz w:val="20"/>
          <w:szCs w:val="20"/>
        </w:rPr>
      </w:pPr>
      <w:bookmarkStart w:name="44、其他流动负债" w:id="335"/>
      <w:bookmarkEnd w:id="335"/>
      <w:r>
        <w:rPr/>
      </w:r>
      <w:r>
        <w:rPr>
          <w:rFonts w:ascii="宋体" w:hAnsi="宋体" w:cs="宋体" w:eastAsia="宋体" w:hint="default"/>
          <w:b/>
          <w:bCs/>
          <w:sz w:val="20"/>
          <w:szCs w:val="20"/>
        </w:rPr>
        <w:t>44</w:t>
      </w:r>
      <w:r>
        <w:rPr>
          <w:rFonts w:ascii="宋体" w:hAnsi="宋体" w:cs="宋体" w:eastAsia="宋体" w:hint="default"/>
          <w:b/>
          <w:bCs/>
          <w:sz w:val="20"/>
          <w:szCs w:val="20"/>
        </w:rPr>
        <w:t>、其他流动负债</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45、长期借款" w:id="336"/>
      <w:bookmarkEnd w:id="336"/>
      <w:r>
        <w:rPr/>
      </w:r>
      <w:r>
        <w:rPr>
          <w:rFonts w:ascii="宋体" w:hAnsi="宋体" w:cs="宋体" w:eastAsia="宋体" w:hint="default"/>
          <w:b/>
          <w:bCs/>
          <w:sz w:val="20"/>
          <w:szCs w:val="20"/>
        </w:rPr>
        <w:t>45</w:t>
      </w:r>
      <w:r>
        <w:rPr>
          <w:rFonts w:ascii="宋体" w:hAnsi="宋体" w:cs="宋体" w:eastAsia="宋体" w:hint="default"/>
          <w:b/>
          <w:bCs/>
          <w:sz w:val="20"/>
          <w:szCs w:val="20"/>
        </w:rPr>
        <w:t>、长期借款</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长期借款分类" w:id="337"/>
      <w:bookmarkEnd w:id="337"/>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）长期借款分类</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3171"/>
        <w:gridCol w:w="3204"/>
        <w:gridCol w:w="3188"/>
      </w:tblGrid>
      <w:tr>
        <w:trPr>
          <w:trHeight w:val="415"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394"/>
              <w:jc w:val="right"/>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29,900,000.00</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24,000,000.00</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50,992,062.40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30,515,796.00</w:t>
            </w:r>
          </w:p>
        </w:tc>
      </w:tr>
      <w:tr>
        <w:trPr>
          <w:trHeight w:val="416"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1394"/>
              <w:jc w:val="righ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104,892,062.40</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30,515,796.00</w:t>
            </w:r>
          </w:p>
        </w:tc>
      </w:tr>
    </w:tbl>
    <w:p>
      <w:pPr>
        <w:pStyle w:val="BodyText"/>
        <w:spacing w:line="240" w:lineRule="auto" w:before="63"/>
        <w:ind w:left="1557" w:right="0"/>
        <w:jc w:val="left"/>
      </w:pPr>
      <w:r>
        <w:rPr/>
        <w:t>长期借款分类的说明：</w:t>
      </w:r>
    </w:p>
    <w:p>
      <w:pPr>
        <w:spacing w:line="240" w:lineRule="auto" w:before="10"/>
        <w:rPr>
          <w:rFonts w:ascii="宋体" w:hAnsi="宋体" w:cs="宋体" w:eastAsia="宋体" w:hint="default"/>
          <w:sz w:val="14"/>
          <w:szCs w:val="14"/>
        </w:rPr>
      </w:pPr>
    </w:p>
    <w:p>
      <w:pPr>
        <w:pStyle w:val="BodyText"/>
        <w:spacing w:line="408" w:lineRule="auto"/>
        <w:ind w:right="0" w:firstLine="423"/>
        <w:jc w:val="left"/>
      </w:pPr>
      <w:r>
        <w:rPr/>
        <w:t>①本公司以湖北索瑞电气有限公司</w:t>
      </w:r>
      <w:r>
        <w:rPr>
          <w:rFonts w:ascii="宋体" w:hAnsi="宋体" w:cs="宋体" w:eastAsia="宋体" w:hint="default"/>
        </w:rPr>
        <w:t>222,525,904.00</w:t>
      </w:r>
      <w:r>
        <w:rPr/>
        <w:t>股的股权质押，与招商银行南京月牙湖支行签订借 </w:t>
      </w:r>
      <w:r>
        <w:rPr>
          <w:spacing w:val="-1"/>
        </w:rPr>
        <w:t>款合同，财务报表截止日借款本金余额</w:t>
      </w:r>
      <w:r>
        <w:rPr>
          <w:rFonts w:ascii="宋体" w:hAnsi="宋体" w:cs="宋体" w:eastAsia="宋体" w:hint="default"/>
          <w:spacing w:val="-1"/>
        </w:rPr>
        <w:t>32,642,288.47</w:t>
      </w:r>
      <w:r>
        <w:rPr>
          <w:spacing w:val="-1"/>
        </w:rPr>
        <w:t>元，其中</w:t>
      </w:r>
      <w:r>
        <w:rPr>
          <w:rFonts w:ascii="宋体" w:hAnsi="宋体" w:cs="宋体" w:eastAsia="宋体" w:hint="default"/>
          <w:spacing w:val="-1"/>
        </w:rPr>
        <w:t>2,742,288.47</w:t>
      </w:r>
      <w:r>
        <w:rPr>
          <w:spacing w:val="-1"/>
        </w:rPr>
        <w:t>元根据合同需在</w:t>
      </w:r>
      <w:r>
        <w:rPr>
          <w:rFonts w:ascii="宋体" w:hAnsi="宋体" w:cs="宋体" w:eastAsia="宋体" w:hint="default"/>
          <w:spacing w:val="-1"/>
        </w:rPr>
        <w:t>2016</w:t>
      </w:r>
      <w:r>
        <w:rPr>
          <w:spacing w:val="-1"/>
        </w:rPr>
        <w:t>年偿还，</w:t>
      </w:r>
      <w:r>
        <w:rPr>
          <w:spacing w:val="-67"/>
        </w:rPr>
        <w:t> </w:t>
      </w:r>
      <w:r>
        <w:rPr>
          <w:spacing w:val="-67"/>
        </w:rPr>
      </w:r>
      <w:r>
        <w:rPr/>
        <w:t>故重分类至“一年内到期的非流动负债”列示。</w:t>
      </w:r>
    </w:p>
    <w:p>
      <w:pPr>
        <w:pStyle w:val="BodyText"/>
        <w:spacing w:line="408" w:lineRule="auto" w:before="46"/>
        <w:ind w:left="1134" w:right="1211" w:firstLine="423"/>
        <w:jc w:val="both"/>
      </w:pPr>
      <w:r>
        <w:rPr/>
        <w:t>②本公司与招商银行南京月牙湖支行签订借款合同，借款本金</w:t>
      </w:r>
      <w:r>
        <w:rPr>
          <w:rFonts w:ascii="宋体" w:hAnsi="宋体" w:cs="宋体" w:eastAsia="宋体" w:hint="default"/>
        </w:rPr>
        <w:t>63,435,398.00</w:t>
      </w:r>
      <w:r>
        <w:rPr/>
        <w:t>元，由江苏光一投资管 理有限责任公司与实际控制人龙昌明先生共同提高最高额保证担保，其中</w:t>
      </w:r>
      <w:r>
        <w:rPr>
          <w:rFonts w:ascii="宋体" w:hAnsi="宋体" w:cs="宋体" w:eastAsia="宋体" w:hint="default"/>
        </w:rPr>
        <w:t>12,443,335.60</w:t>
      </w:r>
      <w:r>
        <w:rPr/>
        <w:t>元根据合同需在 </w:t>
      </w:r>
      <w:r>
        <w:rPr>
          <w:rFonts w:ascii="宋体" w:hAnsi="宋体" w:cs="宋体" w:eastAsia="宋体" w:hint="default"/>
        </w:rPr>
        <w:t>2016</w:t>
      </w:r>
      <w:r>
        <w:rPr/>
        <w:t>年偿还，故重分类至“一年内到期的非流动负债”列示。</w:t>
      </w:r>
    </w:p>
    <w:p>
      <w:pPr>
        <w:pStyle w:val="BodyText"/>
        <w:spacing w:line="408" w:lineRule="auto" w:before="46"/>
        <w:ind w:right="0" w:firstLine="423"/>
        <w:jc w:val="left"/>
      </w:pPr>
      <w:r>
        <w:rPr>
          <w:spacing w:val="-1"/>
        </w:rPr>
        <w:t>③子公司湖北索瑞与招商银行武汉雄楚支行签订固定资产借款合同，借款</w:t>
      </w:r>
      <w:r>
        <w:rPr>
          <w:rFonts w:ascii="宋体" w:hAnsi="宋体" w:cs="宋体" w:eastAsia="宋体" w:hint="default"/>
          <w:spacing w:val="-1"/>
        </w:rPr>
        <w:t>5000</w:t>
      </w:r>
      <w:r>
        <w:rPr>
          <w:spacing w:val="-1"/>
        </w:rPr>
        <w:t>万元。用途：武汉睿博</w:t>
      </w:r>
      <w:r>
        <w:rPr/>
        <w:t> 电气有限责任公司武汉未来科技城智能电网设备制造基地项目建设；期限：</w:t>
      </w:r>
      <w:r>
        <w:rPr>
          <w:rFonts w:ascii="宋体" w:hAnsi="宋体" w:cs="宋体" w:eastAsia="宋体" w:hint="default"/>
        </w:rPr>
        <w:t>3</w:t>
      </w:r>
      <w:r>
        <w:rPr/>
        <w:t>年，贷款分次发放，分期还 </w:t>
      </w:r>
      <w:r>
        <w:rPr>
          <w:spacing w:val="-1"/>
        </w:rPr>
        <w:t>款；利率：按照</w:t>
      </w:r>
      <w:r>
        <w:rPr>
          <w:rFonts w:ascii="宋体" w:hAnsi="宋体" w:cs="宋体" w:eastAsia="宋体" w:hint="default"/>
          <w:spacing w:val="-1"/>
        </w:rPr>
        <w:t>3</w:t>
      </w:r>
      <w:r>
        <w:rPr>
          <w:spacing w:val="-1"/>
        </w:rPr>
        <w:t>年期基准利率上浮</w:t>
      </w:r>
      <w:r>
        <w:rPr>
          <w:rFonts w:ascii="宋体" w:hAnsi="宋体" w:cs="宋体" w:eastAsia="宋体" w:hint="default"/>
          <w:spacing w:val="-1"/>
        </w:rPr>
        <w:t>10%</w:t>
      </w:r>
      <w:r>
        <w:rPr>
          <w:spacing w:val="-1"/>
        </w:rPr>
        <w:t>执行。以武汉睿博电气有限责任公司拥有的土地作为抵押担保。财</w:t>
      </w:r>
      <w:r>
        <w:rPr>
          <w:spacing w:val="-85"/>
        </w:rPr>
        <w:t> </w:t>
      </w:r>
      <w:r>
        <w:rPr>
          <w:spacing w:val="-85"/>
        </w:rPr>
      </w:r>
      <w:r>
        <w:rPr/>
        <w:t>务报表截止日已发放贷款</w:t>
      </w:r>
      <w:r>
        <w:rPr>
          <w:rFonts w:ascii="宋体" w:hAnsi="宋体" w:cs="宋体" w:eastAsia="宋体" w:hint="default"/>
        </w:rPr>
        <w:t>3000</w:t>
      </w:r>
      <w:r>
        <w:rPr/>
        <w:t>万元，其中</w:t>
      </w:r>
      <w:r>
        <w:rPr>
          <w:rFonts w:ascii="宋体" w:hAnsi="宋体" w:cs="宋体" w:eastAsia="宋体" w:hint="default"/>
        </w:rPr>
        <w:t>600</w:t>
      </w:r>
      <w:r>
        <w:rPr/>
        <w:t>万元重分类到“一年内到期的非流动负债”列示，剩余</w:t>
      </w:r>
      <w:r>
        <w:rPr>
          <w:rFonts w:ascii="宋体" w:hAnsi="宋体" w:cs="宋体" w:eastAsia="宋体" w:hint="default"/>
        </w:rPr>
        <w:t>2400 </w:t>
      </w:r>
      <w:r>
        <w:rPr/>
        <w:t>万元在长期借款科目列示。</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3" w:right="0" w:firstLine="0"/>
        <w:jc w:val="left"/>
        <w:rPr>
          <w:rFonts w:ascii="宋体" w:hAnsi="宋体" w:cs="宋体" w:eastAsia="宋体" w:hint="default"/>
          <w:sz w:val="20"/>
          <w:szCs w:val="20"/>
        </w:rPr>
      </w:pPr>
      <w:bookmarkStart w:name="46、应付债券" w:id="338"/>
      <w:bookmarkEnd w:id="338"/>
      <w:r>
        <w:rPr/>
      </w:r>
      <w:r>
        <w:rPr>
          <w:rFonts w:ascii="宋体" w:hAnsi="宋体" w:cs="宋体" w:eastAsia="宋体" w:hint="default"/>
          <w:b/>
          <w:bCs/>
          <w:sz w:val="20"/>
          <w:szCs w:val="20"/>
        </w:rPr>
        <w:t>46</w:t>
      </w:r>
      <w:r>
        <w:rPr>
          <w:rFonts w:ascii="宋体" w:hAnsi="宋体" w:cs="宋体" w:eastAsia="宋体" w:hint="default"/>
          <w:b/>
          <w:bCs/>
          <w:sz w:val="20"/>
          <w:szCs w:val="20"/>
        </w:rPr>
        <w:t>、应付债券</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47、长期应付款" w:id="339"/>
      <w:bookmarkEnd w:id="339"/>
      <w:r>
        <w:rPr/>
      </w:r>
      <w:r>
        <w:rPr>
          <w:rFonts w:ascii="宋体" w:hAnsi="宋体" w:cs="宋体" w:eastAsia="宋体" w:hint="default"/>
          <w:b/>
          <w:bCs/>
          <w:sz w:val="20"/>
          <w:szCs w:val="20"/>
        </w:rPr>
        <w:t>47</w:t>
      </w:r>
      <w:r>
        <w:rPr>
          <w:rFonts w:ascii="宋体" w:hAnsi="宋体" w:cs="宋体" w:eastAsia="宋体" w:hint="default"/>
          <w:b/>
          <w:bCs/>
          <w:sz w:val="20"/>
          <w:szCs w:val="20"/>
        </w:rPr>
        <w:t>、长期应付款</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48、长期应付职工薪酬" w:id="340"/>
      <w:bookmarkEnd w:id="340"/>
      <w:r>
        <w:rPr/>
      </w:r>
      <w:r>
        <w:rPr>
          <w:rFonts w:ascii="宋体" w:hAnsi="宋体" w:cs="宋体" w:eastAsia="宋体" w:hint="default"/>
          <w:b/>
          <w:bCs/>
          <w:sz w:val="20"/>
          <w:szCs w:val="20"/>
        </w:rPr>
        <w:t>48</w:t>
      </w:r>
      <w:r>
        <w:rPr>
          <w:rFonts w:ascii="宋体" w:hAnsi="宋体" w:cs="宋体" w:eastAsia="宋体" w:hint="default"/>
          <w:b/>
          <w:bCs/>
          <w:sz w:val="20"/>
          <w:szCs w:val="20"/>
        </w:rPr>
        <w:t>、长期应付职工薪酬</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49、专项应付款" w:id="341"/>
      <w:bookmarkEnd w:id="341"/>
      <w:r>
        <w:rPr/>
      </w:r>
      <w:r>
        <w:rPr>
          <w:rFonts w:ascii="宋体" w:hAnsi="宋体" w:cs="宋体" w:eastAsia="宋体" w:hint="default"/>
          <w:b/>
          <w:bCs/>
          <w:sz w:val="20"/>
          <w:szCs w:val="20"/>
        </w:rPr>
        <w:t>49</w:t>
      </w:r>
      <w:r>
        <w:rPr>
          <w:rFonts w:ascii="宋体" w:hAnsi="宋体" w:cs="宋体" w:eastAsia="宋体" w:hint="default"/>
          <w:b/>
          <w:bCs/>
          <w:sz w:val="20"/>
          <w:szCs w:val="20"/>
        </w:rPr>
        <w:t>、专项应付款</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50、预计负债" w:id="342"/>
      <w:bookmarkEnd w:id="342"/>
      <w:r>
        <w:rPr/>
      </w:r>
      <w:r>
        <w:rPr>
          <w:rFonts w:ascii="宋体" w:hAnsi="宋体" w:cs="宋体" w:eastAsia="宋体" w:hint="default"/>
          <w:b/>
          <w:bCs/>
          <w:sz w:val="20"/>
          <w:szCs w:val="20"/>
        </w:rPr>
        <w:t>50</w:t>
      </w:r>
      <w:r>
        <w:rPr>
          <w:rFonts w:ascii="宋体" w:hAnsi="宋体" w:cs="宋体" w:eastAsia="宋体" w:hint="default"/>
          <w:b/>
          <w:bCs/>
          <w:sz w:val="20"/>
          <w:szCs w:val="20"/>
        </w:rPr>
        <w:t>、预计负债</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2373"/>
        <w:gridCol w:w="2406"/>
        <w:gridCol w:w="2392"/>
        <w:gridCol w:w="2391"/>
      </w:tblGrid>
      <w:tr>
        <w:trPr>
          <w:trHeight w:val="413" w:hRule="exact"/>
        </w:trPr>
        <w:tc>
          <w:tcPr>
            <w:tcW w:w="237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995"/>
              <w:jc w:val="right"/>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7" w:hRule="exact"/>
        </w:trPr>
        <w:tc>
          <w:tcPr>
            <w:tcW w:w="23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20,000,000.00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20,000,000.00</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16" w:hRule="exact"/>
        </w:trPr>
        <w:tc>
          <w:tcPr>
            <w:tcW w:w="23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995"/>
              <w:jc w:val="right"/>
              <w:rPr>
                <w:rFonts w:ascii="宋体" w:hAnsi="宋体" w:cs="宋体" w:eastAsia="宋体" w:hint="default"/>
                <w:sz w:val="18"/>
                <w:szCs w:val="18"/>
              </w:rPr>
            </w:pPr>
            <w:r>
              <w:rPr>
                <w:rFonts w:ascii="宋体" w:hAnsi="宋体" w:cs="宋体" w:eastAsia="宋体" w:hint="default"/>
                <w:sz w:val="18"/>
                <w:szCs w:val="18"/>
              </w:rPr>
              <w:t>合计</w:t>
            </w:r>
          </w:p>
        </w:tc>
        <w:tc>
          <w:tcPr>
            <w:tcW w:w="2406"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20,000,000.00</w:t>
            </w:r>
          </w:p>
        </w:tc>
        <w:tc>
          <w:tcPr>
            <w:tcW w:w="2392" w:type="dxa"/>
            <w:tcBorders>
              <w:top w:val="single" w:sz="6" w:space="0" w:color="000000"/>
              <w:left w:val="single" w:sz="6" w:space="0" w:color="000000"/>
              <w:bottom w:val="single" w:sz="12" w:space="0" w:color="000000"/>
              <w:right w:val="single" w:sz="14" w:space="0" w:color="D2D2D2"/>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20,000,000.00</w:t>
            </w:r>
          </w:p>
        </w:tc>
        <w:tc>
          <w:tcPr>
            <w:tcW w:w="2391"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sz w:val="18"/>
              </w:rPr>
              <w:t>--</w:t>
            </w:r>
          </w:p>
        </w:tc>
      </w:tr>
    </w:tbl>
    <w:p>
      <w:pPr>
        <w:pStyle w:val="BodyText"/>
        <w:spacing w:line="408" w:lineRule="auto" w:before="63"/>
        <w:ind w:left="1554" w:right="0" w:hanging="420"/>
        <w:jc w:val="left"/>
      </w:pPr>
      <w:r>
        <w:rPr/>
        <w:t>其他说明，包括重要预计负债的相关重要假设、估计说明： </w:t>
      </w:r>
      <w:r>
        <w:rPr>
          <w:spacing w:val="-1"/>
        </w:rPr>
        <w:t>经中国证券监督管理委员会证监许可</w:t>
      </w:r>
      <w:r>
        <w:rPr>
          <w:rFonts w:ascii="宋体" w:hAnsi="宋体" w:cs="宋体" w:eastAsia="宋体" w:hint="default"/>
          <w:spacing w:val="-1"/>
        </w:rPr>
        <w:t>[2014]1399</w:t>
      </w:r>
      <w:r>
        <w:rPr>
          <w:spacing w:val="-1"/>
        </w:rPr>
        <w:t>号核准，公司以发行股份及支付现金的方式对索瑞电</w:t>
      </w:r>
    </w:p>
    <w:p>
      <w:pPr>
        <w:pStyle w:val="BodyText"/>
        <w:spacing w:line="408" w:lineRule="auto" w:before="46"/>
        <w:ind w:right="1130"/>
        <w:jc w:val="both"/>
      </w:pPr>
      <w:r>
        <w:rPr/>
        <w:t>气进行重大资产重组，根据</w:t>
      </w:r>
      <w:r>
        <w:rPr>
          <w:rFonts w:ascii="宋体" w:hAnsi="宋体" w:cs="宋体" w:eastAsia="宋体" w:hint="default"/>
        </w:rPr>
        <w:t>2014</w:t>
      </w:r>
      <w:r>
        <w:rPr>
          <w:rFonts w:ascii="宋体" w:hAnsi="宋体" w:cs="宋体" w:eastAsia="宋体" w:hint="default"/>
          <w:spacing w:val="-25"/>
        </w:rPr>
        <w:t> </w:t>
      </w:r>
      <w:r>
        <w:rPr/>
        <w:t>年</w:t>
      </w:r>
      <w:r>
        <w:rPr>
          <w:rFonts w:ascii="宋体" w:hAnsi="宋体" w:cs="宋体" w:eastAsia="宋体" w:hint="default"/>
        </w:rPr>
        <w:t>8</w:t>
      </w:r>
      <w:r>
        <w:rPr/>
        <w:t>月</w:t>
      </w:r>
      <w:r>
        <w:rPr>
          <w:rFonts w:ascii="宋体" w:hAnsi="宋体" w:cs="宋体" w:eastAsia="宋体" w:hint="default"/>
        </w:rPr>
        <w:t>18</w:t>
      </w:r>
      <w:r>
        <w:rPr/>
        <w:t>日各方签署的《发行股份及支付现金购买资产协议》第</w:t>
      </w:r>
      <w:r>
        <w:rPr>
          <w:rFonts w:ascii="宋体" w:hAnsi="宋体" w:cs="宋体" w:eastAsia="宋体" w:hint="default"/>
        </w:rPr>
        <w:t>10.2</w:t>
      </w:r>
      <w:r>
        <w:rPr/>
        <w:t>的规 </w:t>
      </w:r>
      <w:r>
        <w:rPr>
          <w:spacing w:val="-1"/>
        </w:rPr>
        <w:t>定“如果承诺期索瑞电气实际实现的净利润总和超出盈利承诺期承诺净利润总和，各方同意将超出部分的</w:t>
      </w:r>
      <w:r>
        <w:rPr>
          <w:spacing w:val="-81"/>
        </w:rPr>
        <w:t> </w:t>
      </w:r>
      <w:r>
        <w:rPr>
          <w:spacing w:val="-81"/>
        </w:rPr>
      </w:r>
      <w:r>
        <w:rPr>
          <w:rFonts w:ascii="宋体" w:hAnsi="宋体" w:cs="宋体" w:eastAsia="宋体" w:hint="default"/>
          <w:spacing w:val="-1"/>
        </w:rPr>
        <w:t>50%</w:t>
      </w:r>
      <w:r>
        <w:rPr>
          <w:spacing w:val="-1"/>
        </w:rPr>
        <w:t>奖励给任昌兆先生，奖励对价总额不超过</w:t>
      </w:r>
      <w:r>
        <w:rPr>
          <w:rFonts w:ascii="宋体" w:hAnsi="宋体" w:cs="宋体" w:eastAsia="宋体" w:hint="default"/>
          <w:spacing w:val="-1"/>
        </w:rPr>
        <w:t>2,000</w:t>
      </w:r>
      <w:r>
        <w:rPr>
          <w:spacing w:val="-1"/>
        </w:rPr>
        <w:t>万元。任昌兆先生可自主决定将上述奖励对价支付给索</w:t>
      </w:r>
      <w:r>
        <w:rPr>
          <w:spacing w:val="-81"/>
        </w:rPr>
        <w:t> </w:t>
      </w:r>
      <w:r>
        <w:rPr>
          <w:spacing w:val="-81"/>
        </w:rPr>
      </w:r>
      <w:r>
        <w:rPr>
          <w:spacing w:val="-1"/>
        </w:rPr>
        <w:t>瑞电气截至</w:t>
      </w:r>
      <w:r>
        <w:rPr>
          <w:rFonts w:ascii="宋体" w:hAnsi="宋体" w:cs="宋体" w:eastAsia="宋体" w:hint="default"/>
          <w:spacing w:val="-1"/>
        </w:rPr>
        <w:t>2016</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日在职的管理层。上述奖励对价是本次交易对价的一部分，属于或有对价而非对</w:t>
      </w:r>
      <w:r>
        <w:rPr>
          <w:spacing w:val="-80"/>
        </w:rPr>
        <w:t> </w:t>
      </w:r>
      <w:r>
        <w:rPr>
          <w:spacing w:val="-80"/>
        </w:rPr>
      </w:r>
      <w:r>
        <w:rPr/>
        <w:t>管理层股东发放的奖金”。因此确认预计负债</w:t>
      </w:r>
      <w:r>
        <w:rPr>
          <w:rFonts w:ascii="宋体" w:hAnsi="宋体" w:cs="宋体" w:eastAsia="宋体" w:hint="default"/>
        </w:rPr>
        <w:t>2,000</w:t>
      </w:r>
      <w:r>
        <w:rPr/>
        <w:t>万元。</w:t>
      </w:r>
    </w:p>
    <w:p>
      <w:pPr>
        <w:spacing w:before="55"/>
        <w:ind w:left="1133" w:right="0" w:firstLine="0"/>
        <w:jc w:val="both"/>
        <w:rPr>
          <w:rFonts w:ascii="宋体" w:hAnsi="宋体" w:cs="宋体" w:eastAsia="宋体" w:hint="default"/>
          <w:sz w:val="20"/>
          <w:szCs w:val="20"/>
        </w:rPr>
      </w:pPr>
      <w:bookmarkStart w:name="51、递延收益" w:id="343"/>
      <w:bookmarkEnd w:id="343"/>
      <w:r>
        <w:rPr/>
      </w:r>
      <w:r>
        <w:rPr>
          <w:rFonts w:ascii="宋体" w:hAnsi="宋体" w:cs="宋体" w:eastAsia="宋体" w:hint="default"/>
          <w:b/>
          <w:bCs/>
          <w:sz w:val="20"/>
          <w:szCs w:val="20"/>
        </w:rPr>
        <w:t>51</w:t>
      </w:r>
      <w:r>
        <w:rPr>
          <w:rFonts w:ascii="宋体" w:hAnsi="宋体" w:cs="宋体" w:eastAsia="宋体" w:hint="default"/>
          <w:b/>
          <w:bCs/>
          <w:sz w:val="20"/>
          <w:szCs w:val="20"/>
        </w:rPr>
        <w:t>、递延收益</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1578"/>
        <w:gridCol w:w="1606"/>
        <w:gridCol w:w="1595"/>
        <w:gridCol w:w="1594"/>
        <w:gridCol w:w="1594"/>
        <w:gridCol w:w="1594"/>
      </w:tblGrid>
      <w:tr>
        <w:trPr>
          <w:trHeight w:val="415" w:hRule="exact"/>
        </w:trPr>
        <w:tc>
          <w:tcPr>
            <w:tcW w:w="157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7" w:hRule="exact"/>
        </w:trPr>
        <w:tc>
          <w:tcPr>
            <w:tcW w:w="15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397" w:right="0"/>
              <w:jc w:val="left"/>
              <w:rPr>
                <w:rFonts w:ascii="宋体" w:hAnsi="宋体" w:cs="宋体" w:eastAsia="宋体" w:hint="default"/>
                <w:sz w:val="18"/>
                <w:szCs w:val="18"/>
              </w:rPr>
            </w:pPr>
            <w:r>
              <w:rPr>
                <w:rFonts w:ascii="宋体"/>
                <w:sz w:val="18"/>
              </w:rPr>
              <w:t>20,675,000.00</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0" w:right="0"/>
              <w:jc w:val="left"/>
              <w:rPr>
                <w:rFonts w:ascii="宋体" w:hAnsi="宋体" w:cs="宋体" w:eastAsia="宋体" w:hint="default"/>
                <w:sz w:val="18"/>
                <w:szCs w:val="18"/>
              </w:rPr>
            </w:pPr>
            <w:r>
              <w:rPr>
                <w:rFonts w:ascii="宋体"/>
                <w:sz w:val="18"/>
              </w:rPr>
              <w:t>3,528,000.00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6,640,000.00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88" w:right="0"/>
              <w:jc w:val="left"/>
              <w:rPr>
                <w:rFonts w:ascii="宋体" w:hAnsi="宋体" w:cs="宋体" w:eastAsia="宋体" w:hint="default"/>
                <w:sz w:val="18"/>
                <w:szCs w:val="18"/>
              </w:rPr>
            </w:pPr>
            <w:r>
              <w:rPr>
                <w:rFonts w:ascii="宋体"/>
                <w:sz w:val="18"/>
              </w:rPr>
              <w:t>17,563,000.00</w:t>
            </w:r>
          </w:p>
        </w:tc>
        <w:tc>
          <w:tcPr>
            <w:tcW w:w="1594"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57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left="397" w:right="0"/>
              <w:jc w:val="left"/>
              <w:rPr>
                <w:rFonts w:ascii="宋体" w:hAnsi="宋体" w:cs="宋体" w:eastAsia="宋体" w:hint="default"/>
                <w:sz w:val="18"/>
                <w:szCs w:val="18"/>
              </w:rPr>
            </w:pPr>
            <w:r>
              <w:rPr>
                <w:rFonts w:ascii="宋体"/>
                <w:sz w:val="18"/>
              </w:rPr>
              <w:t>20,675,000.00</w:t>
            </w:r>
          </w:p>
        </w:tc>
        <w:tc>
          <w:tcPr>
            <w:tcW w:w="15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480" w:right="0"/>
              <w:jc w:val="left"/>
              <w:rPr>
                <w:rFonts w:ascii="宋体" w:hAnsi="宋体" w:cs="宋体" w:eastAsia="宋体" w:hint="default"/>
                <w:sz w:val="18"/>
                <w:szCs w:val="18"/>
              </w:rPr>
            </w:pPr>
            <w:r>
              <w:rPr>
                <w:rFonts w:ascii="宋体"/>
                <w:sz w:val="18"/>
              </w:rPr>
              <w:t>3,528,000.00</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6,640,000.00</w:t>
            </w:r>
          </w:p>
        </w:tc>
        <w:tc>
          <w:tcPr>
            <w:tcW w:w="1594" w:type="dxa"/>
            <w:tcBorders>
              <w:top w:val="single" w:sz="6" w:space="0" w:color="000000"/>
              <w:left w:val="single" w:sz="6" w:space="0" w:color="000000"/>
              <w:bottom w:val="single" w:sz="12" w:space="0" w:color="000000"/>
              <w:right w:val="single" w:sz="14" w:space="0" w:color="D2D2D2"/>
            </w:tcBorders>
          </w:tcPr>
          <w:p>
            <w:pPr>
              <w:pStyle w:val="TableParagraph"/>
              <w:spacing w:line="240" w:lineRule="auto" w:before="52"/>
              <w:ind w:left="388" w:right="0"/>
              <w:jc w:val="left"/>
              <w:rPr>
                <w:rFonts w:ascii="宋体" w:hAnsi="宋体" w:cs="宋体" w:eastAsia="宋体" w:hint="default"/>
                <w:sz w:val="18"/>
                <w:szCs w:val="18"/>
              </w:rPr>
            </w:pPr>
            <w:r>
              <w:rPr>
                <w:rFonts w:ascii="宋体"/>
                <w:sz w:val="18"/>
              </w:rPr>
              <w:t>17,563,000.00</w:t>
            </w:r>
          </w:p>
        </w:tc>
        <w:tc>
          <w:tcPr>
            <w:tcW w:w="1594"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sz w:val="18"/>
              </w:rPr>
              <w:t>--</w:t>
            </w:r>
          </w:p>
        </w:tc>
      </w:tr>
    </w:tbl>
    <w:p>
      <w:pPr>
        <w:pStyle w:val="BodyText"/>
        <w:spacing w:line="240" w:lineRule="auto" w:before="63"/>
        <w:ind w:left="1134" w:right="0"/>
        <w:jc w:val="left"/>
      </w:pPr>
      <w:r>
        <w:rPr/>
        <w:t>涉及政府补助的项目：</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1368"/>
        <w:gridCol w:w="1369"/>
        <w:gridCol w:w="1367"/>
        <w:gridCol w:w="1367"/>
        <w:gridCol w:w="1368"/>
        <w:gridCol w:w="1367"/>
        <w:gridCol w:w="1366"/>
      </w:tblGrid>
      <w:tr>
        <w:trPr>
          <w:trHeight w:val="727" w:hRule="exact"/>
        </w:trPr>
        <w:tc>
          <w:tcPr>
            <w:tcW w:w="136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585" w:right="45"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9" w:lineRule="auto" w:before="51"/>
              <w:ind w:left="315" w:right="80" w:hanging="22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 收益相关</w:t>
            </w:r>
          </w:p>
        </w:tc>
      </w:tr>
      <w:tr>
        <w:trPr>
          <w:trHeight w:val="1039" w:hRule="exact"/>
        </w:trPr>
        <w:tc>
          <w:tcPr>
            <w:tcW w:w="1368"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51"/>
              <w:ind w:left="13" w:right="70"/>
              <w:jc w:val="both"/>
              <w:rPr>
                <w:rFonts w:ascii="宋体" w:hAnsi="宋体" w:cs="宋体" w:eastAsia="宋体" w:hint="default"/>
                <w:sz w:val="18"/>
                <w:szCs w:val="18"/>
              </w:rPr>
            </w:pPr>
            <w:r>
              <w:rPr>
                <w:rFonts w:ascii="宋体" w:hAnsi="宋体" w:cs="宋体" w:eastAsia="宋体" w:hint="default"/>
                <w:sz w:val="18"/>
                <w:szCs w:val="18"/>
              </w:rPr>
              <w:t>用电量收益监测 系统及信息采集 设备开发</w:t>
            </w: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4" w:right="0"/>
              <w:jc w:val="left"/>
              <w:rPr>
                <w:rFonts w:ascii="宋体" w:hAnsi="宋体" w:cs="宋体" w:eastAsia="宋体" w:hint="default"/>
                <w:sz w:val="18"/>
                <w:szCs w:val="18"/>
              </w:rPr>
            </w:pPr>
            <w:r>
              <w:rPr>
                <w:rFonts w:ascii="宋体"/>
                <w:sz w:val="18"/>
              </w:rPr>
              <w:t>75,000.00</w:t>
            </w:r>
          </w:p>
        </w:tc>
        <w:tc>
          <w:tcPr>
            <w:tcW w:w="1367" w:type="dxa"/>
            <w:tcBorders>
              <w:top w:val="single" w:sz="6" w:space="0" w:color="000000"/>
              <w:left w:val="single" w:sz="6" w:space="0" w:color="000000"/>
              <w:bottom w:val="single" w:sz="12" w:space="0" w:color="000000"/>
              <w:right w:val="single" w:sz="6" w:space="0" w:color="000000"/>
            </w:tcBorders>
          </w:tcPr>
          <w:p>
            <w:pP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3" w:right="0"/>
              <w:jc w:val="left"/>
              <w:rPr>
                <w:rFonts w:ascii="宋体" w:hAnsi="宋体" w:cs="宋体" w:eastAsia="宋体" w:hint="default"/>
                <w:sz w:val="18"/>
                <w:szCs w:val="18"/>
              </w:rPr>
            </w:pPr>
            <w:r>
              <w:rPr>
                <w:rFonts w:ascii="宋体"/>
                <w:sz w:val="18"/>
              </w:rPr>
              <w:t>75,000.00</w:t>
            </w:r>
          </w:p>
        </w:tc>
        <w:tc>
          <w:tcPr>
            <w:tcW w:w="1368" w:type="dxa"/>
            <w:tcBorders>
              <w:top w:val="single" w:sz="6" w:space="0" w:color="000000"/>
              <w:left w:val="single" w:sz="6" w:space="0" w:color="000000"/>
              <w:bottom w:val="single" w:sz="12" w:space="0" w:color="000000"/>
              <w:right w:val="single" w:sz="6" w:space="0" w:color="000000"/>
            </w:tcBorders>
          </w:tcPr>
          <w:p>
            <w:pP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1368"/>
        <w:gridCol w:w="1369"/>
        <w:gridCol w:w="1367"/>
        <w:gridCol w:w="1367"/>
        <w:gridCol w:w="1368"/>
        <w:gridCol w:w="1367"/>
        <w:gridCol w:w="1366"/>
      </w:tblGrid>
      <w:tr>
        <w:trPr>
          <w:trHeight w:val="1351" w:hRule="exact"/>
        </w:trPr>
        <w:tc>
          <w:tcPr>
            <w:tcW w:w="1368"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51"/>
              <w:ind w:left="13" w:right="27"/>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年度国家智 能电网产业集聚 发展试点重点项 目补助</w:t>
            </w:r>
          </w:p>
        </w:tc>
        <w:tc>
          <w:tcPr>
            <w:tcW w:w="13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20,600,000.00</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3,528,000.00</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6,565,000.00</w:t>
            </w:r>
          </w:p>
        </w:tc>
        <w:tc>
          <w:tcPr>
            <w:tcW w:w="1368" w:type="dxa"/>
            <w:tcBorders>
              <w:top w:val="single" w:sz="12" w:space="0" w:color="000000"/>
              <w:left w:val="single" w:sz="6" w:space="0" w:color="000000"/>
              <w:bottom w:val="single" w:sz="6" w:space="0" w:color="000000"/>
              <w:right w:val="single" w:sz="6" w:space="0" w:color="000000"/>
            </w:tcBorders>
          </w:tcPr>
          <w:p>
            <w:pP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17,563,000.00</w:t>
            </w:r>
          </w:p>
        </w:tc>
        <w:tc>
          <w:tcPr>
            <w:tcW w:w="1366" w:type="dxa"/>
            <w:tcBorders>
              <w:top w:val="single" w:sz="12" w:space="0" w:color="000000"/>
              <w:left w:val="single" w:sz="6" w:space="0" w:color="000000"/>
              <w:bottom w:val="single" w:sz="6" w:space="0" w:color="000000"/>
              <w:right w:val="single" w:sz="12" w:space="0" w:color="000000"/>
            </w:tcBorders>
          </w:tcPr>
          <w:p>
            <w:pPr/>
          </w:p>
        </w:tc>
      </w:tr>
      <w:tr>
        <w:trPr>
          <w:trHeight w:val="415" w:hRule="exact"/>
        </w:trPr>
        <w:tc>
          <w:tcPr>
            <w:tcW w:w="136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20,675,000.00</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3,528,000.00</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6,640,000.00</w:t>
            </w:r>
          </w:p>
        </w:tc>
        <w:tc>
          <w:tcPr>
            <w:tcW w:w="1368" w:type="dxa"/>
            <w:tcBorders>
              <w:top w:val="single" w:sz="6" w:space="0" w:color="000000"/>
              <w:left w:val="single" w:sz="6" w:space="0" w:color="000000"/>
              <w:bottom w:val="single" w:sz="12" w:space="0" w:color="000000"/>
              <w:right w:val="single" w:sz="6" w:space="0" w:color="000000"/>
            </w:tcBorders>
          </w:tcPr>
          <w:p>
            <w:pPr/>
          </w:p>
        </w:tc>
        <w:tc>
          <w:tcPr>
            <w:tcW w:w="1367" w:type="dxa"/>
            <w:tcBorders>
              <w:top w:val="single" w:sz="6" w:space="0" w:color="000000"/>
              <w:left w:val="single" w:sz="6" w:space="0" w:color="000000"/>
              <w:bottom w:val="single" w:sz="12" w:space="0" w:color="000000"/>
              <w:right w:val="single" w:sz="8" w:space="0" w:color="D2D2D2"/>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17,563,000.00</w:t>
            </w:r>
          </w:p>
        </w:tc>
        <w:tc>
          <w:tcPr>
            <w:tcW w:w="1366"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sz w:val="18"/>
              </w:rPr>
              <w:t>--</w:t>
            </w:r>
          </w:p>
        </w:tc>
      </w:tr>
    </w:tbl>
    <w:p>
      <w:pPr>
        <w:spacing w:before="72"/>
        <w:ind w:left="1134" w:right="0" w:firstLine="0"/>
        <w:jc w:val="left"/>
        <w:rPr>
          <w:rFonts w:ascii="宋体" w:hAnsi="宋体" w:cs="宋体" w:eastAsia="宋体" w:hint="default"/>
          <w:sz w:val="20"/>
          <w:szCs w:val="20"/>
        </w:rPr>
      </w:pPr>
      <w:bookmarkStart w:name="52、其他非流动负债" w:id="344"/>
      <w:bookmarkEnd w:id="344"/>
      <w:r>
        <w:rPr/>
      </w:r>
      <w:r>
        <w:rPr>
          <w:rFonts w:ascii="宋体" w:hAnsi="宋体" w:cs="宋体" w:eastAsia="宋体" w:hint="default"/>
          <w:b/>
          <w:bCs/>
          <w:sz w:val="20"/>
          <w:szCs w:val="20"/>
        </w:rPr>
        <w:t>52</w:t>
      </w:r>
      <w:r>
        <w:rPr>
          <w:rFonts w:ascii="宋体" w:hAnsi="宋体" w:cs="宋体" w:eastAsia="宋体" w:hint="default"/>
          <w:b/>
          <w:bCs/>
          <w:sz w:val="20"/>
          <w:szCs w:val="20"/>
        </w:rPr>
        <w:t>、其他非流动负债</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405"/>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财政专项资金</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4,450,000.00</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1405"/>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4,450,000.00</w:t>
            </w:r>
          </w:p>
        </w:tc>
      </w:tr>
    </w:tbl>
    <w:p>
      <w:pPr>
        <w:pStyle w:val="BodyText"/>
        <w:spacing w:line="240" w:lineRule="auto" w:before="63"/>
        <w:ind w:left="1134" w:right="0"/>
        <w:jc w:val="left"/>
      </w:pPr>
      <w:r>
        <w:rPr/>
        <w:t>其他说明：</w:t>
      </w:r>
    </w:p>
    <w:p>
      <w:pPr>
        <w:spacing w:line="240" w:lineRule="auto" w:before="10"/>
        <w:rPr>
          <w:rFonts w:ascii="宋体" w:hAnsi="宋体" w:cs="宋体" w:eastAsia="宋体" w:hint="default"/>
          <w:sz w:val="14"/>
          <w:szCs w:val="14"/>
        </w:rPr>
      </w:pPr>
    </w:p>
    <w:p>
      <w:pPr>
        <w:pStyle w:val="BodyText"/>
        <w:spacing w:line="408" w:lineRule="auto"/>
        <w:ind w:right="1198" w:firstLine="420"/>
        <w:jc w:val="left"/>
      </w:pPr>
      <w:r>
        <w:rPr/>
        <w:t>本公司子公司索瑞电气上年度获得的公安县财政局税收返还</w:t>
      </w:r>
      <w:r>
        <w:rPr>
          <w:rFonts w:ascii="宋体" w:hAnsi="宋体" w:cs="宋体" w:eastAsia="宋体" w:hint="default"/>
        </w:rPr>
        <w:t>445</w:t>
      </w:r>
      <w:r>
        <w:rPr/>
        <w:t>万元，已于本报告期全部按照既定用 途用于研发投入。</w:t>
      </w:r>
    </w:p>
    <w:p>
      <w:pPr>
        <w:spacing w:before="55"/>
        <w:ind w:left="1133" w:right="0" w:firstLine="0"/>
        <w:jc w:val="left"/>
        <w:rPr>
          <w:rFonts w:ascii="宋体" w:hAnsi="宋体" w:cs="宋体" w:eastAsia="宋体" w:hint="default"/>
          <w:sz w:val="20"/>
          <w:szCs w:val="20"/>
        </w:rPr>
      </w:pPr>
      <w:bookmarkStart w:name="53、股本" w:id="345"/>
      <w:bookmarkEnd w:id="345"/>
      <w:r>
        <w:rPr/>
      </w:r>
      <w:r>
        <w:rPr>
          <w:rFonts w:ascii="宋体" w:hAnsi="宋体" w:cs="宋体" w:eastAsia="宋体" w:hint="default"/>
          <w:b/>
          <w:bCs/>
          <w:sz w:val="20"/>
          <w:szCs w:val="20"/>
        </w:rPr>
        <w:t>53</w:t>
      </w:r>
      <w:r>
        <w:rPr>
          <w:rFonts w:ascii="宋体" w:hAnsi="宋体" w:cs="宋体" w:eastAsia="宋体" w:hint="default"/>
          <w:b/>
          <w:bCs/>
          <w:sz w:val="20"/>
          <w:szCs w:val="20"/>
        </w:rPr>
        <w:t>、股本</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1190"/>
        <w:gridCol w:w="1509"/>
        <w:gridCol w:w="884"/>
        <w:gridCol w:w="1197"/>
        <w:gridCol w:w="1195"/>
        <w:gridCol w:w="1197"/>
        <w:gridCol w:w="893"/>
        <w:gridCol w:w="1498"/>
      </w:tblGrid>
      <w:tr>
        <w:trPr>
          <w:trHeight w:val="219" w:hRule="exact"/>
        </w:trPr>
        <w:tc>
          <w:tcPr>
            <w:tcW w:w="1190"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509" w:type="dxa"/>
            <w:tcBorders>
              <w:top w:val="single" w:sz="12" w:space="0" w:color="000000"/>
              <w:left w:val="single" w:sz="6" w:space="0" w:color="000000"/>
              <w:bottom w:val="nil" w:sz="6" w:space="0" w:color="auto"/>
              <w:right w:val="single" w:sz="6" w:space="0" w:color="000000"/>
            </w:tcBorders>
            <w:shd w:val="clear" w:color="auto" w:fill="D2D2D2"/>
          </w:tcPr>
          <w:p>
            <w:pPr/>
          </w:p>
        </w:tc>
        <w:tc>
          <w:tcPr>
            <w:tcW w:w="5366" w:type="dxa"/>
            <w:gridSpan w:val="5"/>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1730"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498"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196" w:hRule="exact"/>
        </w:trPr>
        <w:tc>
          <w:tcPr>
            <w:tcW w:w="1190" w:type="dxa"/>
            <w:vMerge w:val="restart"/>
            <w:tcBorders>
              <w:top w:val="nil" w:sz="6" w:space="0" w:color="auto"/>
              <w:left w:val="single" w:sz="12" w:space="0" w:color="000000"/>
              <w:right w:val="single" w:sz="6" w:space="0" w:color="000000"/>
            </w:tcBorders>
            <w:shd w:val="clear" w:color="auto" w:fill="D2D2D2"/>
          </w:tcPr>
          <w:p>
            <w:pPr/>
          </w:p>
        </w:tc>
        <w:tc>
          <w:tcPr>
            <w:tcW w:w="15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66" w:type="dxa"/>
            <w:gridSpan w:val="5"/>
            <w:vMerge/>
            <w:tcBorders>
              <w:left w:val="single" w:sz="6" w:space="0" w:color="000000"/>
              <w:bottom w:val="single" w:sz="6" w:space="0" w:color="000000"/>
              <w:right w:val="single" w:sz="6" w:space="0" w:color="000000"/>
            </w:tcBorders>
            <w:shd w:val="clear" w:color="auto" w:fill="D2D2D2"/>
          </w:tcPr>
          <w:p>
            <w:pPr/>
          </w:p>
        </w:tc>
        <w:tc>
          <w:tcPr>
            <w:tcW w:w="1498"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5" w:hRule="exact"/>
        </w:trPr>
        <w:tc>
          <w:tcPr>
            <w:tcW w:w="1190" w:type="dxa"/>
            <w:vMerge/>
            <w:tcBorders>
              <w:left w:val="single" w:sz="12" w:space="0" w:color="000000"/>
              <w:bottom w:val="nil" w:sz="6" w:space="0" w:color="auto"/>
              <w:right w:val="single" w:sz="6" w:space="0" w:color="000000"/>
            </w:tcBorders>
            <w:shd w:val="clear" w:color="auto" w:fill="D2D2D2"/>
          </w:tcPr>
          <w:p>
            <w:pPr/>
          </w:p>
        </w:tc>
        <w:tc>
          <w:tcPr>
            <w:tcW w:w="1509" w:type="dxa"/>
            <w:vMerge/>
            <w:tcBorders>
              <w:left w:val="single" w:sz="6" w:space="0" w:color="000000"/>
              <w:bottom w:val="nil" w:sz="6" w:space="0" w:color="auto"/>
              <w:right w:val="single" w:sz="6" w:space="0" w:color="000000"/>
            </w:tcBorders>
            <w:shd w:val="clear" w:color="auto" w:fill="D2D2D2"/>
          </w:tcPr>
          <w:p>
            <w:pPr/>
          </w:p>
        </w:tc>
        <w:tc>
          <w:tcPr>
            <w:tcW w:w="88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6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1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9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26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98" w:type="dxa"/>
            <w:vMerge/>
            <w:tcBorders>
              <w:left w:val="single" w:sz="6" w:space="0" w:color="000000"/>
              <w:bottom w:val="nil" w:sz="6" w:space="0" w:color="auto"/>
              <w:right w:val="single" w:sz="12" w:space="0" w:color="000000"/>
            </w:tcBorders>
            <w:shd w:val="clear" w:color="auto" w:fill="D2D2D2"/>
          </w:tcPr>
          <w:p>
            <w:pPr/>
          </w:p>
        </w:tc>
      </w:tr>
      <w:tr>
        <w:trPr>
          <w:trHeight w:val="212" w:hRule="exact"/>
        </w:trPr>
        <w:tc>
          <w:tcPr>
            <w:tcW w:w="1190" w:type="dxa"/>
            <w:tcBorders>
              <w:top w:val="nil" w:sz="6" w:space="0" w:color="auto"/>
              <w:left w:val="single" w:sz="12" w:space="0" w:color="000000"/>
              <w:bottom w:val="single" w:sz="6" w:space="0" w:color="000000"/>
              <w:right w:val="single" w:sz="6" w:space="0" w:color="000000"/>
            </w:tcBorders>
            <w:shd w:val="clear" w:color="auto" w:fill="D2D2D2"/>
          </w:tcPr>
          <w:p>
            <w:pPr/>
          </w:p>
        </w:tc>
        <w:tc>
          <w:tcPr>
            <w:tcW w:w="1509" w:type="dxa"/>
            <w:tcBorders>
              <w:top w:val="nil" w:sz="6" w:space="0" w:color="auto"/>
              <w:left w:val="single" w:sz="6" w:space="0" w:color="000000"/>
              <w:bottom w:val="single" w:sz="6" w:space="0" w:color="000000"/>
              <w:right w:val="single" w:sz="6" w:space="0" w:color="000000"/>
            </w:tcBorders>
            <w:shd w:val="clear" w:color="auto" w:fill="D2D2D2"/>
          </w:tcPr>
          <w:p>
            <w:pPr/>
          </w:p>
        </w:tc>
        <w:tc>
          <w:tcPr>
            <w:tcW w:w="884" w:type="dxa"/>
            <w:vMerge/>
            <w:tcBorders>
              <w:left w:val="single" w:sz="6" w:space="0" w:color="000000"/>
              <w:bottom w:val="single" w:sz="6" w:space="0" w:color="000000"/>
              <w:right w:val="single" w:sz="6" w:space="0" w:color="000000"/>
            </w:tcBorders>
            <w:shd w:val="clear" w:color="auto" w:fill="D2D2D2"/>
          </w:tcPr>
          <w:p>
            <w:pPr/>
          </w:p>
        </w:tc>
        <w:tc>
          <w:tcPr>
            <w:tcW w:w="1197" w:type="dxa"/>
            <w:vMerge/>
            <w:tcBorders>
              <w:left w:val="single" w:sz="6" w:space="0" w:color="000000"/>
              <w:bottom w:val="single" w:sz="6" w:space="0" w:color="000000"/>
              <w:right w:val="single" w:sz="6" w:space="0" w:color="000000"/>
            </w:tcBorders>
            <w:shd w:val="clear" w:color="auto" w:fill="D2D2D2"/>
          </w:tcPr>
          <w:p>
            <w:pPr/>
          </w:p>
        </w:tc>
        <w:tc>
          <w:tcPr>
            <w:tcW w:w="1195" w:type="dxa"/>
            <w:vMerge/>
            <w:tcBorders>
              <w:left w:val="single" w:sz="6" w:space="0" w:color="000000"/>
              <w:bottom w:val="single" w:sz="6" w:space="0" w:color="000000"/>
              <w:right w:val="single" w:sz="6" w:space="0" w:color="000000"/>
            </w:tcBorders>
            <w:shd w:val="clear" w:color="auto" w:fill="D2D2D2"/>
          </w:tcPr>
          <w:p>
            <w:pPr/>
          </w:p>
        </w:tc>
        <w:tc>
          <w:tcPr>
            <w:tcW w:w="1197" w:type="dxa"/>
            <w:vMerge/>
            <w:tcBorders>
              <w:left w:val="single" w:sz="6" w:space="0" w:color="000000"/>
              <w:bottom w:val="single" w:sz="6" w:space="0" w:color="000000"/>
              <w:right w:val="single" w:sz="6" w:space="0" w:color="000000"/>
            </w:tcBorders>
            <w:shd w:val="clear" w:color="auto" w:fill="D2D2D2"/>
          </w:tcPr>
          <w:p>
            <w:pPr/>
          </w:p>
        </w:tc>
        <w:tc>
          <w:tcPr>
            <w:tcW w:w="893" w:type="dxa"/>
            <w:vMerge/>
            <w:tcBorders>
              <w:left w:val="single" w:sz="6" w:space="0" w:color="000000"/>
              <w:bottom w:val="single" w:sz="6" w:space="0" w:color="000000"/>
              <w:right w:val="single" w:sz="6" w:space="0" w:color="000000"/>
            </w:tcBorders>
            <w:shd w:val="clear" w:color="auto" w:fill="D2D2D2"/>
          </w:tcPr>
          <w:p>
            <w:pPr/>
          </w:p>
        </w:tc>
        <w:tc>
          <w:tcPr>
            <w:tcW w:w="1498"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15" w:hRule="exact"/>
        </w:trPr>
        <w:tc>
          <w:tcPr>
            <w:tcW w:w="119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0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left="192" w:right="0"/>
              <w:jc w:val="left"/>
              <w:rPr>
                <w:rFonts w:ascii="宋体" w:hAnsi="宋体" w:cs="宋体" w:eastAsia="宋体" w:hint="default"/>
                <w:sz w:val="18"/>
                <w:szCs w:val="18"/>
              </w:rPr>
            </w:pPr>
            <w:r>
              <w:rPr>
                <w:rFonts w:ascii="宋体"/>
                <w:sz w:val="18"/>
              </w:rPr>
              <w:t>161,221,848.00</w:t>
            </w:r>
          </w:p>
        </w:tc>
        <w:tc>
          <w:tcPr>
            <w:tcW w:w="884" w:type="dxa"/>
            <w:tcBorders>
              <w:top w:val="single" w:sz="6" w:space="0" w:color="000000"/>
              <w:left w:val="single" w:sz="6" w:space="0" w:color="000000"/>
              <w:bottom w:val="single" w:sz="12" w:space="0" w:color="000000"/>
              <w:right w:val="single" w:sz="6" w:space="0" w:color="000000"/>
            </w:tcBorders>
          </w:tcPr>
          <w:p>
            <w:pPr/>
          </w:p>
        </w:tc>
        <w:tc>
          <w:tcPr>
            <w:tcW w:w="1197" w:type="dxa"/>
            <w:tcBorders>
              <w:top w:val="single" w:sz="6" w:space="0" w:color="000000"/>
              <w:left w:val="single" w:sz="6" w:space="0" w:color="000000"/>
              <w:bottom w:val="single" w:sz="12" w:space="0" w:color="000000"/>
              <w:right w:val="single" w:sz="6" w:space="0" w:color="000000"/>
            </w:tcBorders>
          </w:tcPr>
          <w:p>
            <w:pPr/>
          </w:p>
        </w:tc>
        <w:tc>
          <w:tcPr>
            <w:tcW w:w="1195" w:type="dxa"/>
            <w:tcBorders>
              <w:top w:val="single" w:sz="6" w:space="0" w:color="000000"/>
              <w:left w:val="single" w:sz="6" w:space="0" w:color="000000"/>
              <w:bottom w:val="single" w:sz="12" w:space="0" w:color="000000"/>
              <w:right w:val="single" w:sz="6" w:space="0" w:color="000000"/>
            </w:tcBorders>
          </w:tcPr>
          <w:p>
            <w:pPr/>
          </w:p>
        </w:tc>
        <w:tc>
          <w:tcPr>
            <w:tcW w:w="1197" w:type="dxa"/>
            <w:tcBorders>
              <w:top w:val="single" w:sz="6" w:space="0" w:color="000000"/>
              <w:left w:val="single" w:sz="6" w:space="0" w:color="000000"/>
              <w:bottom w:val="single" w:sz="12" w:space="0" w:color="000000"/>
              <w:right w:val="single" w:sz="6" w:space="0" w:color="000000"/>
            </w:tcBorders>
          </w:tcPr>
          <w:p>
            <w:pPr/>
          </w:p>
        </w:tc>
        <w:tc>
          <w:tcPr>
            <w:tcW w:w="893" w:type="dxa"/>
            <w:tcBorders>
              <w:top w:val="single" w:sz="6" w:space="0" w:color="000000"/>
              <w:left w:val="single" w:sz="6" w:space="0" w:color="000000"/>
              <w:bottom w:val="single" w:sz="12" w:space="0" w:color="000000"/>
              <w:right w:val="single" w:sz="6" w:space="0" w:color="000000"/>
            </w:tcBorders>
          </w:tcPr>
          <w:p>
            <w:pPr/>
          </w:p>
        </w:tc>
        <w:tc>
          <w:tcPr>
            <w:tcW w:w="149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03" w:right="0"/>
              <w:jc w:val="left"/>
              <w:rPr>
                <w:rFonts w:ascii="宋体" w:hAnsi="宋体" w:cs="宋体" w:eastAsia="宋体" w:hint="default"/>
                <w:sz w:val="18"/>
                <w:szCs w:val="18"/>
              </w:rPr>
            </w:pPr>
            <w:r>
              <w:rPr>
                <w:rFonts w:ascii="宋体"/>
                <w:sz w:val="18"/>
              </w:rPr>
              <w:t>161,221,848.00</w:t>
            </w:r>
          </w:p>
        </w:tc>
      </w:tr>
    </w:tbl>
    <w:p>
      <w:pPr>
        <w:spacing w:before="72"/>
        <w:ind w:left="1134" w:right="0" w:firstLine="0"/>
        <w:jc w:val="left"/>
        <w:rPr>
          <w:rFonts w:ascii="宋体" w:hAnsi="宋体" w:cs="宋体" w:eastAsia="宋体" w:hint="default"/>
          <w:sz w:val="20"/>
          <w:szCs w:val="20"/>
        </w:rPr>
      </w:pPr>
      <w:bookmarkStart w:name="54、其他权益工具" w:id="346"/>
      <w:bookmarkEnd w:id="346"/>
      <w:r>
        <w:rPr/>
      </w:r>
      <w:r>
        <w:rPr>
          <w:rFonts w:ascii="宋体" w:hAnsi="宋体" w:cs="宋体" w:eastAsia="宋体" w:hint="default"/>
          <w:b/>
          <w:bCs/>
          <w:sz w:val="20"/>
          <w:szCs w:val="20"/>
        </w:rPr>
        <w:t>54</w:t>
      </w:r>
      <w:r>
        <w:rPr>
          <w:rFonts w:ascii="宋体" w:hAnsi="宋体" w:cs="宋体" w:eastAsia="宋体" w:hint="default"/>
          <w:b/>
          <w:bCs/>
          <w:sz w:val="20"/>
          <w:szCs w:val="20"/>
        </w:rPr>
        <w:t>、其他权益工具</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55、资本公积" w:id="347"/>
      <w:bookmarkEnd w:id="347"/>
      <w:r>
        <w:rPr/>
      </w:r>
      <w:r>
        <w:rPr>
          <w:rFonts w:ascii="宋体" w:hAnsi="宋体" w:cs="宋体" w:eastAsia="宋体" w:hint="default"/>
          <w:b/>
          <w:bCs/>
          <w:sz w:val="20"/>
          <w:szCs w:val="20"/>
        </w:rPr>
        <w:t>55</w:t>
      </w:r>
      <w:r>
        <w:rPr>
          <w:rFonts w:ascii="宋体" w:hAnsi="宋体" w:cs="宋体" w:eastAsia="宋体" w:hint="default"/>
          <w:b/>
          <w:bCs/>
          <w:sz w:val="20"/>
          <w:szCs w:val="20"/>
        </w:rPr>
        <w:t>、资本公积</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1896"/>
        <w:gridCol w:w="1927"/>
        <w:gridCol w:w="1914"/>
        <w:gridCol w:w="1914"/>
        <w:gridCol w:w="1913"/>
      </w:tblGrid>
      <w:tr>
        <w:trPr>
          <w:trHeight w:val="413" w:hRule="exact"/>
        </w:trPr>
        <w:tc>
          <w:tcPr>
            <w:tcW w:w="18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919,239,030.77</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31,216.85</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919,207,813.92</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7,643,971.69</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7,643,971.69</w:t>
            </w:r>
          </w:p>
        </w:tc>
      </w:tr>
      <w:tr>
        <w:trPr>
          <w:trHeight w:val="415" w:hRule="exact"/>
        </w:trPr>
        <w:tc>
          <w:tcPr>
            <w:tcW w:w="18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926,883,002.46</w:t>
            </w:r>
          </w:p>
        </w:tc>
        <w:tc>
          <w:tcPr>
            <w:tcW w:w="1914" w:type="dxa"/>
            <w:tcBorders>
              <w:top w:val="single" w:sz="6" w:space="0" w:color="000000"/>
              <w:left w:val="single" w:sz="6" w:space="0" w:color="000000"/>
              <w:bottom w:val="single" w:sz="12" w:space="0" w:color="000000"/>
              <w:right w:val="single" w:sz="6" w:space="0" w:color="000000"/>
            </w:tcBorders>
          </w:tcPr>
          <w:p>
            <w:pP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31,216.85</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926,851,785.61</w:t>
            </w:r>
          </w:p>
        </w:tc>
      </w:tr>
    </w:tbl>
    <w:p>
      <w:pPr>
        <w:pStyle w:val="BodyText"/>
        <w:spacing w:line="408" w:lineRule="auto" w:before="63"/>
        <w:ind w:left="1554" w:right="2247" w:hanging="420"/>
        <w:jc w:val="left"/>
      </w:pPr>
      <w:r>
        <w:rPr/>
        <w:t>其他说明，包括本期增减变动情况、变动原因说明： 资本公积减少</w:t>
      </w:r>
      <w:r>
        <w:rPr>
          <w:rFonts w:ascii="宋体" w:hAnsi="宋体" w:cs="宋体" w:eastAsia="宋体" w:hint="default"/>
        </w:rPr>
        <w:t>31,216.85</w:t>
      </w:r>
      <w:r>
        <w:rPr/>
        <w:t>元，为本报告期支付的上年末并购事项的股份增发登记费所致。</w:t>
      </w:r>
    </w:p>
    <w:p>
      <w:pPr>
        <w:spacing w:before="55"/>
        <w:ind w:left="1134" w:right="0" w:firstLine="0"/>
        <w:jc w:val="left"/>
        <w:rPr>
          <w:rFonts w:ascii="宋体" w:hAnsi="宋体" w:cs="宋体" w:eastAsia="宋体" w:hint="default"/>
          <w:sz w:val="20"/>
          <w:szCs w:val="20"/>
        </w:rPr>
      </w:pPr>
      <w:bookmarkStart w:name="56、库存股" w:id="348"/>
      <w:bookmarkEnd w:id="348"/>
      <w:r>
        <w:rPr/>
      </w:r>
      <w:r>
        <w:rPr>
          <w:rFonts w:ascii="宋体" w:hAnsi="宋体" w:cs="宋体" w:eastAsia="宋体" w:hint="default"/>
          <w:b/>
          <w:bCs/>
          <w:sz w:val="20"/>
          <w:szCs w:val="20"/>
        </w:rPr>
        <w:t>56</w:t>
      </w:r>
      <w:r>
        <w:rPr>
          <w:rFonts w:ascii="宋体" w:hAnsi="宋体" w:cs="宋体" w:eastAsia="宋体" w:hint="default"/>
          <w:b/>
          <w:bCs/>
          <w:sz w:val="20"/>
          <w:szCs w:val="20"/>
        </w:rPr>
        <w:t>、库存股</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57、其他综合收益" w:id="349"/>
      <w:bookmarkEnd w:id="349"/>
      <w:r>
        <w:rPr/>
      </w:r>
      <w:r>
        <w:rPr>
          <w:rFonts w:ascii="宋体" w:hAnsi="宋体" w:cs="宋体" w:eastAsia="宋体" w:hint="default"/>
          <w:b/>
          <w:bCs/>
          <w:sz w:val="20"/>
          <w:szCs w:val="20"/>
        </w:rPr>
        <w:t>57</w:t>
      </w:r>
      <w:r>
        <w:rPr>
          <w:rFonts w:ascii="宋体" w:hAnsi="宋体" w:cs="宋体" w:eastAsia="宋体" w:hint="default"/>
          <w:b/>
          <w:bCs/>
          <w:sz w:val="20"/>
          <w:szCs w:val="20"/>
        </w:rPr>
        <w:t>、其他综合收益</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3" w:right="0" w:firstLine="0"/>
        <w:jc w:val="left"/>
        <w:rPr>
          <w:rFonts w:ascii="宋体" w:hAnsi="宋体" w:cs="宋体" w:eastAsia="宋体" w:hint="default"/>
          <w:sz w:val="20"/>
          <w:szCs w:val="20"/>
        </w:rPr>
      </w:pPr>
      <w:bookmarkStart w:name="58、专项储备" w:id="350"/>
      <w:bookmarkEnd w:id="350"/>
      <w:r>
        <w:rPr/>
      </w:r>
      <w:r>
        <w:rPr>
          <w:rFonts w:ascii="宋体" w:hAnsi="宋体" w:cs="宋体" w:eastAsia="宋体" w:hint="default"/>
          <w:b/>
          <w:bCs/>
          <w:sz w:val="20"/>
          <w:szCs w:val="20"/>
        </w:rPr>
        <w:t>58</w:t>
      </w:r>
      <w:r>
        <w:rPr>
          <w:rFonts w:ascii="宋体" w:hAnsi="宋体" w:cs="宋体" w:eastAsia="宋体" w:hint="default"/>
          <w:b/>
          <w:bCs/>
          <w:sz w:val="20"/>
          <w:szCs w:val="20"/>
        </w:rPr>
        <w:t>、专项储备</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59、盈余公积" w:id="351"/>
      <w:bookmarkEnd w:id="351"/>
      <w:r>
        <w:rPr/>
      </w:r>
      <w:r>
        <w:rPr>
          <w:rFonts w:ascii="宋体" w:hAnsi="宋体" w:cs="宋体" w:eastAsia="宋体" w:hint="default"/>
          <w:b/>
          <w:bCs/>
          <w:sz w:val="20"/>
          <w:szCs w:val="20"/>
        </w:rPr>
        <w:t>59</w:t>
      </w:r>
      <w:r>
        <w:rPr>
          <w:rFonts w:ascii="宋体" w:hAnsi="宋体" w:cs="宋体" w:eastAsia="宋体" w:hint="default"/>
          <w:b/>
          <w:bCs/>
          <w:sz w:val="20"/>
          <w:szCs w:val="20"/>
        </w:rPr>
        <w:t>、盈余公积</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1896"/>
        <w:gridCol w:w="1927"/>
        <w:gridCol w:w="1914"/>
        <w:gridCol w:w="1914"/>
        <w:gridCol w:w="1913"/>
      </w:tblGrid>
      <w:tr>
        <w:trPr>
          <w:trHeight w:val="413" w:hRule="exact"/>
        </w:trPr>
        <w:tc>
          <w:tcPr>
            <w:tcW w:w="18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786"/>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20,423,426.70</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20,423,426.70</w:t>
            </w:r>
          </w:p>
        </w:tc>
      </w:tr>
      <w:tr>
        <w:trPr>
          <w:trHeight w:val="416" w:hRule="exact"/>
        </w:trPr>
        <w:tc>
          <w:tcPr>
            <w:tcW w:w="18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758"/>
              <w:jc w:val="righ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20,423,426.70</w:t>
            </w:r>
          </w:p>
        </w:tc>
        <w:tc>
          <w:tcPr>
            <w:tcW w:w="1914" w:type="dxa"/>
            <w:tcBorders>
              <w:top w:val="single" w:sz="6" w:space="0" w:color="000000"/>
              <w:left w:val="single" w:sz="6" w:space="0" w:color="000000"/>
              <w:bottom w:val="single" w:sz="12" w:space="0" w:color="000000"/>
              <w:right w:val="single" w:sz="6" w:space="0" w:color="000000"/>
            </w:tcBorders>
          </w:tcPr>
          <w:p>
            <w:pPr/>
          </w:p>
        </w:tc>
        <w:tc>
          <w:tcPr>
            <w:tcW w:w="1914" w:type="dxa"/>
            <w:tcBorders>
              <w:top w:val="single" w:sz="6" w:space="0" w:color="000000"/>
              <w:left w:val="single" w:sz="6" w:space="0" w:color="000000"/>
              <w:bottom w:val="single" w:sz="12" w:space="0" w:color="000000"/>
              <w:right w:val="single" w:sz="6" w:space="0" w:color="000000"/>
            </w:tcBorders>
          </w:tcPr>
          <w:p>
            <w:pP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20,423,426.70</w:t>
            </w:r>
          </w:p>
        </w:tc>
      </w:tr>
    </w:tbl>
    <w:p>
      <w:pPr>
        <w:spacing w:line="240" w:lineRule="auto" w:before="8"/>
        <w:rPr>
          <w:rFonts w:ascii="宋体" w:hAnsi="宋体" w:cs="宋体" w:eastAsia="宋体" w:hint="default"/>
          <w:sz w:val="19"/>
          <w:szCs w:val="19"/>
        </w:rPr>
      </w:pPr>
    </w:p>
    <w:p>
      <w:pPr>
        <w:spacing w:before="38"/>
        <w:ind w:left="1134" w:right="0" w:firstLine="0"/>
        <w:jc w:val="left"/>
        <w:rPr>
          <w:rFonts w:ascii="宋体" w:hAnsi="宋体" w:cs="宋体" w:eastAsia="宋体" w:hint="default"/>
          <w:sz w:val="20"/>
          <w:szCs w:val="20"/>
        </w:rPr>
      </w:pPr>
      <w:bookmarkStart w:name="60、未分配利润" w:id="352"/>
      <w:bookmarkEnd w:id="352"/>
      <w:r>
        <w:rPr/>
      </w:r>
      <w:r>
        <w:rPr>
          <w:rFonts w:ascii="宋体" w:hAnsi="宋体" w:cs="宋体" w:eastAsia="宋体" w:hint="default"/>
          <w:b/>
          <w:bCs/>
          <w:sz w:val="20"/>
          <w:szCs w:val="20"/>
        </w:rPr>
        <w:t>60</w:t>
      </w:r>
      <w:r>
        <w:rPr>
          <w:rFonts w:ascii="宋体" w:hAnsi="宋体" w:cs="宋体" w:eastAsia="宋体" w:hint="default"/>
          <w:b/>
          <w:bCs/>
          <w:sz w:val="20"/>
          <w:szCs w:val="20"/>
        </w:rPr>
        <w:t>、未分配利润</w:t>
      </w:r>
      <w:r>
        <w:rPr>
          <w:rFonts w:ascii="宋体" w:hAnsi="宋体" w:cs="宋体" w:eastAsia="宋体" w:hint="default"/>
          <w:sz w:val="20"/>
          <w:szCs w:val="20"/>
        </w:rPr>
      </w:r>
    </w:p>
    <w:p>
      <w:pPr>
        <w:spacing w:line="240" w:lineRule="auto" w:before="9"/>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3709"/>
        <w:gridCol w:w="2935"/>
        <w:gridCol w:w="2918"/>
      </w:tblGrid>
      <w:tr>
        <w:trPr>
          <w:trHeight w:val="415" w:hRule="exact"/>
        </w:trPr>
        <w:tc>
          <w:tcPr>
            <w:tcW w:w="370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7"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5"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187,625,505.35</w:t>
            </w:r>
          </w:p>
        </w:tc>
        <w:tc>
          <w:tcPr>
            <w:tcW w:w="29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167,389,661.85</w:t>
            </w:r>
          </w:p>
        </w:tc>
      </w:tr>
      <w:tr>
        <w:trPr>
          <w:trHeight w:val="407"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5"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187,625,505.35</w:t>
            </w:r>
          </w:p>
        </w:tc>
        <w:tc>
          <w:tcPr>
            <w:tcW w:w="29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167,389,661.85</w:t>
            </w:r>
          </w:p>
        </w:tc>
      </w:tr>
      <w:tr>
        <w:trPr>
          <w:trHeight w:val="407"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5"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39,557,927.16</w:t>
            </w:r>
          </w:p>
        </w:tc>
        <w:tc>
          <w:tcPr>
            <w:tcW w:w="29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35,930,952.54</w:t>
            </w:r>
          </w:p>
        </w:tc>
      </w:tr>
      <w:tr>
        <w:trPr>
          <w:trHeight w:val="407"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5" w:type="dxa"/>
            <w:tcBorders>
              <w:top w:val="single" w:sz="6" w:space="0" w:color="000000"/>
              <w:left w:val="single" w:sz="8" w:space="0" w:color="D2D2D2"/>
              <w:bottom w:val="single" w:sz="6" w:space="0" w:color="000000"/>
              <w:right w:val="single" w:sz="6" w:space="0" w:color="000000"/>
            </w:tcBorders>
          </w:tcPr>
          <w:p>
            <w:pPr/>
          </w:p>
        </w:tc>
        <w:tc>
          <w:tcPr>
            <w:tcW w:w="29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2,694,609.04</w:t>
            </w:r>
          </w:p>
        </w:tc>
      </w:tr>
      <w:tr>
        <w:trPr>
          <w:trHeight w:val="408"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5"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6,448,873.92</w:t>
            </w:r>
          </w:p>
        </w:tc>
        <w:tc>
          <w:tcPr>
            <w:tcW w:w="29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13,000,500.00</w:t>
            </w:r>
          </w:p>
        </w:tc>
      </w:tr>
      <w:tr>
        <w:trPr>
          <w:trHeight w:val="414" w:hRule="exact"/>
        </w:trPr>
        <w:tc>
          <w:tcPr>
            <w:tcW w:w="370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5"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220,734,558.59</w:t>
            </w:r>
          </w:p>
        </w:tc>
        <w:tc>
          <w:tcPr>
            <w:tcW w:w="29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187,625,505.35</w:t>
            </w:r>
          </w:p>
        </w:tc>
      </w:tr>
    </w:tbl>
    <w:p>
      <w:pPr>
        <w:pStyle w:val="BodyText"/>
        <w:spacing w:line="408" w:lineRule="auto" w:before="63"/>
        <w:ind w:left="1134" w:right="2458"/>
        <w:jc w:val="left"/>
      </w:pPr>
      <w:r>
        <w:rPr/>
        <w:t>调整期初未分配利润明细： </w:t>
      </w:r>
      <w:r>
        <w:rPr>
          <w:rFonts w:ascii="宋体" w:hAnsi="宋体" w:cs="宋体" w:eastAsia="宋体" w:hint="default"/>
        </w:rPr>
        <w:t>1)</w:t>
      </w:r>
      <w:r>
        <w:rPr/>
        <w:t>、由于《企业会计准则》及其相关新规定进行追溯调整，影响期初未分配利润</w:t>
      </w:r>
      <w:r>
        <w:rPr>
          <w:spacing w:val="-52"/>
        </w:rPr>
        <w:t> </w:t>
      </w:r>
      <w:r>
        <w:rPr>
          <w:rFonts w:ascii="宋体" w:hAnsi="宋体" w:cs="宋体" w:eastAsia="宋体" w:hint="default"/>
        </w:rPr>
        <w:t>0.00</w:t>
      </w:r>
      <w:r>
        <w:rPr>
          <w:rFonts w:ascii="宋体" w:hAnsi="宋体" w:cs="宋体" w:eastAsia="宋体" w:hint="default"/>
          <w:spacing w:val="-54"/>
        </w:rPr>
        <w:t> </w:t>
      </w:r>
      <w:r>
        <w:rPr/>
        <w:t>元。</w:t>
      </w:r>
    </w:p>
    <w:p>
      <w:pPr>
        <w:pStyle w:val="BodyText"/>
        <w:spacing w:line="240" w:lineRule="auto" w:before="46"/>
        <w:ind w:right="0"/>
        <w:jc w:val="left"/>
      </w:pPr>
      <w:r>
        <w:rPr>
          <w:rFonts w:ascii="宋体" w:hAnsi="宋体" w:cs="宋体" w:eastAsia="宋体" w:hint="default"/>
        </w:rPr>
        <w:t>2)</w:t>
      </w:r>
      <w:r>
        <w:rPr/>
        <w:t>、由于会计政策变更，影响期初未分配利润</w:t>
      </w:r>
      <w:r>
        <w:rPr>
          <w:spacing w:val="-53"/>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3)</w:t>
      </w:r>
      <w:r>
        <w:rPr/>
        <w:t>、由于重大会计差错更正，影响期初未分配利润</w:t>
      </w:r>
      <w:r>
        <w:rPr>
          <w:spacing w:val="-55"/>
        </w:rPr>
        <w:t> </w:t>
      </w:r>
      <w:r>
        <w:rPr>
          <w:rFonts w:ascii="宋体" w:hAnsi="宋体" w:cs="宋体" w:eastAsia="宋体" w:hint="default"/>
        </w:rPr>
        <w:t>0.00</w:t>
      </w:r>
      <w:r>
        <w:rPr>
          <w:rFonts w:ascii="宋体" w:hAnsi="宋体" w:cs="宋体" w:eastAsia="宋体" w:hint="default"/>
          <w:spacing w:val="-56"/>
        </w:rPr>
        <w:t> </w:t>
      </w:r>
      <w:r>
        <w:rPr/>
        <w:t>元。</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4)</w:t>
      </w:r>
      <w:r>
        <w:rPr/>
        <w:t>、由于同一控制导致的合并范围变更，影响期初未分配利润</w:t>
      </w:r>
      <w:r>
        <w:rPr>
          <w:spacing w:val="-55"/>
        </w:rPr>
        <w:t> </w:t>
      </w:r>
      <w:r>
        <w:rPr>
          <w:rFonts w:ascii="宋体" w:hAnsi="宋体" w:cs="宋体" w:eastAsia="宋体" w:hint="default"/>
        </w:rPr>
        <w:t>0.00</w:t>
      </w:r>
      <w:r>
        <w:rPr>
          <w:rFonts w:ascii="宋体" w:hAnsi="宋体" w:cs="宋体" w:eastAsia="宋体" w:hint="default"/>
          <w:spacing w:val="-56"/>
        </w:rPr>
        <w:t> </w:t>
      </w:r>
      <w:r>
        <w:rPr/>
        <w:t>元。</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5)</w:t>
      </w:r>
      <w:r>
        <w:rPr/>
        <w:t>、其他调整合计影响期初未分配利润</w:t>
      </w:r>
      <w:r>
        <w:rPr>
          <w:spacing w:val="-55"/>
        </w:rPr>
        <w:t> </w:t>
      </w:r>
      <w:r>
        <w:rPr>
          <w:rFonts w:ascii="宋体" w:hAnsi="宋体" w:cs="宋体" w:eastAsia="宋体" w:hint="default"/>
        </w:rPr>
        <w:t>0.00</w:t>
      </w:r>
      <w:r>
        <w:rPr>
          <w:rFonts w:ascii="宋体" w:hAnsi="宋体" w:cs="宋体" w:eastAsia="宋体" w:hint="default"/>
          <w:spacing w:val="-55"/>
        </w:rPr>
        <w:t> </w:t>
      </w:r>
      <w:r>
        <w:rPr/>
        <w:t>元。</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61、营业收入和营业成本" w:id="353"/>
      <w:bookmarkEnd w:id="353"/>
      <w:r>
        <w:rPr/>
      </w:r>
      <w:r>
        <w:rPr>
          <w:rFonts w:ascii="宋体" w:hAnsi="宋体" w:cs="宋体" w:eastAsia="宋体" w:hint="default"/>
          <w:b/>
          <w:bCs/>
          <w:sz w:val="20"/>
          <w:szCs w:val="20"/>
        </w:rPr>
        <w:t>61</w:t>
      </w:r>
      <w:r>
        <w:rPr>
          <w:rFonts w:ascii="宋体" w:hAnsi="宋体" w:cs="宋体" w:eastAsia="宋体" w:hint="default"/>
          <w:b/>
          <w:bCs/>
          <w:sz w:val="20"/>
          <w:szCs w:val="20"/>
        </w:rPr>
        <w:t>、营业收入和营业成本</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1906"/>
        <w:gridCol w:w="1917"/>
        <w:gridCol w:w="1914"/>
        <w:gridCol w:w="1914"/>
        <w:gridCol w:w="1913"/>
      </w:tblGrid>
      <w:tr>
        <w:trPr>
          <w:trHeight w:val="219" w:hRule="exact"/>
        </w:trPr>
        <w:tc>
          <w:tcPr>
            <w:tcW w:w="1906"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831"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6"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6" w:space="0" w:color="000000"/>
              <w:bottom w:val="single" w:sz="6" w:space="0" w:color="000000"/>
              <w:right w:val="single" w:sz="6" w:space="0" w:color="000000"/>
            </w:tcBorders>
            <w:shd w:val="clear" w:color="auto" w:fill="D2D2D2"/>
          </w:tcPr>
          <w:p>
            <w:pPr/>
          </w:p>
        </w:tc>
        <w:tc>
          <w:tcPr>
            <w:tcW w:w="3828" w:type="dxa"/>
            <w:gridSpan w:val="2"/>
            <w:vMerge/>
            <w:tcBorders>
              <w:left w:val="single" w:sz="6" w:space="0" w:color="000000"/>
              <w:bottom w:val="single" w:sz="6" w:space="0" w:color="000000"/>
              <w:right w:val="single" w:sz="12" w:space="0" w:color="000000"/>
            </w:tcBorders>
            <w:shd w:val="clear" w:color="auto" w:fill="D2D2D2"/>
          </w:tcPr>
          <w:p>
            <w:pPr/>
          </w:p>
        </w:tc>
      </w:tr>
      <w:tr>
        <w:trPr>
          <w:trHeight w:val="196" w:hRule="exact"/>
        </w:trPr>
        <w:tc>
          <w:tcPr>
            <w:tcW w:w="1906" w:type="dxa"/>
            <w:vMerge/>
            <w:tcBorders>
              <w:left w:val="single" w:sz="12" w:space="0" w:color="000000"/>
              <w:bottom w:val="nil" w:sz="6" w:space="0" w:color="auto"/>
              <w:right w:val="single" w:sz="6" w:space="0" w:color="000000"/>
            </w:tcBorders>
            <w:shd w:val="clear" w:color="auto" w:fill="D2D2D2"/>
          </w:tcPr>
          <w:p>
            <w:pPr/>
          </w:p>
        </w:tc>
        <w:tc>
          <w:tcPr>
            <w:tcW w:w="191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0" w:hRule="exact"/>
        </w:trPr>
        <w:tc>
          <w:tcPr>
            <w:tcW w:w="1906" w:type="dxa"/>
            <w:tcBorders>
              <w:top w:val="nil" w:sz="6" w:space="0" w:color="auto"/>
              <w:left w:val="single" w:sz="12" w:space="0" w:color="000000"/>
              <w:bottom w:val="single" w:sz="6" w:space="0" w:color="000000"/>
              <w:right w:val="single" w:sz="6" w:space="0" w:color="000000"/>
            </w:tcBorders>
            <w:shd w:val="clear" w:color="auto" w:fill="D2D2D2"/>
          </w:tcPr>
          <w:p>
            <w:pPr/>
          </w:p>
        </w:tc>
        <w:tc>
          <w:tcPr>
            <w:tcW w:w="1917"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90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699,310,739.32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499,317,320.87</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341,801,185.22</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230,728,698.66</w:t>
            </w:r>
          </w:p>
        </w:tc>
      </w:tr>
      <w:tr>
        <w:trPr>
          <w:trHeight w:val="407" w:hRule="exact"/>
        </w:trPr>
        <w:tc>
          <w:tcPr>
            <w:tcW w:w="190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8,362,964.18</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2,113,415.48</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1,545,710.75</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1,113,369.06</w:t>
            </w:r>
          </w:p>
        </w:tc>
      </w:tr>
      <w:tr>
        <w:trPr>
          <w:trHeight w:val="416" w:hRule="exact"/>
        </w:trPr>
        <w:tc>
          <w:tcPr>
            <w:tcW w:w="190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right="12"/>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707,673,703.50</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501,430,736.35</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343,346,895.97</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231,842,067.72</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13"/>
        <w:rPr>
          <w:rFonts w:ascii="宋体" w:hAnsi="宋体" w:cs="宋体" w:eastAsia="宋体" w:hint="default"/>
          <w:sz w:val="25"/>
          <w:szCs w:val="25"/>
        </w:rPr>
      </w:pPr>
    </w:p>
    <w:p>
      <w:pPr>
        <w:spacing w:before="38"/>
        <w:ind w:left="1133" w:right="0" w:firstLine="0"/>
        <w:jc w:val="left"/>
        <w:rPr>
          <w:rFonts w:ascii="宋体" w:hAnsi="宋体" w:cs="宋体" w:eastAsia="宋体" w:hint="default"/>
          <w:sz w:val="20"/>
          <w:szCs w:val="20"/>
        </w:rPr>
      </w:pPr>
      <w:bookmarkStart w:name="62、营业税金及附加" w:id="354"/>
      <w:bookmarkEnd w:id="354"/>
      <w:r>
        <w:rPr/>
      </w:r>
      <w:r>
        <w:rPr>
          <w:rFonts w:ascii="宋体" w:hAnsi="宋体" w:cs="宋体" w:eastAsia="宋体" w:hint="default"/>
          <w:b/>
          <w:bCs/>
          <w:sz w:val="20"/>
          <w:szCs w:val="20"/>
        </w:rPr>
        <w:t>62</w:t>
      </w:r>
      <w:r>
        <w:rPr>
          <w:rFonts w:ascii="宋体" w:hAnsi="宋体" w:cs="宋体" w:eastAsia="宋体" w:hint="default"/>
          <w:b/>
          <w:bCs/>
          <w:sz w:val="20"/>
          <w:szCs w:val="20"/>
        </w:rPr>
        <w:t>、营业税金及附加</w:t>
      </w:r>
      <w:r>
        <w:rPr>
          <w:rFonts w:ascii="宋体" w:hAnsi="宋体" w:cs="宋体" w:eastAsia="宋体" w:hint="default"/>
          <w:sz w:val="20"/>
          <w:szCs w:val="20"/>
        </w:rPr>
      </w:r>
    </w:p>
    <w:p>
      <w:pPr>
        <w:spacing w:line="240" w:lineRule="auto" w:before="9"/>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1,269,480.51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1,504,415.69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1,663,073.61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950,419.91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913,310.98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680,782.85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3,845,865.10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3,135,618.45</w:t>
            </w:r>
          </w:p>
        </w:tc>
      </w:tr>
    </w:tbl>
    <w:p>
      <w:pPr>
        <w:pStyle w:val="BodyText"/>
        <w:spacing w:line="240" w:lineRule="auto" w:before="63"/>
        <w:ind w:left="1134" w:right="0"/>
        <w:jc w:val="left"/>
      </w:pPr>
      <w:r>
        <w:rPr/>
        <w:t>其他说明：</w:t>
      </w:r>
    </w:p>
    <w:p>
      <w:pPr>
        <w:spacing w:line="240" w:lineRule="auto" w:before="0"/>
        <w:rPr>
          <w:rFonts w:ascii="宋体" w:hAnsi="宋体" w:cs="宋体" w:eastAsia="宋体" w:hint="default"/>
          <w:sz w:val="20"/>
          <w:szCs w:val="20"/>
        </w:rPr>
      </w:pPr>
    </w:p>
    <w:p>
      <w:pPr>
        <w:spacing w:before="164"/>
        <w:ind w:left="1133" w:right="0" w:firstLine="0"/>
        <w:jc w:val="left"/>
        <w:rPr>
          <w:rFonts w:ascii="宋体" w:hAnsi="宋体" w:cs="宋体" w:eastAsia="宋体" w:hint="default"/>
          <w:sz w:val="20"/>
          <w:szCs w:val="20"/>
        </w:rPr>
      </w:pPr>
      <w:bookmarkStart w:name="63、销售费用" w:id="355"/>
      <w:bookmarkEnd w:id="355"/>
      <w:r>
        <w:rPr/>
      </w:r>
      <w:r>
        <w:rPr>
          <w:rFonts w:ascii="宋体" w:hAnsi="宋体" w:cs="宋体" w:eastAsia="宋体" w:hint="default"/>
          <w:b/>
          <w:bCs/>
          <w:sz w:val="20"/>
          <w:szCs w:val="20"/>
        </w:rPr>
        <w:t>63</w:t>
      </w:r>
      <w:r>
        <w:rPr>
          <w:rFonts w:ascii="宋体" w:hAnsi="宋体" w:cs="宋体" w:eastAsia="宋体" w:hint="default"/>
          <w:b/>
          <w:bCs/>
          <w:sz w:val="20"/>
          <w:szCs w:val="20"/>
        </w:rPr>
        <w:t>、销售费用</w:t>
      </w:r>
      <w:r>
        <w:rPr>
          <w:rFonts w:ascii="宋体" w:hAnsi="宋体" w:cs="宋体" w:eastAsia="宋体" w:hint="default"/>
          <w:sz w:val="20"/>
          <w:szCs w:val="20"/>
        </w:rPr>
      </w:r>
    </w:p>
    <w:p>
      <w:pPr>
        <w:spacing w:line="240" w:lineRule="auto" w:before="9"/>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5,733,942.93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2,309,213.60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195,368.92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61,441.40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143,421.82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179,073.96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82,635.87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41,827.91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1,911,916.53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1,964,527.63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289,035.33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228,883.81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2,785,837.12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1,513,240.18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零星耗材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70,966.32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7,630.31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256,652.29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823,137.71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3,753,453.38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3,378,105.41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4,778,036.59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4,234,348.05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1,463,060.35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1,346,039.47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7,944,431.16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17,956.80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2,276,804.42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960,347.24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31,685,563.03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17,065,773.48</w:t>
            </w:r>
          </w:p>
        </w:tc>
      </w:tr>
    </w:tbl>
    <w:p>
      <w:pPr>
        <w:pStyle w:val="BodyText"/>
        <w:spacing w:line="240" w:lineRule="auto" w:before="63"/>
        <w:ind w:left="1134" w:right="0"/>
        <w:jc w:val="left"/>
      </w:pPr>
      <w:r>
        <w:rPr/>
        <w:t>其他说明：</w:t>
      </w:r>
    </w:p>
    <w:p>
      <w:pPr>
        <w:spacing w:line="240" w:lineRule="auto" w:before="10"/>
        <w:rPr>
          <w:rFonts w:ascii="宋体" w:hAnsi="宋体" w:cs="宋体" w:eastAsia="宋体" w:hint="default"/>
          <w:sz w:val="14"/>
          <w:szCs w:val="14"/>
        </w:rPr>
      </w:pPr>
    </w:p>
    <w:p>
      <w:pPr>
        <w:pStyle w:val="BodyText"/>
        <w:spacing w:line="240" w:lineRule="auto"/>
        <w:ind w:right="0"/>
        <w:jc w:val="left"/>
      </w:pPr>
      <w:r>
        <w:rPr/>
        <w:t>销售费用比上年增加 </w:t>
      </w:r>
      <w:r>
        <w:rPr>
          <w:rFonts w:ascii="宋体" w:hAnsi="宋体" w:cs="宋体" w:eastAsia="宋体" w:hint="default"/>
        </w:rPr>
        <w:t>14,619,789.55</w:t>
      </w:r>
      <w:r>
        <w:rPr>
          <w:rFonts w:ascii="宋体" w:hAnsi="宋体" w:cs="宋体" w:eastAsia="宋体" w:hint="default"/>
          <w:spacing w:val="-3"/>
        </w:rPr>
        <w:t> </w:t>
      </w:r>
      <w:r>
        <w:rPr/>
        <w:t>元，增加比例为</w:t>
      </w:r>
      <w:r>
        <w:rPr>
          <w:rFonts w:ascii="宋体" w:hAnsi="宋体" w:cs="宋体" w:eastAsia="宋体" w:hint="default"/>
        </w:rPr>
        <w:t>85.67%</w:t>
      </w:r>
      <w:r>
        <w:rPr/>
        <w:t>，主要原因为本期合并范围增加所致。</w:t>
      </w:r>
    </w:p>
    <w:p>
      <w:pPr>
        <w:spacing w:line="240" w:lineRule="auto" w:before="6"/>
        <w:rPr>
          <w:rFonts w:ascii="宋体" w:hAnsi="宋体" w:cs="宋体" w:eastAsia="宋体" w:hint="default"/>
          <w:sz w:val="15"/>
          <w:szCs w:val="15"/>
        </w:rPr>
      </w:pPr>
    </w:p>
    <w:p>
      <w:pPr>
        <w:spacing w:before="0"/>
        <w:ind w:left="1133" w:right="0" w:firstLine="0"/>
        <w:jc w:val="left"/>
        <w:rPr>
          <w:rFonts w:ascii="宋体" w:hAnsi="宋体" w:cs="宋体" w:eastAsia="宋体" w:hint="default"/>
          <w:sz w:val="20"/>
          <w:szCs w:val="20"/>
        </w:rPr>
      </w:pPr>
      <w:bookmarkStart w:name="64、管理费用" w:id="356"/>
      <w:bookmarkEnd w:id="356"/>
      <w:r>
        <w:rPr/>
      </w:r>
      <w:r>
        <w:rPr>
          <w:rFonts w:ascii="宋体" w:hAnsi="宋体" w:cs="宋体" w:eastAsia="宋体" w:hint="default"/>
          <w:b/>
          <w:bCs/>
          <w:sz w:val="20"/>
          <w:szCs w:val="20"/>
        </w:rPr>
        <w:t>64</w:t>
      </w:r>
      <w:r>
        <w:rPr>
          <w:rFonts w:ascii="宋体" w:hAnsi="宋体" w:cs="宋体" w:eastAsia="宋体" w:hint="default"/>
          <w:b/>
          <w:bCs/>
          <w:sz w:val="20"/>
          <w:szCs w:val="20"/>
        </w:rPr>
        <w:t>、管理费用</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91"/>
        <w:gridCol w:w="3190"/>
        <w:gridCol w:w="3189"/>
      </w:tblGrid>
      <w:tr>
        <w:trPr>
          <w:trHeight w:val="415"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1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985" w:right="0"/>
              <w:jc w:val="left"/>
              <w:rPr>
                <w:rFonts w:ascii="宋体" w:hAnsi="宋体" w:cs="宋体" w:eastAsia="宋体" w:hint="default"/>
                <w:sz w:val="18"/>
                <w:szCs w:val="18"/>
              </w:rPr>
            </w:pPr>
            <w:r>
              <w:rPr>
                <w:rFonts w:ascii="宋体"/>
                <w:sz w:val="18"/>
              </w:rPr>
              <w:t>13,325,533.89</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075" w:right="0"/>
              <w:jc w:val="left"/>
              <w:rPr>
                <w:rFonts w:ascii="宋体" w:hAnsi="宋体" w:cs="宋体" w:eastAsia="宋体" w:hint="default"/>
                <w:sz w:val="18"/>
                <w:szCs w:val="18"/>
              </w:rPr>
            </w:pPr>
            <w:r>
              <w:rPr>
                <w:rFonts w:ascii="宋体"/>
                <w:sz w:val="18"/>
              </w:rPr>
              <w:t>9,339,673.64</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3191"/>
        <w:gridCol w:w="3190"/>
        <w:gridCol w:w="3189"/>
      </w:tblGrid>
      <w:tr>
        <w:trPr>
          <w:trHeight w:val="415" w:hRule="exact"/>
        </w:trPr>
        <w:tc>
          <w:tcPr>
            <w:tcW w:w="319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3,108,023.91</w:t>
            </w:r>
          </w:p>
        </w:tc>
        <w:tc>
          <w:tcPr>
            <w:tcW w:w="318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3,126,901.00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990,120.58</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714,697.06</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614,668.31</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452,204.82</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2,425,192.43</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1,607,167.10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2,888,706.46</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1,399,752.41</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1,067,596.16</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1,848,142.35</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8,414,290.89</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5,450,458.38</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3,077,594.18</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1,641,678.50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1,521,573.87</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1,911,598.93</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719,878.80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540,419.00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房租物业水电</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4,081,570.65</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3,064,933.00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4,616,024.57</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3,131,264.53</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44,002,117.97</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25,519,458.27</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董事会会费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175,833.43</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168,577.00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2,772,038.60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2,263,955.18</w:t>
            </w:r>
          </w:p>
        </w:tc>
      </w:tr>
      <w:tr>
        <w:trPr>
          <w:trHeight w:val="415"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93,800,764.70</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62,180,881.17</w:t>
            </w:r>
          </w:p>
        </w:tc>
      </w:tr>
    </w:tbl>
    <w:p>
      <w:pPr>
        <w:pStyle w:val="BodyText"/>
        <w:spacing w:line="240" w:lineRule="auto" w:before="63"/>
        <w:ind w:left="1134" w:right="0"/>
        <w:jc w:val="left"/>
      </w:pPr>
      <w:r>
        <w:rPr/>
        <w:t>其他说明：</w:t>
      </w:r>
    </w:p>
    <w:p>
      <w:pPr>
        <w:spacing w:line="240" w:lineRule="auto" w:before="10"/>
        <w:rPr>
          <w:rFonts w:ascii="宋体" w:hAnsi="宋体" w:cs="宋体" w:eastAsia="宋体" w:hint="default"/>
          <w:sz w:val="14"/>
          <w:szCs w:val="14"/>
        </w:rPr>
      </w:pPr>
    </w:p>
    <w:p>
      <w:pPr>
        <w:pStyle w:val="BodyText"/>
        <w:spacing w:line="240" w:lineRule="auto"/>
        <w:ind w:right="0"/>
        <w:jc w:val="left"/>
      </w:pPr>
      <w:r>
        <w:rPr/>
        <w:t>管理费用比上年增加 </w:t>
      </w:r>
      <w:r>
        <w:rPr>
          <w:rFonts w:ascii="宋体" w:hAnsi="宋体" w:cs="宋体" w:eastAsia="宋体" w:hint="default"/>
        </w:rPr>
        <w:t>31,619,883.53</w:t>
      </w:r>
      <w:r>
        <w:rPr>
          <w:rFonts w:ascii="宋体" w:hAnsi="宋体" w:cs="宋体" w:eastAsia="宋体" w:hint="default"/>
          <w:spacing w:val="-3"/>
        </w:rPr>
        <w:t> </w:t>
      </w:r>
      <w:r>
        <w:rPr/>
        <w:t>元，增加比例为</w:t>
      </w:r>
      <w:r>
        <w:rPr>
          <w:rFonts w:ascii="宋体" w:hAnsi="宋体" w:cs="宋体" w:eastAsia="宋体" w:hint="default"/>
        </w:rPr>
        <w:t>50.85%</w:t>
      </w:r>
      <w:r>
        <w:rPr/>
        <w:t>，主要原因为本期合并范围增加所致。</w:t>
      </w:r>
    </w:p>
    <w:p>
      <w:pPr>
        <w:spacing w:line="240" w:lineRule="auto" w:before="6"/>
        <w:rPr>
          <w:rFonts w:ascii="宋体" w:hAnsi="宋体" w:cs="宋体" w:eastAsia="宋体" w:hint="default"/>
          <w:sz w:val="15"/>
          <w:szCs w:val="15"/>
        </w:rPr>
      </w:pPr>
    </w:p>
    <w:p>
      <w:pPr>
        <w:spacing w:before="0"/>
        <w:ind w:left="1133" w:right="0" w:firstLine="0"/>
        <w:jc w:val="left"/>
        <w:rPr>
          <w:rFonts w:ascii="宋体" w:hAnsi="宋体" w:cs="宋体" w:eastAsia="宋体" w:hint="default"/>
          <w:sz w:val="20"/>
          <w:szCs w:val="20"/>
        </w:rPr>
      </w:pPr>
      <w:bookmarkStart w:name="65、财务费用" w:id="357"/>
      <w:bookmarkEnd w:id="357"/>
      <w:r>
        <w:rPr/>
      </w:r>
      <w:r>
        <w:rPr>
          <w:rFonts w:ascii="宋体" w:hAnsi="宋体" w:cs="宋体" w:eastAsia="宋体" w:hint="default"/>
          <w:b/>
          <w:bCs/>
          <w:sz w:val="20"/>
          <w:szCs w:val="20"/>
        </w:rPr>
        <w:t>65</w:t>
      </w:r>
      <w:r>
        <w:rPr>
          <w:rFonts w:ascii="宋体" w:hAnsi="宋体" w:cs="宋体" w:eastAsia="宋体" w:hint="default"/>
          <w:b/>
          <w:bCs/>
          <w:sz w:val="20"/>
          <w:szCs w:val="20"/>
        </w:rPr>
        <w:t>、财务费用</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91"/>
        <w:gridCol w:w="3190"/>
        <w:gridCol w:w="3189"/>
      </w:tblGrid>
      <w:tr>
        <w:trPr>
          <w:trHeight w:val="413"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406"/>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9,903,512.62</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7,088,083.11</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利息收入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3,262,787.34</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7,213,743.82</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6,640,725.28</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-125,660.71</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6" w:space="0" w:color="000000"/>
              <w:left w:val="single" w:sz="6" w:space="0" w:color="000000"/>
              <w:bottom w:val="single" w:sz="6" w:space="0" w:color="000000"/>
              <w:right w:val="single" w:sz="6" w:space="0" w:color="000000"/>
            </w:tcBorders>
          </w:tcPr>
          <w:p>
            <w:pPr/>
          </w:p>
        </w:tc>
        <w:tc>
          <w:tcPr>
            <w:tcW w:w="318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汇兑收益</w:t>
            </w:r>
          </w:p>
        </w:tc>
        <w:tc>
          <w:tcPr>
            <w:tcW w:w="3190" w:type="dxa"/>
            <w:tcBorders>
              <w:top w:val="single" w:sz="6" w:space="0" w:color="000000"/>
              <w:left w:val="single" w:sz="6" w:space="0" w:color="000000"/>
              <w:bottom w:val="single" w:sz="6" w:space="0" w:color="000000"/>
              <w:right w:val="single" w:sz="6" w:space="0" w:color="000000"/>
            </w:tcBorders>
          </w:tcPr>
          <w:p>
            <w:pPr/>
          </w:p>
        </w:tc>
        <w:tc>
          <w:tcPr>
            <w:tcW w:w="318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6" w:space="0" w:color="000000"/>
              <w:left w:val="single" w:sz="6" w:space="0" w:color="000000"/>
              <w:bottom w:val="single" w:sz="6" w:space="0" w:color="000000"/>
              <w:right w:val="single" w:sz="6" w:space="0" w:color="000000"/>
            </w:tcBorders>
          </w:tcPr>
          <w:p>
            <w:pPr/>
          </w:p>
        </w:tc>
        <w:tc>
          <w:tcPr>
            <w:tcW w:w="318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374,911.28</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250,146.34</w:t>
            </w:r>
          </w:p>
        </w:tc>
      </w:tr>
      <w:tr>
        <w:trPr>
          <w:trHeight w:val="415"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1406"/>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7,015,636.56</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124,485.63</w:t>
            </w:r>
          </w:p>
        </w:tc>
      </w:tr>
    </w:tbl>
    <w:p>
      <w:pPr>
        <w:pStyle w:val="BodyText"/>
        <w:spacing w:line="240" w:lineRule="auto" w:before="63"/>
        <w:ind w:left="1134" w:right="0"/>
        <w:jc w:val="left"/>
      </w:pPr>
      <w:r>
        <w:rPr/>
        <w:t>其他说明：</w:t>
      </w:r>
    </w:p>
    <w:p>
      <w:pPr>
        <w:spacing w:line="240" w:lineRule="auto" w:before="10"/>
        <w:rPr>
          <w:rFonts w:ascii="宋体" w:hAnsi="宋体" w:cs="宋体" w:eastAsia="宋体" w:hint="default"/>
          <w:sz w:val="14"/>
          <w:szCs w:val="14"/>
        </w:rPr>
      </w:pPr>
    </w:p>
    <w:p>
      <w:pPr>
        <w:pStyle w:val="BodyText"/>
        <w:spacing w:line="408" w:lineRule="auto"/>
        <w:ind w:left="1134" w:right="0" w:firstLine="420"/>
        <w:jc w:val="left"/>
      </w:pPr>
      <w:r>
        <w:rPr>
          <w:spacing w:val="-1"/>
        </w:rPr>
        <w:t>财务费用本期比上期增加</w:t>
      </w:r>
      <w:r>
        <w:rPr>
          <w:rFonts w:ascii="宋体" w:hAnsi="宋体" w:cs="宋体" w:eastAsia="宋体" w:hint="default"/>
          <w:spacing w:val="-1"/>
        </w:rPr>
        <w:t>6,891,150.93</w:t>
      </w:r>
      <w:r>
        <w:rPr>
          <w:spacing w:val="-1"/>
        </w:rPr>
        <w:t>元，主要原因为一方面合并范围增加，另一方面募集资金持续</w:t>
      </w:r>
      <w:r>
        <w:rPr/>
        <w:t> 使用利息收入减少所致。</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3" w:right="0" w:firstLine="0"/>
        <w:jc w:val="left"/>
        <w:rPr>
          <w:rFonts w:ascii="宋体" w:hAnsi="宋体" w:cs="宋体" w:eastAsia="宋体" w:hint="default"/>
          <w:sz w:val="20"/>
          <w:szCs w:val="20"/>
        </w:rPr>
      </w:pPr>
      <w:bookmarkStart w:name="66、资产减值损失" w:id="358"/>
      <w:bookmarkEnd w:id="358"/>
      <w:r>
        <w:rPr/>
      </w:r>
      <w:r>
        <w:rPr>
          <w:rFonts w:ascii="宋体" w:hAnsi="宋体" w:cs="宋体" w:eastAsia="宋体" w:hint="default"/>
          <w:b/>
          <w:bCs/>
          <w:sz w:val="20"/>
          <w:szCs w:val="20"/>
        </w:rPr>
        <w:t>66</w:t>
      </w:r>
      <w:r>
        <w:rPr>
          <w:rFonts w:ascii="宋体" w:hAnsi="宋体" w:cs="宋体" w:eastAsia="宋体" w:hint="default"/>
          <w:b/>
          <w:bCs/>
          <w:sz w:val="20"/>
          <w:szCs w:val="20"/>
        </w:rPr>
        <w:t>、资产减值损失</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171"/>
        <w:gridCol w:w="3204"/>
        <w:gridCol w:w="3188"/>
      </w:tblGrid>
      <w:tr>
        <w:trPr>
          <w:trHeight w:val="413"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394"/>
              <w:jc w:val="right"/>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16,263,771.82</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5,250,152.14</w:t>
            </w:r>
          </w:p>
        </w:tc>
      </w:tr>
      <w:tr>
        <w:trPr>
          <w:trHeight w:val="408"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137,829.99</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165,682.44</w:t>
            </w: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1394"/>
              <w:jc w:val="righ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16,401,601.81</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5,415,834.58</w:t>
            </w:r>
          </w:p>
        </w:tc>
      </w:tr>
    </w:tbl>
    <w:p>
      <w:pPr>
        <w:pStyle w:val="BodyText"/>
        <w:spacing w:line="240" w:lineRule="auto" w:before="63"/>
        <w:ind w:left="1134" w:right="0"/>
        <w:jc w:val="left"/>
      </w:pPr>
      <w:r>
        <w:rPr/>
        <w:t>其他说明：</w:t>
      </w:r>
    </w:p>
    <w:p>
      <w:pPr>
        <w:spacing w:line="240" w:lineRule="auto" w:before="10"/>
        <w:rPr>
          <w:rFonts w:ascii="宋体" w:hAnsi="宋体" w:cs="宋体" w:eastAsia="宋体" w:hint="default"/>
          <w:sz w:val="14"/>
          <w:szCs w:val="14"/>
        </w:rPr>
      </w:pPr>
    </w:p>
    <w:p>
      <w:pPr>
        <w:pStyle w:val="BodyText"/>
        <w:spacing w:line="240" w:lineRule="auto"/>
        <w:ind w:left="1554" w:right="0"/>
        <w:jc w:val="left"/>
      </w:pPr>
      <w:r>
        <w:rPr/>
        <w:t>资产减值损失本期比上期增加</w:t>
      </w:r>
      <w:r>
        <w:rPr>
          <w:rFonts w:ascii="宋体" w:hAnsi="宋体" w:cs="宋体" w:eastAsia="宋体" w:hint="default"/>
        </w:rPr>
        <w:t>6,880,643.49</w:t>
      </w:r>
      <w:r>
        <w:rPr/>
        <w:t>元，主要原因为合并范围增加所致。</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67、公允价值变动收益" w:id="359"/>
      <w:bookmarkEnd w:id="359"/>
      <w:r>
        <w:rPr/>
      </w:r>
      <w:r>
        <w:rPr>
          <w:rFonts w:ascii="宋体" w:hAnsi="宋体" w:cs="宋体" w:eastAsia="宋体" w:hint="default"/>
          <w:b/>
          <w:bCs/>
          <w:sz w:val="20"/>
          <w:szCs w:val="20"/>
        </w:rPr>
        <w:t>67</w:t>
      </w:r>
      <w:r>
        <w:rPr>
          <w:rFonts w:ascii="宋体" w:hAnsi="宋体" w:cs="宋体" w:eastAsia="宋体" w:hint="default"/>
          <w:b/>
          <w:bCs/>
          <w:sz w:val="20"/>
          <w:szCs w:val="20"/>
        </w:rPr>
        <w:t>、公允价值变动收益</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4521"/>
        <w:gridCol w:w="2527"/>
        <w:gridCol w:w="2516"/>
      </w:tblGrid>
      <w:tr>
        <w:trPr>
          <w:trHeight w:val="415" w:hRule="exact"/>
        </w:trPr>
        <w:tc>
          <w:tcPr>
            <w:tcW w:w="45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07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5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1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2527" w:type="dxa"/>
            <w:tcBorders>
              <w:top w:val="single" w:sz="6" w:space="0" w:color="000000"/>
              <w:left w:val="single" w:sz="14" w:space="0" w:color="D2D2D2"/>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596.58</w:t>
            </w:r>
          </w:p>
        </w:tc>
      </w:tr>
      <w:tr>
        <w:trPr>
          <w:trHeight w:val="414" w:hRule="exact"/>
        </w:trPr>
        <w:tc>
          <w:tcPr>
            <w:tcW w:w="452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2527" w:type="dxa"/>
            <w:tcBorders>
              <w:top w:val="single" w:sz="6" w:space="0" w:color="000000"/>
              <w:left w:val="single" w:sz="14" w:space="0" w:color="D2D2D2"/>
              <w:bottom w:val="single" w:sz="12" w:space="0" w:color="000000"/>
              <w:right w:val="single" w:sz="6" w:space="0" w:color="000000"/>
            </w:tcBorders>
          </w:tcPr>
          <w:p>
            <w:pPr/>
          </w:p>
        </w:tc>
        <w:tc>
          <w:tcPr>
            <w:tcW w:w="25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596.58</w:t>
            </w:r>
          </w:p>
        </w:tc>
      </w:tr>
    </w:tbl>
    <w:p>
      <w:pPr>
        <w:pStyle w:val="BodyText"/>
        <w:spacing w:line="408" w:lineRule="auto" w:before="63"/>
        <w:ind w:right="6553"/>
        <w:jc w:val="left"/>
      </w:pPr>
      <w:r>
        <w:rPr/>
        <w:t>其他说明： 本期无产生公允价值变动损益的资产或负债。</w:t>
      </w:r>
    </w:p>
    <w:p>
      <w:pPr>
        <w:spacing w:before="175"/>
        <w:ind w:left="1134" w:right="0" w:firstLine="0"/>
        <w:jc w:val="left"/>
        <w:rPr>
          <w:rFonts w:ascii="宋体" w:hAnsi="宋体" w:cs="宋体" w:eastAsia="宋体" w:hint="default"/>
          <w:sz w:val="20"/>
          <w:szCs w:val="20"/>
        </w:rPr>
      </w:pPr>
      <w:bookmarkStart w:name="68、投资收益" w:id="360"/>
      <w:bookmarkEnd w:id="360"/>
      <w:r>
        <w:rPr/>
      </w:r>
      <w:r>
        <w:rPr>
          <w:rFonts w:ascii="宋体" w:hAnsi="宋体" w:cs="宋体" w:eastAsia="宋体" w:hint="default"/>
          <w:b/>
          <w:bCs/>
          <w:sz w:val="20"/>
          <w:szCs w:val="20"/>
        </w:rPr>
        <w:t>68</w:t>
      </w:r>
      <w:r>
        <w:rPr>
          <w:rFonts w:ascii="宋体" w:hAnsi="宋体" w:cs="宋体" w:eastAsia="宋体" w:hint="default"/>
          <w:b/>
          <w:bCs/>
          <w:sz w:val="20"/>
          <w:szCs w:val="20"/>
        </w:rPr>
        <w:t>、投资收益</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444"/>
        <w:gridCol w:w="3201"/>
        <w:gridCol w:w="2917"/>
      </w:tblGrid>
      <w:tr>
        <w:trPr>
          <w:trHeight w:val="415" w:hRule="exact"/>
        </w:trPr>
        <w:tc>
          <w:tcPr>
            <w:tcW w:w="344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4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-760,715.17</w:t>
            </w:r>
          </w:p>
        </w:tc>
        <w:tc>
          <w:tcPr>
            <w:tcW w:w="2917"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44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-760,715.17</w:t>
            </w:r>
          </w:p>
        </w:tc>
        <w:tc>
          <w:tcPr>
            <w:tcW w:w="2917"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412" w:lineRule="auto" w:before="63"/>
        <w:ind w:right="1026"/>
        <w:jc w:val="left"/>
        <w:rPr>
          <w:rFonts w:ascii="宋体" w:hAnsi="宋体" w:cs="宋体" w:eastAsia="宋体" w:hint="default"/>
          <w:sz w:val="20"/>
          <w:szCs w:val="20"/>
        </w:rPr>
      </w:pPr>
      <w:r>
        <w:rPr/>
        <w:t>其他说明： </w:t>
      </w:r>
      <w:r>
        <w:rPr>
          <w:spacing w:val="-3"/>
        </w:rPr>
        <w:t>公司本期新增参股公司中广格兰（持股比例</w:t>
      </w:r>
      <w:r>
        <w:rPr>
          <w:rFonts w:ascii="宋体" w:hAnsi="宋体" w:cs="宋体" w:eastAsia="宋体" w:hint="default"/>
          <w:spacing w:val="-3"/>
        </w:rPr>
        <w:t>30%</w:t>
      </w:r>
      <w:r>
        <w:rPr>
          <w:spacing w:val="-3"/>
        </w:rPr>
        <w:t>）和中云大数据（持股比例</w:t>
      </w:r>
      <w:r>
        <w:rPr>
          <w:rFonts w:ascii="宋体" w:hAnsi="宋体" w:cs="宋体" w:eastAsia="宋体" w:hint="default"/>
          <w:spacing w:val="-3"/>
        </w:rPr>
        <w:t>40%</w:t>
      </w:r>
      <w:r>
        <w:rPr>
          <w:spacing w:val="-3"/>
        </w:rPr>
        <w:t>），对其均采用权益法核算。</w:t>
      </w:r>
      <w:r>
        <w:rPr>
          <w:spacing w:val="-86"/>
        </w:rPr>
        <w:t> </w:t>
      </w:r>
      <w:r>
        <w:rPr>
          <w:spacing w:val="-86"/>
        </w:rPr>
      </w:r>
      <w:bookmarkStart w:name="69、营业外收入" w:id="361"/>
      <w:bookmarkEnd w:id="361"/>
      <w:r>
        <w:rPr>
          <w:spacing w:val="-86"/>
        </w:rPr>
      </w:r>
      <w:r>
        <w:rPr>
          <w:rFonts w:ascii="宋体" w:hAnsi="宋体" w:cs="宋体" w:eastAsia="宋体" w:hint="default"/>
          <w:b/>
          <w:bCs/>
          <w:sz w:val="20"/>
          <w:szCs w:val="20"/>
        </w:rPr>
        <w:t>69</w:t>
      </w:r>
      <w:r>
        <w:rPr>
          <w:rFonts w:ascii="宋体" w:hAnsi="宋体" w:cs="宋体" w:eastAsia="宋体" w:hint="default"/>
          <w:b/>
          <w:bCs/>
          <w:sz w:val="20"/>
          <w:szCs w:val="20"/>
        </w:rPr>
        <w:t>、营业外收入</w:t>
      </w:r>
      <w:r>
        <w:rPr>
          <w:rFonts w:ascii="宋体" w:hAnsi="宋体" w:cs="宋体" w:eastAsia="宋体" w:hint="default"/>
          <w:sz w:val="20"/>
          <w:szCs w:val="20"/>
        </w:rPr>
      </w:r>
    </w:p>
    <w:p>
      <w:pPr>
        <w:spacing w:before="4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2390"/>
        <w:gridCol w:w="2396"/>
        <w:gridCol w:w="2392"/>
        <w:gridCol w:w="2391"/>
      </w:tblGrid>
      <w:tr>
        <w:trPr>
          <w:trHeight w:val="171" w:hRule="exact"/>
        </w:trPr>
        <w:tc>
          <w:tcPr>
            <w:tcW w:w="2390" w:type="dxa"/>
            <w:tcBorders>
              <w:top w:val="single" w:sz="12" w:space="0" w:color="000000"/>
              <w:left w:val="single" w:sz="12" w:space="0" w:color="000000"/>
              <w:bottom w:val="nil" w:sz="6" w:space="0" w:color="auto"/>
              <w:right w:val="single" w:sz="6" w:space="0" w:color="000000"/>
            </w:tcBorders>
            <w:shd w:val="clear" w:color="auto" w:fill="D2D2D2"/>
          </w:tcPr>
          <w:p>
            <w:pPr/>
          </w:p>
        </w:tc>
        <w:tc>
          <w:tcPr>
            <w:tcW w:w="2396" w:type="dxa"/>
            <w:tcBorders>
              <w:top w:val="single" w:sz="12" w:space="0" w:color="000000"/>
              <w:left w:val="single" w:sz="6" w:space="0" w:color="000000"/>
              <w:bottom w:val="nil" w:sz="6" w:space="0" w:color="auto"/>
              <w:right w:val="single" w:sz="6" w:space="0" w:color="000000"/>
            </w:tcBorders>
            <w:shd w:val="clear" w:color="auto" w:fill="D2D2D2"/>
          </w:tcPr>
          <w:p>
            <w:pPr/>
          </w:p>
        </w:tc>
        <w:tc>
          <w:tcPr>
            <w:tcW w:w="2392" w:type="dxa"/>
            <w:tcBorders>
              <w:top w:val="single" w:sz="12" w:space="0" w:color="000000"/>
              <w:left w:val="single" w:sz="6" w:space="0" w:color="000000"/>
              <w:bottom w:val="nil" w:sz="6" w:space="0" w:color="auto"/>
              <w:right w:val="single" w:sz="6" w:space="0" w:color="000000"/>
            </w:tcBorders>
            <w:shd w:val="clear" w:color="auto" w:fill="D2D2D2"/>
          </w:tcPr>
          <w:p>
            <w:pPr/>
          </w:p>
        </w:tc>
        <w:tc>
          <w:tcPr>
            <w:tcW w:w="2391" w:type="dxa"/>
            <w:vMerge w:val="restart"/>
            <w:tcBorders>
              <w:top w:val="single" w:sz="12" w:space="0" w:color="000000"/>
              <w:left w:val="single" w:sz="6" w:space="0" w:color="000000"/>
              <w:right w:val="single" w:sz="12" w:space="0" w:color="000000"/>
            </w:tcBorders>
            <w:shd w:val="clear" w:color="auto" w:fill="D2D2D2"/>
          </w:tcPr>
          <w:p>
            <w:pPr>
              <w:pStyle w:val="TableParagraph"/>
              <w:spacing w:line="316" w:lineRule="auto" w:before="51"/>
              <w:ind w:left="1097" w:right="98"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6" w:space="0" w:color="000000"/>
              <w:right w:val="single" w:sz="12" w:space="0" w:color="000000"/>
            </w:tcBorders>
            <w:shd w:val="clear" w:color="auto" w:fill="D2D2D2"/>
          </w:tcPr>
          <w:p>
            <w:pPr/>
          </w:p>
        </w:tc>
      </w:tr>
      <w:tr>
        <w:trPr>
          <w:trHeight w:val="163" w:hRule="exact"/>
        </w:trPr>
        <w:tc>
          <w:tcPr>
            <w:tcW w:w="2390" w:type="dxa"/>
            <w:tcBorders>
              <w:top w:val="nil" w:sz="6" w:space="0" w:color="auto"/>
              <w:left w:val="single" w:sz="12" w:space="0" w:color="000000"/>
              <w:bottom w:val="single" w:sz="6" w:space="0" w:color="000000"/>
              <w:right w:val="single" w:sz="6" w:space="0" w:color="000000"/>
            </w:tcBorders>
            <w:shd w:val="clear" w:color="auto" w:fill="D2D2D2"/>
          </w:tcPr>
          <w:p>
            <w:pPr/>
          </w:p>
        </w:tc>
        <w:tc>
          <w:tcPr>
            <w:tcW w:w="2396" w:type="dxa"/>
            <w:tcBorders>
              <w:top w:val="nil" w:sz="6" w:space="0" w:color="auto"/>
              <w:left w:val="single" w:sz="6" w:space="0" w:color="000000"/>
              <w:bottom w:val="single" w:sz="6" w:space="0" w:color="000000"/>
              <w:right w:val="single" w:sz="6" w:space="0" w:color="000000"/>
            </w:tcBorders>
            <w:shd w:val="clear" w:color="auto" w:fill="D2D2D2"/>
          </w:tcPr>
          <w:p>
            <w:pPr/>
          </w:p>
        </w:tc>
        <w:tc>
          <w:tcPr>
            <w:tcW w:w="2392" w:type="dxa"/>
            <w:tcBorders>
              <w:top w:val="nil" w:sz="6" w:space="0" w:color="auto"/>
              <w:left w:val="single" w:sz="6" w:space="0" w:color="000000"/>
              <w:bottom w:val="single" w:sz="6" w:space="0" w:color="000000"/>
              <w:right w:val="single" w:sz="6" w:space="0" w:color="000000"/>
            </w:tcBorders>
            <w:shd w:val="clear" w:color="auto" w:fill="D2D2D2"/>
          </w:tcPr>
          <w:p>
            <w:pPr/>
          </w:p>
        </w:tc>
        <w:tc>
          <w:tcPr>
            <w:tcW w:w="2391" w:type="dxa"/>
            <w:vMerge/>
            <w:tcBorders>
              <w:left w:val="single" w:sz="6" w:space="0" w:color="000000"/>
              <w:bottom w:val="single" w:sz="6" w:space="0" w:color="000000"/>
              <w:right w:val="single" w:sz="12" w:space="0" w:color="000000"/>
            </w:tcBorders>
            <w:shd w:val="clear" w:color="auto" w:fill="D2D2D2"/>
          </w:tcPr>
          <w:p>
            <w:pPr/>
          </w:p>
        </w:tc>
      </w:tr>
      <w:tr>
        <w:trPr>
          <w:trHeight w:val="408" w:hRule="exact"/>
        </w:trPr>
        <w:tc>
          <w:tcPr>
            <w:tcW w:w="23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15,000.00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3,080.34</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8,621,400.00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9,949,303.00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8,621,400.00</w:t>
            </w:r>
          </w:p>
        </w:tc>
      </w:tr>
      <w:tr>
        <w:trPr>
          <w:trHeight w:val="407"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1,481,893.82</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4,786,093.15</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1,162,564.37</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77,027.23</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1,162,564.37</w:t>
            </w:r>
          </w:p>
        </w:tc>
      </w:tr>
      <w:tr>
        <w:trPr>
          <w:trHeight w:val="415" w:hRule="exact"/>
        </w:trPr>
        <w:tc>
          <w:tcPr>
            <w:tcW w:w="239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11,280,858.19</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14,815,503.72</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9,798,964.37</w:t>
            </w:r>
          </w:p>
        </w:tc>
      </w:tr>
    </w:tbl>
    <w:p>
      <w:pPr>
        <w:pStyle w:val="BodyText"/>
        <w:spacing w:line="240" w:lineRule="auto" w:before="63"/>
        <w:ind w:left="1134" w:right="0"/>
        <w:jc w:val="left"/>
      </w:pPr>
      <w:r>
        <w:rPr/>
        <w:t>计入当期损益的政府补助：</w:t>
      </w:r>
    </w:p>
    <w:p>
      <w:pPr>
        <w:spacing w:after="0" w:line="240" w:lineRule="auto"/>
        <w:jc w:val="left"/>
        <w:sectPr>
          <w:pgSz w:w="11910" w:h="16840"/>
          <w:pgMar w:header="747" w:footer="1000" w:top="1040" w:bottom="1180" w:left="0" w:right="0"/>
        </w:sectPr>
      </w:pPr>
    </w:p>
    <w:p>
      <w:pPr>
        <w:spacing w:line="240" w:lineRule="auto" w:before="10"/>
        <w:rPr>
          <w:rFonts w:ascii="宋体" w:hAnsi="宋体" w:cs="宋体" w:eastAsia="宋体" w:hint="default"/>
          <w:sz w:val="26"/>
          <w:szCs w:val="26"/>
        </w:rPr>
      </w:pPr>
      <w:r>
        <w:rPr/>
        <w:pict>
          <v:group style="position:absolute;margin-left:269.799988pt;margin-top:241.039978pt;width:52.45pt;height:23.4pt;mso-position-horizontal-relative:page;mso-position-vertical-relative:page;z-index:-917152" coordorigin="5396,4821" coordsize="1049,468">
            <v:shape style="position:absolute;left:5396;top:4821;width:1049;height:468" coordorigin="5396,4821" coordsize="1049,468" path="m5396,5289l6445,5289,6445,4821,5396,4821,5396,5289xe" filled="true" fillcolor="#ffffff" stroked="false">
              <v:path arrowok="t"/>
              <v:fill type="solid"/>
            </v:shape>
            <w10:wrap type="none"/>
          </v:group>
        </w:pict>
      </w:r>
      <w:r>
        <w:rPr/>
        <w:pict>
          <v:group style="position:absolute;margin-left:269.799988pt;margin-top:536.079956pt;width:52.45pt;height:23.4pt;mso-position-horizontal-relative:page;mso-position-vertical-relative:page;z-index:-917128" coordorigin="5396,10722" coordsize="1049,468">
            <v:shape style="position:absolute;left:5396;top:10722;width:1049;height:468" coordorigin="5396,10722" coordsize="1049,468" path="m5396,11190l6445,11190,6445,10722,5396,10722,5396,11190xe" filled="true" fillcolor="#ffffff" stroked="false">
              <v:path arrowok="t"/>
              <v:fill type="solid"/>
            </v:shape>
            <w10:wrap type="none"/>
          </v:group>
        </w:pict>
      </w: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1067"/>
        <w:gridCol w:w="1062"/>
        <w:gridCol w:w="1063"/>
        <w:gridCol w:w="1064"/>
        <w:gridCol w:w="1063"/>
        <w:gridCol w:w="637"/>
        <w:gridCol w:w="1276"/>
        <w:gridCol w:w="1276"/>
        <w:gridCol w:w="1063"/>
      </w:tblGrid>
      <w:tr>
        <w:trPr>
          <w:trHeight w:val="727" w:hRule="exact"/>
        </w:trPr>
        <w:tc>
          <w:tcPr>
            <w:tcW w:w="106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73" w:right="73"/>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6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06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9" w:lineRule="auto" w:before="51"/>
              <w:ind w:left="74" w:right="18"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2279"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7" w:right="75"/>
              <w:jc w:val="center"/>
              <w:rPr>
                <w:rFonts w:ascii="宋体" w:hAnsi="宋体" w:cs="宋体" w:eastAsia="宋体" w:hint="default"/>
                <w:sz w:val="18"/>
                <w:szCs w:val="18"/>
              </w:rPr>
            </w:pPr>
            <w:r>
              <w:rPr>
                <w:rFonts w:ascii="宋体" w:hAnsi="宋体" w:cs="宋体" w:eastAsia="宋体" w:hint="default"/>
                <w:sz w:val="18"/>
                <w:szCs w:val="18"/>
              </w:rPr>
              <w:t>用电量收益 监测系统及 信息采集设 备开发</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0" w:right="18" w:hanging="2"/>
              <w:jc w:val="center"/>
              <w:rPr>
                <w:rFonts w:ascii="宋体" w:hAnsi="宋体" w:cs="宋体" w:eastAsia="宋体" w:hint="default"/>
                <w:sz w:val="18"/>
                <w:szCs w:val="18"/>
              </w:rPr>
            </w:pPr>
            <w:r>
              <w:rPr>
                <w:rFonts w:ascii="宋体" w:hAnsi="宋体" w:cs="宋体" w:eastAsia="宋体" w:hint="default"/>
                <w:sz w:val="18"/>
                <w:szCs w:val="18"/>
              </w:rPr>
              <w:t>江苏省财政 </w:t>
            </w:r>
            <w:r>
              <w:rPr>
                <w:rFonts w:ascii="宋体" w:hAnsi="宋体" w:cs="宋体" w:eastAsia="宋体" w:hint="default"/>
                <w:spacing w:val="-13"/>
                <w:sz w:val="18"/>
                <w:szCs w:val="18"/>
              </w:rPr>
              <w:t>厅、江苏省信</w:t>
            </w:r>
            <w:r>
              <w:rPr>
                <w:rFonts w:ascii="宋体" w:hAnsi="宋体" w:cs="宋体" w:eastAsia="宋体" w:hint="default"/>
                <w:sz w:val="18"/>
                <w:szCs w:val="18"/>
              </w:rPr>
              <w:t> 息产业厅</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1" w:right="18"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433"/>
              <w:jc w:val="righ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75,000.00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100,000.00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3"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27" w:right="75" w:hanging="360"/>
              <w:jc w:val="left"/>
              <w:rPr>
                <w:rFonts w:ascii="宋体" w:hAnsi="宋体" w:cs="宋体" w:eastAsia="宋体" w:hint="default"/>
                <w:sz w:val="18"/>
                <w:szCs w:val="18"/>
              </w:rPr>
            </w:pPr>
            <w:r>
              <w:rPr>
                <w:rFonts w:ascii="宋体" w:hAnsi="宋体" w:cs="宋体" w:eastAsia="宋体" w:hint="default"/>
                <w:sz w:val="18"/>
                <w:szCs w:val="18"/>
              </w:rPr>
              <w:t>科协专利补 助</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73" w:right="72"/>
              <w:jc w:val="center"/>
              <w:rPr>
                <w:rFonts w:ascii="宋体" w:hAnsi="宋体" w:cs="宋体" w:eastAsia="宋体" w:hint="default"/>
                <w:sz w:val="18"/>
                <w:szCs w:val="18"/>
              </w:rPr>
            </w:pPr>
            <w:r>
              <w:rPr>
                <w:rFonts w:ascii="宋体" w:hAnsi="宋体" w:cs="宋体" w:eastAsia="宋体" w:hint="default"/>
                <w:sz w:val="18"/>
                <w:szCs w:val="18"/>
              </w:rPr>
              <w:t>江宁区人民 政府东山街 道办事处财 政所</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72" w:hanging="53"/>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3,400.00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9"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7" w:right="75"/>
              <w:jc w:val="center"/>
              <w:rPr>
                <w:rFonts w:ascii="宋体" w:hAnsi="宋体" w:cs="宋体" w:eastAsia="宋体" w:hint="default"/>
                <w:sz w:val="18"/>
                <w:szCs w:val="18"/>
              </w:rPr>
            </w:pPr>
            <w:r>
              <w:rPr>
                <w:rFonts w:ascii="宋体" w:hAnsi="宋体" w:cs="宋体" w:eastAsia="宋体" w:hint="default"/>
                <w:sz w:val="18"/>
                <w:szCs w:val="18"/>
              </w:rPr>
              <w:t>变压器台区 用电信息实 用采集与在 线监测管理 系统</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3" w:right="72"/>
              <w:jc w:val="center"/>
              <w:rPr>
                <w:rFonts w:ascii="宋体" w:hAnsi="宋体" w:cs="宋体" w:eastAsia="宋体" w:hint="default"/>
                <w:sz w:val="18"/>
                <w:szCs w:val="18"/>
              </w:rPr>
            </w:pPr>
            <w:r>
              <w:rPr>
                <w:rFonts w:ascii="宋体" w:hAnsi="宋体" w:cs="宋体" w:eastAsia="宋体" w:hint="default"/>
                <w:sz w:val="18"/>
                <w:szCs w:val="18"/>
              </w:rPr>
              <w:t>南京市经济 和信息化委 员会</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18"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33"/>
              <w:jc w:val="righ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2,000,000.00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80"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7" w:right="75" w:hanging="180"/>
              <w:jc w:val="left"/>
              <w:rPr>
                <w:rFonts w:ascii="宋体" w:hAnsi="宋体" w:cs="宋体" w:eastAsia="宋体" w:hint="default"/>
                <w:sz w:val="18"/>
                <w:szCs w:val="18"/>
              </w:rPr>
            </w:pPr>
            <w:r>
              <w:rPr>
                <w:rFonts w:ascii="宋体" w:hAnsi="宋体" w:cs="宋体" w:eastAsia="宋体" w:hint="default"/>
                <w:sz w:val="18"/>
                <w:szCs w:val="18"/>
              </w:rPr>
              <w:t>企业发展专 项基金</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73" w:right="72"/>
              <w:jc w:val="center"/>
              <w:rPr>
                <w:rFonts w:ascii="宋体" w:hAnsi="宋体" w:cs="宋体" w:eastAsia="宋体" w:hint="default"/>
                <w:sz w:val="18"/>
                <w:szCs w:val="18"/>
              </w:rPr>
            </w:pPr>
            <w:r>
              <w:rPr>
                <w:rFonts w:ascii="宋体" w:hAnsi="宋体" w:cs="宋体" w:eastAsia="宋体" w:hint="default"/>
                <w:sz w:val="18"/>
                <w:szCs w:val="18"/>
              </w:rPr>
              <w:t>南京江宁经 济技术开发 区管理委员 会</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18"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33"/>
              <w:jc w:val="righ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75,000.00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1,157,503.00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3"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75"/>
              <w:jc w:val="center"/>
              <w:rPr>
                <w:rFonts w:ascii="宋体" w:hAnsi="宋体" w:cs="宋体" w:eastAsia="宋体" w:hint="default"/>
                <w:sz w:val="18"/>
                <w:szCs w:val="18"/>
              </w:rPr>
            </w:pPr>
            <w:r>
              <w:rPr>
                <w:rFonts w:ascii="宋体" w:hAnsi="宋体" w:cs="宋体" w:eastAsia="宋体" w:hint="default"/>
                <w:sz w:val="18"/>
                <w:szCs w:val="18"/>
              </w:rPr>
              <w:t>南京市江宁 区科学技术 局补贴</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3" w:right="72" w:hanging="360"/>
              <w:jc w:val="left"/>
              <w:rPr>
                <w:rFonts w:ascii="宋体" w:hAnsi="宋体" w:cs="宋体" w:eastAsia="宋体" w:hint="default"/>
                <w:sz w:val="18"/>
                <w:szCs w:val="18"/>
              </w:rPr>
            </w:pPr>
            <w:r>
              <w:rPr>
                <w:rFonts w:ascii="宋体" w:hAnsi="宋体" w:cs="宋体" w:eastAsia="宋体" w:hint="default"/>
                <w:sz w:val="18"/>
                <w:szCs w:val="18"/>
              </w:rPr>
              <w:t>江宁区科技 局</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1" w:right="72" w:hanging="53"/>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1,500.00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31"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67" w:right="75"/>
              <w:jc w:val="both"/>
              <w:rPr>
                <w:rFonts w:ascii="宋体" w:hAnsi="宋体" w:cs="宋体" w:eastAsia="宋体" w:hint="default"/>
                <w:sz w:val="18"/>
                <w:szCs w:val="18"/>
              </w:rPr>
            </w:pPr>
            <w:r>
              <w:rPr>
                <w:rFonts w:ascii="宋体" w:hAnsi="宋体" w:cs="宋体" w:eastAsia="宋体" w:hint="default"/>
                <w:sz w:val="18"/>
                <w:szCs w:val="18"/>
              </w:rPr>
              <w:t>企业信用管 理贯标示范 企业补贴</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73" w:right="72"/>
              <w:jc w:val="center"/>
              <w:rPr>
                <w:rFonts w:ascii="宋体" w:hAnsi="宋体" w:cs="宋体" w:eastAsia="宋体" w:hint="default"/>
                <w:sz w:val="18"/>
                <w:szCs w:val="18"/>
              </w:rPr>
            </w:pPr>
            <w:r>
              <w:rPr>
                <w:rFonts w:ascii="宋体" w:hAnsi="宋体" w:cs="宋体" w:eastAsia="宋体" w:hint="default"/>
                <w:sz w:val="18"/>
                <w:szCs w:val="18"/>
              </w:rPr>
              <w:t>江宁经济技 术开发区管 委会</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3"/>
              <w:jc w:val="righ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20,000.00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3"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7" w:right="75"/>
              <w:jc w:val="both"/>
              <w:rPr>
                <w:rFonts w:ascii="宋体" w:hAnsi="宋体" w:cs="宋体" w:eastAsia="宋体" w:hint="default"/>
                <w:sz w:val="18"/>
                <w:szCs w:val="18"/>
              </w:rPr>
            </w:pPr>
            <w:r>
              <w:rPr>
                <w:rFonts w:ascii="宋体" w:hAnsi="宋体" w:cs="宋体" w:eastAsia="宋体" w:hint="default"/>
                <w:sz w:val="18"/>
                <w:szCs w:val="18"/>
              </w:rPr>
              <w:t>扶持中小微 工业企业加 快发展经费</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8" w:right="26" w:firstLine="44"/>
              <w:jc w:val="both"/>
              <w:rPr>
                <w:rFonts w:ascii="宋体" w:hAnsi="宋体" w:cs="宋体" w:eastAsia="宋体" w:hint="default"/>
                <w:sz w:val="18"/>
                <w:szCs w:val="18"/>
              </w:rPr>
            </w:pPr>
            <w:r>
              <w:rPr>
                <w:rFonts w:ascii="宋体" w:hAnsi="宋体" w:cs="宋体" w:eastAsia="宋体" w:hint="default"/>
                <w:sz w:val="18"/>
                <w:szCs w:val="18"/>
              </w:rPr>
              <w:t>南京市经济 和信息化委 员会</w:t>
            </w:r>
            <w:r>
              <w:rPr>
                <w:rFonts w:ascii="宋体" w:hAnsi="宋体" w:cs="宋体" w:eastAsia="宋体" w:hint="default"/>
                <w:sz w:val="18"/>
                <w:szCs w:val="18"/>
              </w:rPr>
              <w:t>&amp;</w:t>
            </w:r>
            <w:r>
              <w:rPr>
                <w:rFonts w:ascii="宋体" w:hAnsi="宋体" w:cs="宋体" w:eastAsia="宋体" w:hint="default"/>
                <w:sz w:val="18"/>
                <w:szCs w:val="18"/>
              </w:rPr>
              <w:t>南京市 环境保护局</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3"/>
              <w:jc w:val="righ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10,000.00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7" w:hRule="exact"/>
        </w:trPr>
        <w:tc>
          <w:tcPr>
            <w:tcW w:w="1067"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71"/>
              <w:ind w:left="67" w:right="75"/>
              <w:jc w:val="left"/>
              <w:rPr>
                <w:rFonts w:ascii="宋体" w:hAnsi="宋体" w:cs="宋体" w:eastAsia="宋体" w:hint="default"/>
                <w:sz w:val="18"/>
                <w:szCs w:val="18"/>
              </w:rPr>
            </w:pPr>
            <w:r>
              <w:rPr>
                <w:rFonts w:ascii="宋体" w:hAnsi="宋体" w:cs="宋体" w:eastAsia="宋体" w:hint="default"/>
                <w:sz w:val="18"/>
                <w:szCs w:val="18"/>
              </w:rPr>
              <w:t>科技局政产 学研合作计</w:t>
            </w:r>
          </w:p>
        </w:tc>
        <w:tc>
          <w:tcPr>
            <w:tcW w:w="106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433" w:right="72" w:hanging="360"/>
              <w:jc w:val="left"/>
              <w:rPr>
                <w:rFonts w:ascii="宋体" w:hAnsi="宋体" w:cs="宋体" w:eastAsia="宋体" w:hint="default"/>
                <w:sz w:val="18"/>
                <w:szCs w:val="18"/>
              </w:rPr>
            </w:pPr>
            <w:r>
              <w:rPr>
                <w:rFonts w:ascii="宋体" w:hAnsi="宋体" w:cs="宋体" w:eastAsia="宋体" w:hint="default"/>
                <w:sz w:val="18"/>
                <w:szCs w:val="18"/>
              </w:rPr>
              <w:t>江宁区科技 局</w:t>
            </w: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6" w:space="0" w:color="000000"/>
              <w:left w:val="single" w:sz="6" w:space="0" w:color="000000"/>
              <w:bottom w:val="single" w:sz="12" w:space="0" w:color="000000"/>
              <w:right w:val="single" w:sz="6" w:space="0" w:color="000000"/>
            </w:tcBorders>
          </w:tcPr>
          <w:p>
            <w:pP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33"/>
              <w:jc w:val="righ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200,000.00</w:t>
            </w:r>
          </w:p>
        </w:tc>
        <w:tc>
          <w:tcPr>
            <w:tcW w:w="1276" w:type="dxa"/>
            <w:tcBorders>
              <w:top w:val="single" w:sz="6" w:space="0" w:color="000000"/>
              <w:left w:val="single" w:sz="6" w:space="0" w:color="000000"/>
              <w:bottom w:val="single" w:sz="12" w:space="0" w:color="000000"/>
              <w:right w:val="single" w:sz="6" w:space="0" w:color="000000"/>
            </w:tcBorders>
          </w:tcPr>
          <w:p>
            <w:pPr/>
          </w:p>
        </w:tc>
        <w:tc>
          <w:tcPr>
            <w:tcW w:w="10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69.799988pt;margin-top:159.019989pt;width:52.45pt;height:23.4pt;mso-position-horizontal-relative:page;mso-position-vertical-relative:page;z-index:-917104" coordorigin="5396,3180" coordsize="1049,468">
            <v:shape style="position:absolute;left:5396;top:3180;width:1049;height:468" coordorigin="5396,3180" coordsize="1049,468" path="m5396,3648l6445,3648,6445,3180,5396,3180,5396,3648xe" filled="true" fillcolor="#ffffff" stroked="false">
              <v:path arrowok="t"/>
              <v:fill type="solid"/>
            </v:shape>
            <w10:wrap type="none"/>
          </v:group>
        </w:pict>
      </w:r>
      <w:r>
        <w:rPr/>
        <w:pict>
          <v:group style="position:absolute;margin-left:269.799988pt;margin-top:262.099976pt;width:52.45pt;height:23.4pt;mso-position-horizontal-relative:page;mso-position-vertical-relative:page;z-index:-917080" coordorigin="5396,5242" coordsize="1049,468">
            <v:shape style="position:absolute;left:5396;top:5242;width:1049;height:468" coordorigin="5396,5242" coordsize="1049,468" path="m5396,5710l6445,5710,6445,5242,5396,5242,5396,5710xe" filled="true" fillcolor="#ffffff" stroked="false">
              <v:path arrowok="t"/>
              <v:fill type="solid"/>
            </v:shape>
            <w10:wrap type="none"/>
          </v:group>
        </w:pict>
      </w:r>
      <w:r>
        <w:rPr/>
        <w:pict>
          <v:group style="position:absolute;margin-left:269.799988pt;margin-top:329.239990pt;width:52.45pt;height:23.4pt;mso-position-horizontal-relative:page;mso-position-vertical-relative:page;z-index:-917056" coordorigin="5396,6585" coordsize="1049,468">
            <v:shape style="position:absolute;left:5396;top:6585;width:1049;height:468" coordorigin="5396,6585" coordsize="1049,468" path="m5396,7053l6445,7053,6445,6585,5396,6585,5396,7053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118" w:type="dxa"/>
        <w:tblLayout w:type="fixed"/>
        <w:tblCellMar>
          <w:top w:w="0" w:type="dxa"/>
          <w:left w:w="0" w:type="dxa"/>
          <w:bottom w:w="0" w:type="dxa"/>
          <w:right w:w="0" w:type="dxa"/>
        </w:tblCellMar>
        <w:tblLook w:val="01E0"/>
      </w:tblPr>
      <w:tblGrid>
        <w:gridCol w:w="1067"/>
        <w:gridCol w:w="1062"/>
        <w:gridCol w:w="1063"/>
        <w:gridCol w:w="1064"/>
        <w:gridCol w:w="1063"/>
        <w:gridCol w:w="637"/>
        <w:gridCol w:w="1276"/>
        <w:gridCol w:w="1276"/>
        <w:gridCol w:w="1063"/>
      </w:tblGrid>
      <w:tr>
        <w:trPr>
          <w:trHeight w:val="374" w:hRule="exact"/>
        </w:trPr>
        <w:tc>
          <w:tcPr>
            <w:tcW w:w="106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划</w:t>
            </w:r>
          </w:p>
        </w:tc>
        <w:tc>
          <w:tcPr>
            <w:tcW w:w="1062" w:type="dxa"/>
            <w:tcBorders>
              <w:top w:val="single" w:sz="12" w:space="0" w:color="000000"/>
              <w:left w:val="single" w:sz="6" w:space="0" w:color="000000"/>
              <w:bottom w:val="single" w:sz="6" w:space="0" w:color="000000"/>
              <w:right w:val="single" w:sz="6" w:space="0" w:color="000000"/>
            </w:tcBorders>
          </w:tcPr>
          <w:p>
            <w:pPr/>
          </w:p>
        </w:tc>
        <w:tc>
          <w:tcPr>
            <w:tcW w:w="1063" w:type="dxa"/>
            <w:tcBorders>
              <w:top w:val="single" w:sz="12" w:space="0" w:color="000000"/>
              <w:left w:val="single" w:sz="6" w:space="0" w:color="000000"/>
              <w:bottom w:val="single" w:sz="6" w:space="0" w:color="000000"/>
              <w:right w:val="single" w:sz="6" w:space="0" w:color="000000"/>
            </w:tcBorders>
          </w:tcPr>
          <w:p>
            <w:pPr/>
          </w:p>
        </w:tc>
        <w:tc>
          <w:tcPr>
            <w:tcW w:w="1064" w:type="dxa"/>
            <w:tcBorders>
              <w:top w:val="single" w:sz="12" w:space="0" w:color="000000"/>
              <w:left w:val="single" w:sz="6" w:space="0" w:color="000000"/>
              <w:bottom w:val="single" w:sz="6" w:space="0" w:color="000000"/>
              <w:right w:val="single" w:sz="6" w:space="0" w:color="000000"/>
            </w:tcBorders>
          </w:tcPr>
          <w:p>
            <w:pPr/>
          </w:p>
        </w:tc>
        <w:tc>
          <w:tcPr>
            <w:tcW w:w="1063" w:type="dxa"/>
            <w:tcBorders>
              <w:top w:val="single" w:sz="12" w:space="0" w:color="000000"/>
              <w:left w:val="single" w:sz="6" w:space="0" w:color="000000"/>
              <w:bottom w:val="single" w:sz="6" w:space="0" w:color="000000"/>
              <w:right w:val="single" w:sz="6" w:space="0" w:color="000000"/>
            </w:tcBorders>
          </w:tcPr>
          <w:p>
            <w:pPr/>
          </w:p>
        </w:tc>
        <w:tc>
          <w:tcPr>
            <w:tcW w:w="637" w:type="dxa"/>
            <w:tcBorders>
              <w:top w:val="single" w:sz="12" w:space="0" w:color="000000"/>
              <w:left w:val="single" w:sz="6" w:space="0" w:color="000000"/>
              <w:bottom w:val="single" w:sz="6" w:space="0" w:color="000000"/>
              <w:right w:val="single" w:sz="6" w:space="0" w:color="000000"/>
            </w:tcBorders>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1063" w:type="dxa"/>
            <w:tcBorders>
              <w:top w:val="single" w:sz="12" w:space="0" w:color="000000"/>
              <w:left w:val="single" w:sz="6" w:space="0" w:color="000000"/>
              <w:bottom w:val="single" w:sz="6" w:space="0" w:color="000000"/>
              <w:right w:val="single" w:sz="12" w:space="0" w:color="000000"/>
            </w:tcBorders>
          </w:tcPr>
          <w:p>
            <w:pPr/>
          </w:p>
        </w:tc>
      </w:tr>
      <w:tr>
        <w:trPr>
          <w:trHeight w:val="1343"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45" w:right="53"/>
              <w:jc w:val="center"/>
              <w:rPr>
                <w:rFonts w:ascii="宋体" w:hAnsi="宋体" w:cs="宋体" w:eastAsia="宋体" w:hint="default"/>
                <w:sz w:val="18"/>
                <w:szCs w:val="18"/>
              </w:rPr>
            </w:pPr>
            <w:r>
              <w:rPr>
                <w:rFonts w:ascii="宋体" w:hAnsi="宋体" w:cs="宋体" w:eastAsia="宋体" w:hint="default"/>
                <w:sz w:val="18"/>
                <w:szCs w:val="18"/>
              </w:rPr>
              <w:t>江宁区</w:t>
            </w:r>
            <w:r>
              <w:rPr>
                <w:rFonts w:ascii="宋体" w:hAnsi="宋体" w:cs="宋体" w:eastAsia="宋体" w:hint="default"/>
                <w:spacing w:val="-46"/>
                <w:sz w:val="18"/>
                <w:szCs w:val="18"/>
              </w:rPr>
              <w:t> </w:t>
            </w:r>
            <w:r>
              <w:rPr>
                <w:rFonts w:ascii="宋体" w:hAnsi="宋体" w:cs="宋体" w:eastAsia="宋体" w:hint="default"/>
                <w:sz w:val="18"/>
                <w:szCs w:val="18"/>
              </w:rPr>
              <w:t>2014 </w:t>
            </w:r>
            <w:r>
              <w:rPr>
                <w:rFonts w:ascii="宋体" w:hAnsi="宋体" w:cs="宋体" w:eastAsia="宋体" w:hint="default"/>
                <w:sz w:val="18"/>
                <w:szCs w:val="18"/>
              </w:rPr>
              <w:t>年纳税大户 奖励</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2"/>
              <w:ind w:left="73" w:right="72"/>
              <w:jc w:val="center"/>
              <w:rPr>
                <w:rFonts w:ascii="宋体" w:hAnsi="宋体" w:cs="宋体" w:eastAsia="宋体" w:hint="default"/>
                <w:sz w:val="18"/>
                <w:szCs w:val="18"/>
              </w:rPr>
            </w:pPr>
            <w:r>
              <w:rPr>
                <w:rFonts w:ascii="宋体" w:hAnsi="宋体" w:cs="宋体" w:eastAsia="宋体" w:hint="default"/>
                <w:sz w:val="18"/>
                <w:szCs w:val="18"/>
              </w:rPr>
              <w:t>南京江宁经 济技术开发 区管理委员 会</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宋体" w:hAnsi="宋体" w:cs="宋体" w:eastAsia="宋体" w:hint="default"/>
                <w:sz w:val="18"/>
                <w:szCs w:val="18"/>
              </w:rPr>
            </w:pPr>
            <w:r>
              <w:rPr>
                <w:rFonts w:ascii="宋体"/>
                <w:sz w:val="18"/>
              </w:rPr>
              <w:t>20,000.00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8"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4"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67" w:right="75"/>
              <w:jc w:val="left"/>
              <w:rPr>
                <w:rFonts w:ascii="宋体" w:hAnsi="宋体" w:cs="宋体" w:eastAsia="宋体" w:hint="default"/>
                <w:sz w:val="18"/>
                <w:szCs w:val="18"/>
              </w:rPr>
            </w:pPr>
            <w:r>
              <w:rPr>
                <w:rFonts w:ascii="宋体" w:hAnsi="宋体" w:cs="宋体" w:eastAsia="宋体" w:hint="default"/>
                <w:sz w:val="18"/>
                <w:szCs w:val="18"/>
              </w:rPr>
              <w:t>南京专利申 请资助经费</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433" w:right="72" w:hanging="360"/>
              <w:jc w:val="left"/>
              <w:rPr>
                <w:rFonts w:ascii="宋体" w:hAnsi="宋体" w:cs="宋体" w:eastAsia="宋体" w:hint="default"/>
                <w:sz w:val="18"/>
                <w:szCs w:val="18"/>
              </w:rPr>
            </w:pPr>
            <w:r>
              <w:rPr>
                <w:rFonts w:ascii="宋体" w:hAnsi="宋体" w:cs="宋体" w:eastAsia="宋体" w:hint="default"/>
                <w:sz w:val="18"/>
                <w:szCs w:val="18"/>
              </w:rPr>
              <w:t>浦口区科技 局</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72" w:hanging="53"/>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宋体" w:hAnsi="宋体" w:cs="宋体" w:eastAsia="宋体" w:hint="default"/>
                <w:sz w:val="18"/>
                <w:szCs w:val="18"/>
              </w:rPr>
            </w:pPr>
            <w:r>
              <w:rPr>
                <w:rFonts w:ascii="宋体"/>
                <w:sz w:val="18"/>
              </w:rPr>
              <w:t>7,800.00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8"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9"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67" w:right="75"/>
              <w:jc w:val="left"/>
              <w:rPr>
                <w:rFonts w:ascii="宋体" w:hAnsi="宋体" w:cs="宋体" w:eastAsia="宋体" w:hint="default"/>
                <w:sz w:val="18"/>
                <w:szCs w:val="18"/>
              </w:rPr>
            </w:pPr>
            <w:r>
              <w:rPr>
                <w:rFonts w:ascii="宋体" w:hAnsi="宋体" w:cs="宋体" w:eastAsia="宋体" w:hint="default"/>
                <w:sz w:val="18"/>
                <w:szCs w:val="18"/>
              </w:rPr>
              <w:t>政府知识产 权奖励资金</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53" w:right="72" w:hanging="180"/>
              <w:jc w:val="left"/>
              <w:rPr>
                <w:rFonts w:ascii="宋体" w:hAnsi="宋体" w:cs="宋体" w:eastAsia="宋体" w:hint="default"/>
                <w:sz w:val="18"/>
                <w:szCs w:val="18"/>
              </w:rPr>
            </w:pPr>
            <w:r>
              <w:rPr>
                <w:rFonts w:ascii="宋体" w:hAnsi="宋体" w:cs="宋体" w:eastAsia="宋体" w:hint="default"/>
                <w:sz w:val="18"/>
                <w:szCs w:val="18"/>
              </w:rPr>
              <w:t>南京市知识 产权局</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4,000.00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3"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67" w:right="75"/>
              <w:jc w:val="center"/>
              <w:rPr>
                <w:rFonts w:ascii="宋体" w:hAnsi="宋体" w:cs="宋体" w:eastAsia="宋体" w:hint="default"/>
                <w:sz w:val="18"/>
                <w:szCs w:val="18"/>
              </w:rPr>
            </w:pPr>
            <w:r>
              <w:rPr>
                <w:rFonts w:ascii="宋体" w:hAnsi="宋体" w:cs="宋体" w:eastAsia="宋体" w:hint="default"/>
                <w:sz w:val="18"/>
                <w:szCs w:val="18"/>
              </w:rPr>
              <w:t>电力线载波 专用芯片开 发应用项目 资金</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73" w:right="72"/>
              <w:jc w:val="center"/>
              <w:rPr>
                <w:rFonts w:ascii="宋体" w:hAnsi="宋体" w:cs="宋体" w:eastAsia="宋体" w:hint="default"/>
                <w:sz w:val="18"/>
                <w:szCs w:val="18"/>
              </w:rPr>
            </w:pPr>
            <w:r>
              <w:rPr>
                <w:rFonts w:ascii="宋体" w:hAnsi="宋体" w:cs="宋体" w:eastAsia="宋体" w:hint="default"/>
                <w:sz w:val="18"/>
                <w:szCs w:val="18"/>
              </w:rPr>
              <w:t>南京江宁区 工业和信息 化局</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1" w:right="72" w:hanging="53"/>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宋体" w:hAnsi="宋体" w:cs="宋体" w:eastAsia="宋体" w:hint="default"/>
                <w:sz w:val="18"/>
                <w:szCs w:val="18"/>
              </w:rPr>
            </w:pPr>
            <w:r>
              <w:rPr>
                <w:rFonts w:ascii="宋体"/>
                <w:sz w:val="18"/>
              </w:rPr>
              <w:t>2,000,000.00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8"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3"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67" w:right="52" w:hanging="22"/>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年度软 件政策项目 补助资金</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73" w:right="72"/>
              <w:jc w:val="center"/>
              <w:rPr>
                <w:rFonts w:ascii="宋体" w:hAnsi="宋体" w:cs="宋体" w:eastAsia="宋体" w:hint="default"/>
                <w:sz w:val="18"/>
                <w:szCs w:val="18"/>
              </w:rPr>
            </w:pPr>
            <w:r>
              <w:rPr>
                <w:rFonts w:ascii="宋体" w:hAnsi="宋体" w:cs="宋体" w:eastAsia="宋体" w:hint="default"/>
                <w:sz w:val="18"/>
                <w:szCs w:val="18"/>
              </w:rPr>
              <w:t>南京江宁区 工业和信息 化局</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1" w:right="72" w:hanging="53"/>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宋体" w:hAnsi="宋体" w:cs="宋体" w:eastAsia="宋体" w:hint="default"/>
                <w:sz w:val="18"/>
                <w:szCs w:val="18"/>
              </w:rPr>
            </w:pPr>
            <w:r>
              <w:rPr>
                <w:rFonts w:ascii="宋体"/>
                <w:sz w:val="18"/>
              </w:rPr>
              <w:t>150,000.00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8"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9"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67" w:right="52" w:hanging="22"/>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年度国 家智能电网 产业集聚发 展试点重点 项目补助</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73" w:right="72"/>
              <w:jc w:val="center"/>
              <w:rPr>
                <w:rFonts w:ascii="宋体" w:hAnsi="宋体" w:cs="宋体" w:eastAsia="宋体" w:hint="default"/>
                <w:sz w:val="18"/>
                <w:szCs w:val="18"/>
              </w:rPr>
            </w:pPr>
            <w:r>
              <w:rPr>
                <w:rFonts w:ascii="宋体" w:hAnsi="宋体" w:cs="宋体" w:eastAsia="宋体" w:hint="default"/>
                <w:sz w:val="18"/>
                <w:szCs w:val="18"/>
              </w:rPr>
              <w:t>江苏省发展 与改革委员 会</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18"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8"/>
              <w:jc w:val="right"/>
              <w:rPr>
                <w:rFonts w:ascii="宋体" w:hAnsi="宋体" w:cs="宋体" w:eastAsia="宋体" w:hint="default"/>
                <w:sz w:val="18"/>
                <w:szCs w:val="18"/>
              </w:rPr>
            </w:pPr>
            <w:r>
              <w:rPr>
                <w:rFonts w:ascii="宋体"/>
                <w:sz w:val="18"/>
              </w:rPr>
              <w:t>6,540,000.00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8"/>
              <w:jc w:val="right"/>
              <w:rPr>
                <w:rFonts w:ascii="宋体" w:hAnsi="宋体" w:cs="宋体" w:eastAsia="宋体" w:hint="default"/>
                <w:sz w:val="18"/>
                <w:szCs w:val="18"/>
              </w:rPr>
            </w:pPr>
            <w:r>
              <w:rPr>
                <w:rFonts w:ascii="宋体"/>
                <w:sz w:val="18"/>
              </w:rPr>
              <w:t>4,500,000.00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8"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7"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45" w:right="5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年南京 市工业和信 息化局战略 性新兴产业 发展引导专 项资金</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8" w:right="26" w:hanging="2"/>
              <w:jc w:val="center"/>
              <w:rPr>
                <w:rFonts w:ascii="宋体" w:hAnsi="宋体" w:cs="宋体" w:eastAsia="宋体" w:hint="default"/>
                <w:sz w:val="18"/>
                <w:szCs w:val="18"/>
              </w:rPr>
            </w:pPr>
            <w:r>
              <w:rPr>
                <w:rFonts w:ascii="宋体" w:hAnsi="宋体" w:cs="宋体" w:eastAsia="宋体" w:hint="default"/>
                <w:sz w:val="18"/>
                <w:szCs w:val="18"/>
              </w:rPr>
              <w:t>南京市经信 委</w:t>
            </w:r>
            <w:r>
              <w:rPr>
                <w:rFonts w:ascii="宋体" w:hAnsi="宋体" w:cs="宋体" w:eastAsia="宋体" w:hint="default"/>
                <w:sz w:val="18"/>
                <w:szCs w:val="18"/>
              </w:rPr>
              <w:t>&amp;</w:t>
            </w:r>
            <w:r>
              <w:rPr>
                <w:rFonts w:ascii="宋体" w:hAnsi="宋体" w:cs="宋体" w:eastAsia="宋体" w:hint="default"/>
                <w:sz w:val="18"/>
                <w:szCs w:val="18"/>
              </w:rPr>
              <w:t>江宁区财 政局</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1,500,000.00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337" w:right="75" w:hanging="270"/>
              <w:jc w:val="left"/>
              <w:rPr>
                <w:rFonts w:ascii="宋体" w:hAnsi="宋体" w:cs="宋体" w:eastAsia="宋体" w:hint="default"/>
                <w:sz w:val="18"/>
                <w:szCs w:val="18"/>
              </w:rPr>
            </w:pPr>
            <w:r>
              <w:rPr>
                <w:rFonts w:ascii="宋体" w:hAnsi="宋体" w:cs="宋体" w:eastAsia="宋体" w:hint="default"/>
                <w:sz w:val="18"/>
                <w:szCs w:val="18"/>
              </w:rPr>
              <w:t>企业品牌建 设奖</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343" w:right="72" w:hanging="270"/>
              <w:jc w:val="left"/>
              <w:rPr>
                <w:rFonts w:ascii="宋体" w:hAnsi="宋体" w:cs="宋体" w:eastAsia="宋体" w:hint="default"/>
                <w:sz w:val="18"/>
                <w:szCs w:val="18"/>
              </w:rPr>
            </w:pPr>
            <w:r>
              <w:rPr>
                <w:rFonts w:ascii="宋体" w:hAnsi="宋体" w:cs="宋体" w:eastAsia="宋体" w:hint="default"/>
                <w:sz w:val="18"/>
                <w:szCs w:val="18"/>
              </w:rPr>
              <w:t>公安县人民 政府</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100,000.00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87" w:hRule="exact"/>
        </w:trPr>
        <w:tc>
          <w:tcPr>
            <w:tcW w:w="106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
              <w:jc w:val="center"/>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0" w:right="18" w:hanging="2"/>
              <w:jc w:val="center"/>
              <w:rPr>
                <w:rFonts w:ascii="宋体" w:hAnsi="宋体" w:cs="宋体" w:eastAsia="宋体" w:hint="default"/>
                <w:sz w:val="18"/>
                <w:szCs w:val="18"/>
              </w:rPr>
            </w:pPr>
            <w:r>
              <w:rPr>
                <w:rFonts w:ascii="宋体" w:hAnsi="宋体" w:cs="宋体" w:eastAsia="宋体" w:hint="default"/>
                <w:sz w:val="18"/>
                <w:szCs w:val="18"/>
              </w:rPr>
              <w:t>湖北省财政 </w:t>
            </w:r>
            <w:r>
              <w:rPr>
                <w:rFonts w:ascii="宋体" w:hAnsi="宋体" w:cs="宋体" w:eastAsia="宋体" w:hint="default"/>
                <w:spacing w:val="-13"/>
                <w:sz w:val="18"/>
                <w:szCs w:val="18"/>
              </w:rPr>
              <w:t>厅、湖北省人</w:t>
            </w:r>
            <w:r>
              <w:rPr>
                <w:rFonts w:ascii="宋体" w:hAnsi="宋体" w:cs="宋体" w:eastAsia="宋体" w:hint="default"/>
                <w:sz w:val="18"/>
                <w:szCs w:val="18"/>
              </w:rPr>
              <w:t> 力资源和社 会保障厅</w:t>
            </w: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1"/>
              <w:ind w:left="21" w:right="18"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8"/>
              <w:jc w:val="right"/>
              <w:rPr>
                <w:rFonts w:ascii="宋体" w:hAnsi="宋体" w:cs="宋体" w:eastAsia="宋体" w:hint="default"/>
                <w:sz w:val="18"/>
                <w:szCs w:val="18"/>
              </w:rPr>
            </w:pPr>
            <w:r>
              <w:rPr>
                <w:rFonts w:ascii="宋体"/>
                <w:sz w:val="18"/>
              </w:rPr>
              <w:t>86,500.00</w:t>
            </w:r>
          </w:p>
        </w:tc>
        <w:tc>
          <w:tcPr>
            <w:tcW w:w="1276" w:type="dxa"/>
            <w:tcBorders>
              <w:top w:val="single" w:sz="6" w:space="0" w:color="000000"/>
              <w:left w:val="single" w:sz="6" w:space="0" w:color="000000"/>
              <w:bottom w:val="single" w:sz="12" w:space="0" w:color="000000"/>
              <w:right w:val="single" w:sz="6" w:space="0" w:color="000000"/>
            </w:tcBorders>
          </w:tcPr>
          <w:p>
            <w:pPr/>
          </w:p>
        </w:tc>
        <w:tc>
          <w:tcPr>
            <w:tcW w:w="10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8"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118" w:type="dxa"/>
        <w:tblLayout w:type="fixed"/>
        <w:tblCellMar>
          <w:top w:w="0" w:type="dxa"/>
          <w:left w:w="0" w:type="dxa"/>
          <w:bottom w:w="0" w:type="dxa"/>
          <w:right w:w="0" w:type="dxa"/>
        </w:tblCellMar>
        <w:tblLook w:val="01E0"/>
      </w:tblPr>
      <w:tblGrid>
        <w:gridCol w:w="1067"/>
        <w:gridCol w:w="1062"/>
        <w:gridCol w:w="1063"/>
        <w:gridCol w:w="1064"/>
        <w:gridCol w:w="1063"/>
        <w:gridCol w:w="637"/>
        <w:gridCol w:w="1276"/>
        <w:gridCol w:w="1276"/>
        <w:gridCol w:w="1063"/>
      </w:tblGrid>
      <w:tr>
        <w:trPr>
          <w:trHeight w:val="2287" w:hRule="exact"/>
        </w:trPr>
        <w:tc>
          <w:tcPr>
            <w:tcW w:w="106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29" w:hanging="2"/>
              <w:jc w:val="center"/>
              <w:rPr>
                <w:rFonts w:ascii="宋体" w:hAnsi="宋体" w:cs="宋体" w:eastAsia="宋体" w:hint="default"/>
                <w:sz w:val="18"/>
                <w:szCs w:val="18"/>
              </w:rPr>
            </w:pPr>
            <w:r>
              <w:rPr>
                <w:rFonts w:ascii="宋体" w:hAnsi="宋体" w:cs="宋体" w:eastAsia="宋体" w:hint="default"/>
                <w:sz w:val="18"/>
                <w:szCs w:val="18"/>
              </w:rPr>
              <w:t>中小微工业 企业发展专 项资金</w:t>
            </w:r>
            <w:r>
              <w:rPr>
                <w:rFonts w:ascii="宋体" w:hAnsi="宋体" w:cs="宋体" w:eastAsia="宋体" w:hint="default"/>
                <w:sz w:val="18"/>
                <w:szCs w:val="18"/>
              </w:rPr>
              <w:t>"</w:t>
            </w:r>
            <w:r>
              <w:rPr>
                <w:rFonts w:ascii="宋体" w:hAnsi="宋体" w:cs="宋体" w:eastAsia="宋体" w:hint="default"/>
                <w:sz w:val="18"/>
                <w:szCs w:val="18"/>
              </w:rPr>
              <w:t>清洁 生产项目</w:t>
            </w:r>
          </w:p>
        </w:tc>
        <w:tc>
          <w:tcPr>
            <w:tcW w:w="10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433" w:right="72" w:hanging="360"/>
              <w:jc w:val="left"/>
              <w:rPr>
                <w:rFonts w:ascii="宋体" w:hAnsi="宋体" w:cs="宋体" w:eastAsia="宋体" w:hint="default"/>
                <w:sz w:val="18"/>
                <w:szCs w:val="18"/>
              </w:rPr>
            </w:pPr>
            <w:r>
              <w:rPr>
                <w:rFonts w:ascii="宋体" w:hAnsi="宋体" w:cs="宋体" w:eastAsia="宋体" w:hint="default"/>
                <w:sz w:val="18"/>
                <w:szCs w:val="18"/>
              </w:rPr>
              <w:t>江宁区财政 局</w:t>
            </w:r>
          </w:p>
        </w:tc>
        <w:tc>
          <w:tcPr>
            <w:tcW w:w="10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51"/>
              <w:ind w:left="21" w:right="18"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12" w:space="0" w:color="000000"/>
              <w:left w:val="single" w:sz="6" w:space="0" w:color="000000"/>
              <w:bottom w:val="single" w:sz="6" w:space="0" w:color="000000"/>
              <w:right w:val="single" w:sz="6" w:space="0" w:color="000000"/>
            </w:tcBorders>
          </w:tcPr>
          <w:p>
            <w:pP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8"/>
              <w:jc w:val="right"/>
              <w:rPr>
                <w:rFonts w:ascii="宋体" w:hAnsi="宋体" w:cs="宋体" w:eastAsia="宋体" w:hint="default"/>
                <w:sz w:val="18"/>
                <w:szCs w:val="18"/>
              </w:rPr>
            </w:pPr>
            <w:r>
              <w:rPr>
                <w:rFonts w:ascii="宋体"/>
                <w:sz w:val="18"/>
              </w:rPr>
              <w:t>20,000.00</w:t>
            </w:r>
          </w:p>
        </w:tc>
        <w:tc>
          <w:tcPr>
            <w:tcW w:w="1276" w:type="dxa"/>
            <w:tcBorders>
              <w:top w:val="single" w:sz="12" w:space="0" w:color="000000"/>
              <w:left w:val="single" w:sz="6" w:space="0" w:color="000000"/>
              <w:bottom w:val="single" w:sz="6" w:space="0" w:color="000000"/>
              <w:right w:val="single" w:sz="6" w:space="0" w:color="000000"/>
            </w:tcBorders>
          </w:tcPr>
          <w:p>
            <w:pPr/>
          </w:p>
        </w:tc>
        <w:tc>
          <w:tcPr>
            <w:tcW w:w="106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8"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5" w:hRule="exact"/>
        </w:trPr>
        <w:tc>
          <w:tcPr>
            <w:tcW w:w="106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06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06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06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63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8,621,400.00</w:t>
            </w:r>
          </w:p>
        </w:tc>
        <w:tc>
          <w:tcPr>
            <w:tcW w:w="1276" w:type="dxa"/>
            <w:tcBorders>
              <w:top w:val="single" w:sz="6" w:space="0" w:color="000000"/>
              <w:left w:val="single" w:sz="6" w:space="0" w:color="000000"/>
              <w:bottom w:val="single" w:sz="12" w:space="0" w:color="000000"/>
              <w:right w:val="single" w:sz="9" w:space="0" w:color="D2D2D2"/>
            </w:tcBorders>
          </w:tcPr>
          <w:p>
            <w:pPr>
              <w:pStyle w:val="TableParagraph"/>
              <w:spacing w:line="240" w:lineRule="auto" w:before="51"/>
              <w:ind w:left="160" w:right="0"/>
              <w:jc w:val="left"/>
              <w:rPr>
                <w:rFonts w:ascii="宋体" w:hAnsi="宋体" w:cs="宋体" w:eastAsia="宋体" w:hint="default"/>
                <w:sz w:val="18"/>
                <w:szCs w:val="18"/>
              </w:rPr>
            </w:pPr>
            <w:r>
              <w:rPr>
                <w:rFonts w:ascii="宋体"/>
                <w:sz w:val="18"/>
              </w:rPr>
              <w:t>9,949,303.00</w:t>
            </w:r>
          </w:p>
        </w:tc>
        <w:tc>
          <w:tcPr>
            <w:tcW w:w="1063"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sz w:val="18"/>
              </w:rPr>
              <w:t>--</w:t>
            </w:r>
          </w:p>
        </w:tc>
      </w:tr>
    </w:tbl>
    <w:p>
      <w:pPr>
        <w:pStyle w:val="BodyText"/>
        <w:spacing w:line="240" w:lineRule="auto" w:before="63"/>
        <w:ind w:left="1134" w:right="0"/>
        <w:jc w:val="left"/>
      </w:pPr>
      <w:r>
        <w:rPr/>
        <w:t>其他说明：</w:t>
      </w:r>
    </w:p>
    <w:p>
      <w:pPr>
        <w:spacing w:line="240" w:lineRule="auto" w:before="10"/>
        <w:rPr>
          <w:rFonts w:ascii="宋体" w:hAnsi="宋体" w:cs="宋体" w:eastAsia="宋体" w:hint="default"/>
          <w:sz w:val="14"/>
          <w:szCs w:val="14"/>
        </w:rPr>
      </w:pPr>
    </w:p>
    <w:p>
      <w:pPr>
        <w:pStyle w:val="BodyText"/>
        <w:spacing w:line="408" w:lineRule="auto"/>
        <w:ind w:left="1134" w:right="0" w:firstLine="420"/>
        <w:jc w:val="left"/>
      </w:pPr>
      <w:r>
        <w:rPr>
          <w:spacing w:val="-1"/>
        </w:rPr>
        <w:t>营业外收入本年发生数比上年发生数减少</w:t>
      </w:r>
      <w:r>
        <w:rPr>
          <w:rFonts w:ascii="宋体" w:hAnsi="宋体" w:cs="宋体" w:eastAsia="宋体" w:hint="default"/>
          <w:spacing w:val="-1"/>
        </w:rPr>
        <w:t>3,534,645.53</w:t>
      </w:r>
      <w:r>
        <w:rPr>
          <w:spacing w:val="-1"/>
        </w:rPr>
        <w:t>元，减少比例为</w:t>
      </w:r>
      <w:r>
        <w:rPr>
          <w:rFonts w:ascii="宋体" w:hAnsi="宋体" w:cs="宋体" w:eastAsia="宋体" w:hint="default"/>
          <w:spacing w:val="-1"/>
        </w:rPr>
        <w:t>23.86%</w:t>
      </w:r>
      <w:r>
        <w:rPr>
          <w:spacing w:val="-1"/>
        </w:rPr>
        <w:t>，主要原因为税收返还</w:t>
      </w:r>
      <w:r>
        <w:rPr/>
        <w:t> 较上年度减少所致。</w:t>
      </w:r>
    </w:p>
    <w:p>
      <w:pPr>
        <w:spacing w:before="55"/>
        <w:ind w:left="1134" w:right="0" w:firstLine="0"/>
        <w:jc w:val="left"/>
        <w:rPr>
          <w:rFonts w:ascii="宋体" w:hAnsi="宋体" w:cs="宋体" w:eastAsia="宋体" w:hint="default"/>
          <w:sz w:val="20"/>
          <w:szCs w:val="20"/>
        </w:rPr>
      </w:pPr>
      <w:bookmarkStart w:name="70、营业外支出" w:id="362"/>
      <w:bookmarkEnd w:id="362"/>
      <w:r>
        <w:rPr/>
      </w:r>
      <w:r>
        <w:rPr>
          <w:rFonts w:ascii="宋体" w:hAnsi="宋体" w:cs="宋体" w:eastAsia="宋体" w:hint="default"/>
          <w:b/>
          <w:bCs/>
          <w:sz w:val="20"/>
          <w:szCs w:val="20"/>
        </w:rPr>
        <w:t>70</w:t>
      </w:r>
      <w:r>
        <w:rPr>
          <w:rFonts w:ascii="宋体" w:hAnsi="宋体" w:cs="宋体" w:eastAsia="宋体" w:hint="default"/>
          <w:b/>
          <w:bCs/>
          <w:sz w:val="20"/>
          <w:szCs w:val="20"/>
        </w:rPr>
        <w:t>、营业外支出</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2390"/>
        <w:gridCol w:w="2396"/>
        <w:gridCol w:w="2392"/>
        <w:gridCol w:w="2391"/>
      </w:tblGrid>
      <w:tr>
        <w:trPr>
          <w:trHeight w:val="171" w:hRule="exact"/>
        </w:trPr>
        <w:tc>
          <w:tcPr>
            <w:tcW w:w="2390" w:type="dxa"/>
            <w:tcBorders>
              <w:top w:val="single" w:sz="12" w:space="0" w:color="000000"/>
              <w:left w:val="single" w:sz="12" w:space="0" w:color="000000"/>
              <w:bottom w:val="nil" w:sz="6" w:space="0" w:color="auto"/>
              <w:right w:val="single" w:sz="6" w:space="0" w:color="000000"/>
            </w:tcBorders>
            <w:shd w:val="clear" w:color="auto" w:fill="D2D2D2"/>
          </w:tcPr>
          <w:p>
            <w:pPr/>
          </w:p>
        </w:tc>
        <w:tc>
          <w:tcPr>
            <w:tcW w:w="2396" w:type="dxa"/>
            <w:tcBorders>
              <w:top w:val="single" w:sz="12" w:space="0" w:color="000000"/>
              <w:left w:val="single" w:sz="6" w:space="0" w:color="000000"/>
              <w:bottom w:val="nil" w:sz="6" w:space="0" w:color="auto"/>
              <w:right w:val="single" w:sz="6" w:space="0" w:color="000000"/>
            </w:tcBorders>
            <w:shd w:val="clear" w:color="auto" w:fill="D2D2D2"/>
          </w:tcPr>
          <w:p>
            <w:pPr/>
          </w:p>
        </w:tc>
        <w:tc>
          <w:tcPr>
            <w:tcW w:w="2392" w:type="dxa"/>
            <w:tcBorders>
              <w:top w:val="single" w:sz="12" w:space="0" w:color="000000"/>
              <w:left w:val="single" w:sz="6" w:space="0" w:color="000000"/>
              <w:bottom w:val="nil" w:sz="6" w:space="0" w:color="auto"/>
              <w:right w:val="single" w:sz="6" w:space="0" w:color="000000"/>
            </w:tcBorders>
            <w:shd w:val="clear" w:color="auto" w:fill="D2D2D2"/>
          </w:tcPr>
          <w:p>
            <w:pPr/>
          </w:p>
        </w:tc>
        <w:tc>
          <w:tcPr>
            <w:tcW w:w="2391" w:type="dxa"/>
            <w:vMerge w:val="restart"/>
            <w:tcBorders>
              <w:top w:val="single" w:sz="12" w:space="0" w:color="000000"/>
              <w:left w:val="single" w:sz="6" w:space="0" w:color="000000"/>
              <w:right w:val="single" w:sz="12" w:space="0" w:color="000000"/>
            </w:tcBorders>
            <w:shd w:val="clear" w:color="auto" w:fill="D2D2D2"/>
          </w:tcPr>
          <w:p>
            <w:pPr>
              <w:pStyle w:val="TableParagraph"/>
              <w:spacing w:line="319" w:lineRule="auto" w:before="51"/>
              <w:ind w:left="1097" w:right="98"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6" w:space="0" w:color="000000"/>
              <w:right w:val="single" w:sz="12" w:space="0" w:color="000000"/>
            </w:tcBorders>
            <w:shd w:val="clear" w:color="auto" w:fill="D2D2D2"/>
          </w:tcPr>
          <w:p>
            <w:pPr/>
          </w:p>
        </w:tc>
      </w:tr>
      <w:tr>
        <w:trPr>
          <w:trHeight w:val="163" w:hRule="exact"/>
        </w:trPr>
        <w:tc>
          <w:tcPr>
            <w:tcW w:w="2390" w:type="dxa"/>
            <w:tcBorders>
              <w:top w:val="nil" w:sz="6" w:space="0" w:color="auto"/>
              <w:left w:val="single" w:sz="12" w:space="0" w:color="000000"/>
              <w:bottom w:val="single" w:sz="6" w:space="0" w:color="000000"/>
              <w:right w:val="single" w:sz="6" w:space="0" w:color="000000"/>
            </w:tcBorders>
            <w:shd w:val="clear" w:color="auto" w:fill="D2D2D2"/>
          </w:tcPr>
          <w:p>
            <w:pPr/>
          </w:p>
        </w:tc>
        <w:tc>
          <w:tcPr>
            <w:tcW w:w="2396" w:type="dxa"/>
            <w:tcBorders>
              <w:top w:val="nil" w:sz="6" w:space="0" w:color="auto"/>
              <w:left w:val="single" w:sz="6" w:space="0" w:color="000000"/>
              <w:bottom w:val="single" w:sz="6" w:space="0" w:color="000000"/>
              <w:right w:val="single" w:sz="6" w:space="0" w:color="000000"/>
            </w:tcBorders>
            <w:shd w:val="clear" w:color="auto" w:fill="D2D2D2"/>
          </w:tcPr>
          <w:p>
            <w:pPr/>
          </w:p>
        </w:tc>
        <w:tc>
          <w:tcPr>
            <w:tcW w:w="2392" w:type="dxa"/>
            <w:tcBorders>
              <w:top w:val="nil" w:sz="6" w:space="0" w:color="auto"/>
              <w:left w:val="single" w:sz="6" w:space="0" w:color="000000"/>
              <w:bottom w:val="single" w:sz="6" w:space="0" w:color="000000"/>
              <w:right w:val="single" w:sz="6" w:space="0" w:color="000000"/>
            </w:tcBorders>
            <w:shd w:val="clear" w:color="auto" w:fill="D2D2D2"/>
          </w:tcPr>
          <w:p>
            <w:pPr/>
          </w:p>
        </w:tc>
        <w:tc>
          <w:tcPr>
            <w:tcW w:w="2391"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23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433,571.25</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19,550.12</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433,571.25</w:t>
            </w:r>
          </w:p>
        </w:tc>
      </w:tr>
      <w:tr>
        <w:trPr>
          <w:trHeight w:val="407" w:hRule="exact"/>
        </w:trPr>
        <w:tc>
          <w:tcPr>
            <w:tcW w:w="23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433,571.25</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19,550.12</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433,571.25</w:t>
            </w:r>
          </w:p>
        </w:tc>
      </w:tr>
      <w:tr>
        <w:trPr>
          <w:trHeight w:val="408" w:hRule="exact"/>
        </w:trPr>
        <w:tc>
          <w:tcPr>
            <w:tcW w:w="23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500,000.00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50,000.00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500,000.00</w:t>
            </w:r>
          </w:p>
        </w:tc>
      </w:tr>
      <w:tr>
        <w:trPr>
          <w:trHeight w:val="407"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67,212.58</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515.82</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67,212.58</w:t>
            </w:r>
          </w:p>
        </w:tc>
      </w:tr>
      <w:tr>
        <w:trPr>
          <w:trHeight w:val="415" w:hRule="exact"/>
        </w:trPr>
        <w:tc>
          <w:tcPr>
            <w:tcW w:w="239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1,000,783.83</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70,065.94</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1,000,783.83</w:t>
            </w:r>
          </w:p>
        </w:tc>
      </w:tr>
    </w:tbl>
    <w:p>
      <w:pPr>
        <w:pStyle w:val="BodyText"/>
        <w:spacing w:line="408" w:lineRule="auto" w:before="63"/>
        <w:ind w:right="1116"/>
        <w:jc w:val="left"/>
      </w:pPr>
      <w:r>
        <w:rPr/>
        <w:t>其他说明： </w:t>
      </w:r>
      <w:r>
        <w:rPr>
          <w:spacing w:val="-1"/>
        </w:rPr>
        <w:t>本期营业外支出比上期增加</w:t>
      </w:r>
      <w:r>
        <w:rPr>
          <w:rFonts w:ascii="宋体" w:hAnsi="宋体" w:cs="宋体" w:eastAsia="宋体" w:hint="default"/>
          <w:spacing w:val="-1"/>
        </w:rPr>
        <w:t>930,717.89</w:t>
      </w:r>
      <w:r>
        <w:rPr>
          <w:spacing w:val="-1"/>
        </w:rPr>
        <w:t>元，增加比例为</w:t>
      </w:r>
      <w:r>
        <w:rPr>
          <w:rFonts w:ascii="宋体" w:hAnsi="宋体" w:cs="宋体" w:eastAsia="宋体" w:hint="default"/>
          <w:spacing w:val="-1"/>
        </w:rPr>
        <w:t>1328.35%</w:t>
      </w:r>
      <w:r>
        <w:rPr>
          <w:spacing w:val="-1"/>
        </w:rPr>
        <w:t>，增加原因为本年同期处置固定资产损失</w:t>
      </w:r>
      <w:r>
        <w:rPr>
          <w:spacing w:val="-75"/>
        </w:rPr>
        <w:t> </w:t>
      </w:r>
      <w:r>
        <w:rPr>
          <w:spacing w:val="-75"/>
        </w:rPr>
      </w:r>
      <w:r>
        <w:rPr/>
        <w:t>和对外捐赠增加所致。</w:t>
      </w:r>
    </w:p>
    <w:p>
      <w:pPr>
        <w:spacing w:before="55"/>
        <w:ind w:left="1133" w:right="0" w:firstLine="0"/>
        <w:jc w:val="left"/>
        <w:rPr>
          <w:rFonts w:ascii="宋体" w:hAnsi="宋体" w:cs="宋体" w:eastAsia="宋体" w:hint="default"/>
          <w:sz w:val="20"/>
          <w:szCs w:val="20"/>
        </w:rPr>
      </w:pPr>
      <w:bookmarkStart w:name="71、所得税费用" w:id="363"/>
      <w:bookmarkEnd w:id="363"/>
      <w:r>
        <w:rPr/>
      </w:r>
      <w:r>
        <w:rPr>
          <w:rFonts w:ascii="宋体" w:hAnsi="宋体" w:cs="宋体" w:eastAsia="宋体" w:hint="default"/>
          <w:b/>
          <w:bCs/>
          <w:sz w:val="20"/>
          <w:szCs w:val="20"/>
        </w:rPr>
        <w:t>71</w:t>
      </w:r>
      <w:r>
        <w:rPr>
          <w:rFonts w:ascii="宋体" w:hAnsi="宋体" w:cs="宋体" w:eastAsia="宋体" w:hint="default"/>
          <w:b/>
          <w:bCs/>
          <w:sz w:val="20"/>
          <w:szCs w:val="20"/>
        </w:rPr>
        <w:t>、所得税费用</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3" w:right="0" w:firstLine="0"/>
        <w:jc w:val="left"/>
        <w:rPr>
          <w:rFonts w:ascii="宋体" w:hAnsi="宋体" w:cs="宋体" w:eastAsia="宋体" w:hint="default"/>
          <w:sz w:val="20"/>
          <w:szCs w:val="20"/>
        </w:rPr>
      </w:pPr>
      <w:bookmarkStart w:name="（1）所得税费用表" w:id="364"/>
      <w:bookmarkEnd w:id="364"/>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）所得税费用表</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545"/>
        <w:gridCol w:w="2837"/>
        <w:gridCol w:w="3188"/>
      </w:tblGrid>
      <w:tr>
        <w:trPr>
          <w:trHeight w:val="413" w:hRule="exact"/>
        </w:trPr>
        <w:tc>
          <w:tcPr>
            <w:tcW w:w="354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8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5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83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16,972,001.62</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9,809,086.13</w:t>
            </w:r>
          </w:p>
        </w:tc>
      </w:tr>
      <w:tr>
        <w:trPr>
          <w:trHeight w:val="408" w:hRule="exact"/>
        </w:trPr>
        <w:tc>
          <w:tcPr>
            <w:tcW w:w="35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83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-3,227,661.65</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-824,352.33</w:t>
            </w:r>
          </w:p>
        </w:tc>
      </w:tr>
      <w:tr>
        <w:trPr>
          <w:trHeight w:val="407" w:hRule="exact"/>
        </w:trPr>
        <w:tc>
          <w:tcPr>
            <w:tcW w:w="35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以前期间的税务亏损减少本期所得税费用</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-133,316.80</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54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28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13,611,023.17</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8,984,733.80</w:t>
            </w:r>
          </w:p>
        </w:tc>
      </w:tr>
    </w:tbl>
    <w:p>
      <w:pPr>
        <w:spacing w:before="72"/>
        <w:ind w:left="1134" w:right="0" w:firstLine="0"/>
        <w:jc w:val="left"/>
        <w:rPr>
          <w:rFonts w:ascii="宋体" w:hAnsi="宋体" w:cs="宋体" w:eastAsia="宋体" w:hint="default"/>
          <w:sz w:val="20"/>
          <w:szCs w:val="20"/>
        </w:rPr>
      </w:pPr>
      <w:bookmarkStart w:name="（2）会计利润与所得税费用调整过程" w:id="365"/>
      <w:bookmarkEnd w:id="365"/>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）会计利润与所得税费用调整过程</w:t>
      </w:r>
      <w:r>
        <w:rPr>
          <w:rFonts w:ascii="宋体" w:hAnsi="宋体" w:cs="宋体" w:eastAsia="宋体" w:hint="default"/>
          <w:sz w:val="20"/>
          <w:szCs w:val="20"/>
        </w:rPr>
      </w:r>
    </w:p>
    <w:p>
      <w:pPr>
        <w:spacing w:line="240" w:lineRule="auto" w:before="8"/>
        <w:rPr>
          <w:rFonts w:ascii="宋体" w:hAnsi="宋体" w:cs="宋体" w:eastAsia="宋体" w:hint="default"/>
          <w:b/>
          <w:bCs/>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25" w:type="dxa"/>
        <w:tblLayout w:type="fixed"/>
        <w:tblCellMar>
          <w:top w:w="0" w:type="dxa"/>
          <w:left w:w="0" w:type="dxa"/>
          <w:bottom w:w="0" w:type="dxa"/>
          <w:right w:w="0" w:type="dxa"/>
        </w:tblCellMar>
        <w:tblLook w:val="01E0"/>
      </w:tblPr>
      <w:tblGrid>
        <w:gridCol w:w="4764"/>
        <w:gridCol w:w="4799"/>
      </w:tblGrid>
      <w:tr>
        <w:trPr>
          <w:trHeight w:val="491" w:hRule="exact"/>
        </w:trPr>
        <w:tc>
          <w:tcPr>
            <w:tcW w:w="476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79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88"/>
              <w:ind w:left="1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63,012,895.14</w:t>
            </w:r>
          </w:p>
        </w:tc>
      </w:tr>
      <w:tr>
        <w:trPr>
          <w:trHeight w:val="407" w:hRule="exact"/>
        </w:trPr>
        <w:tc>
          <w:tcPr>
            <w:tcW w:w="47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79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9,451,934.27</w:t>
            </w:r>
          </w:p>
        </w:tc>
      </w:tr>
      <w:tr>
        <w:trPr>
          <w:trHeight w:val="407" w:hRule="exact"/>
        </w:trPr>
        <w:tc>
          <w:tcPr>
            <w:tcW w:w="47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5,371,817.80</w:t>
            </w:r>
          </w:p>
        </w:tc>
      </w:tr>
      <w:tr>
        <w:trPr>
          <w:trHeight w:val="408" w:hRule="exact"/>
        </w:trPr>
        <w:tc>
          <w:tcPr>
            <w:tcW w:w="47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-1,428,049.32</w:t>
            </w:r>
          </w:p>
        </w:tc>
      </w:tr>
      <w:tr>
        <w:trPr>
          <w:trHeight w:val="407" w:hRule="exact"/>
        </w:trPr>
        <w:tc>
          <w:tcPr>
            <w:tcW w:w="47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-713,002.07</w:t>
            </w:r>
          </w:p>
        </w:tc>
      </w:tr>
      <w:tr>
        <w:trPr>
          <w:trHeight w:val="407" w:hRule="exact"/>
        </w:trPr>
        <w:tc>
          <w:tcPr>
            <w:tcW w:w="47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-1,090,033.65</w:t>
            </w:r>
          </w:p>
        </w:tc>
      </w:tr>
      <w:tr>
        <w:trPr>
          <w:trHeight w:val="719" w:hRule="exact"/>
        </w:trPr>
        <w:tc>
          <w:tcPr>
            <w:tcW w:w="47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0"/>
              <w:ind w:left="6" w:right="5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2,018,356.14</w:t>
            </w:r>
          </w:p>
        </w:tc>
      </w:tr>
      <w:tr>
        <w:trPr>
          <w:trHeight w:val="414" w:hRule="exact"/>
        </w:trPr>
        <w:tc>
          <w:tcPr>
            <w:tcW w:w="476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9"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13,611,023.17</w:t>
            </w:r>
          </w:p>
        </w:tc>
      </w:tr>
    </w:tbl>
    <w:p>
      <w:pPr>
        <w:pStyle w:val="BodyText"/>
        <w:spacing w:line="412" w:lineRule="auto" w:before="63"/>
        <w:ind w:right="1303"/>
        <w:jc w:val="left"/>
        <w:rPr>
          <w:rFonts w:ascii="宋体" w:hAnsi="宋体" w:cs="宋体" w:eastAsia="宋体" w:hint="default"/>
          <w:sz w:val="20"/>
          <w:szCs w:val="20"/>
        </w:rPr>
      </w:pPr>
      <w:r>
        <w:rPr/>
        <w:t>其他说明 本期所得税费用比上期增加</w:t>
      </w:r>
      <w:r>
        <w:rPr>
          <w:rFonts w:ascii="宋体" w:hAnsi="宋体" w:cs="宋体" w:eastAsia="宋体" w:hint="default"/>
        </w:rPr>
        <w:t>4,626,289.37</w:t>
      </w:r>
      <w:r>
        <w:rPr/>
        <w:t>元，增长比例为</w:t>
      </w:r>
      <w:r>
        <w:rPr>
          <w:rFonts w:ascii="宋体" w:hAnsi="宋体" w:cs="宋体" w:eastAsia="宋体" w:hint="default"/>
        </w:rPr>
        <w:t>51.49%</w:t>
      </w:r>
      <w:r>
        <w:rPr/>
        <w:t>，主要原因为本期合并范围增加所致。 </w:t>
      </w:r>
      <w:bookmarkStart w:name="72、其他综合收益" w:id="366"/>
      <w:bookmarkEnd w:id="366"/>
      <w:r>
        <w:rPr/>
      </w:r>
      <w:r>
        <w:rPr>
          <w:rFonts w:ascii="宋体" w:hAnsi="宋体" w:cs="宋体" w:eastAsia="宋体" w:hint="default"/>
          <w:b/>
          <w:bCs/>
          <w:sz w:val="20"/>
          <w:szCs w:val="20"/>
        </w:rPr>
        <w:t>72</w:t>
      </w:r>
      <w:r>
        <w:rPr>
          <w:rFonts w:ascii="宋体" w:hAnsi="宋体" w:cs="宋体" w:eastAsia="宋体" w:hint="default"/>
          <w:b/>
          <w:bCs/>
          <w:sz w:val="20"/>
          <w:szCs w:val="20"/>
        </w:rPr>
        <w:t>、其他综合收益</w:t>
      </w:r>
      <w:r>
        <w:rPr>
          <w:rFonts w:ascii="宋体" w:hAnsi="宋体" w:cs="宋体" w:eastAsia="宋体" w:hint="default"/>
          <w:sz w:val="20"/>
          <w:szCs w:val="20"/>
        </w:rPr>
      </w:r>
    </w:p>
    <w:p>
      <w:pPr>
        <w:pStyle w:val="BodyText"/>
        <w:spacing w:line="240" w:lineRule="auto" w:before="53"/>
        <w:ind w:left="1134" w:right="0"/>
        <w:jc w:val="left"/>
      </w:pPr>
      <w:r>
        <w:rPr/>
        <w:t>详见附注。</w:t>
      </w:r>
    </w:p>
    <w:p>
      <w:pPr>
        <w:spacing w:line="240" w:lineRule="auto" w:before="6"/>
        <w:rPr>
          <w:rFonts w:ascii="宋体" w:hAnsi="宋体" w:cs="宋体" w:eastAsia="宋体" w:hint="default"/>
          <w:sz w:val="15"/>
          <w:szCs w:val="15"/>
        </w:rPr>
      </w:pPr>
    </w:p>
    <w:p>
      <w:pPr>
        <w:spacing w:before="0"/>
        <w:ind w:left="1133" w:right="0" w:firstLine="0"/>
        <w:jc w:val="left"/>
        <w:rPr>
          <w:rFonts w:ascii="宋体" w:hAnsi="宋体" w:cs="宋体" w:eastAsia="宋体" w:hint="default"/>
          <w:sz w:val="20"/>
          <w:szCs w:val="20"/>
        </w:rPr>
      </w:pPr>
      <w:bookmarkStart w:name="73、现金流量表项目" w:id="367"/>
      <w:bookmarkEnd w:id="367"/>
      <w:r>
        <w:rPr/>
      </w:r>
      <w:r>
        <w:rPr>
          <w:rFonts w:ascii="宋体" w:hAnsi="宋体" w:cs="宋体" w:eastAsia="宋体" w:hint="default"/>
          <w:b/>
          <w:bCs/>
          <w:sz w:val="20"/>
          <w:szCs w:val="20"/>
        </w:rPr>
        <w:t>73</w:t>
      </w:r>
      <w:r>
        <w:rPr>
          <w:rFonts w:ascii="宋体" w:hAnsi="宋体" w:cs="宋体" w:eastAsia="宋体" w:hint="default"/>
          <w:b/>
          <w:bCs/>
          <w:sz w:val="20"/>
          <w:szCs w:val="20"/>
        </w:rPr>
        <w:t>、现金流量表项目</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3" w:right="0" w:firstLine="0"/>
        <w:jc w:val="left"/>
        <w:rPr>
          <w:rFonts w:ascii="宋体" w:hAnsi="宋体" w:cs="宋体" w:eastAsia="宋体" w:hint="default"/>
          <w:sz w:val="20"/>
          <w:szCs w:val="20"/>
        </w:rPr>
      </w:pPr>
      <w:bookmarkStart w:name="（1）收到的其他与经营活动有关的现金" w:id="368"/>
      <w:bookmarkEnd w:id="368"/>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）收到的其他与经营活动有关的现金</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405"/>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5,509,400.00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25,291,800.00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3,212,573.13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7,359,853.94</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员工还款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5,260,345.43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9,951,306.34</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收回保证金</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70,179,694.60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17,546,148.68</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95,062,843.24</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57,096,827.00</w:t>
            </w:r>
          </w:p>
        </w:tc>
      </w:tr>
      <w:tr>
        <w:trPr>
          <w:trHeight w:val="416"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1405"/>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179,224,856.40</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117,245,935.96</w:t>
            </w:r>
          </w:p>
        </w:tc>
      </w:tr>
    </w:tbl>
    <w:p>
      <w:pPr>
        <w:pStyle w:val="BodyText"/>
        <w:spacing w:line="240" w:lineRule="auto" w:before="63"/>
        <w:ind w:left="1134" w:right="0"/>
        <w:jc w:val="left"/>
      </w:pPr>
      <w:r>
        <w:rPr/>
        <w:t>收到的其他与经营活动有关的现金说明：</w:t>
      </w:r>
    </w:p>
    <w:p>
      <w:pPr>
        <w:spacing w:line="240" w:lineRule="auto" w:before="0"/>
        <w:rPr>
          <w:rFonts w:ascii="宋体" w:hAnsi="宋体" w:cs="宋体" w:eastAsia="宋体" w:hint="default"/>
          <w:sz w:val="20"/>
          <w:szCs w:val="20"/>
        </w:rPr>
      </w:pPr>
    </w:p>
    <w:p>
      <w:pPr>
        <w:spacing w:before="164"/>
        <w:ind w:left="1134" w:right="0" w:firstLine="0"/>
        <w:jc w:val="left"/>
        <w:rPr>
          <w:rFonts w:ascii="宋体" w:hAnsi="宋体" w:cs="宋体" w:eastAsia="宋体" w:hint="default"/>
          <w:sz w:val="20"/>
          <w:szCs w:val="20"/>
        </w:rPr>
      </w:pPr>
      <w:bookmarkStart w:name="（2）支付的其他与经营活动有关的现金" w:id="369"/>
      <w:bookmarkEnd w:id="369"/>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）支付的其他与经营活动有关的现金</w:t>
      </w:r>
      <w:r>
        <w:rPr>
          <w:rFonts w:ascii="宋体" w:hAnsi="宋体" w:cs="宋体" w:eastAsia="宋体" w:hint="default"/>
          <w:sz w:val="20"/>
          <w:szCs w:val="20"/>
        </w:rPr>
      </w:r>
    </w:p>
    <w:p>
      <w:pPr>
        <w:spacing w:line="240" w:lineRule="auto" w:before="9"/>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36,109,322.85</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25,959,821.09</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21,705,853.19</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12,072,156.23</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374,911.28</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250,146.34</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8,072,174.64</w:t>
            </w:r>
          </w:p>
        </w:tc>
        <w:tc>
          <w:tcPr>
            <w:tcW w:w="318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7,349,663.87</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支付保证金</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82,345,600.46</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16,476,808.53</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捐赠</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500,000.00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50,000.00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21,390,390.75</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49,332,631.00</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170,498,253.17</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111,491,227.06</w:t>
            </w:r>
          </w:p>
        </w:tc>
      </w:tr>
    </w:tbl>
    <w:p>
      <w:pPr>
        <w:spacing w:line="240" w:lineRule="auto" w:before="8"/>
        <w:rPr>
          <w:rFonts w:ascii="宋体" w:hAnsi="宋体" w:cs="宋体" w:eastAsia="宋体" w:hint="default"/>
          <w:sz w:val="19"/>
          <w:szCs w:val="19"/>
        </w:rPr>
      </w:pPr>
    </w:p>
    <w:p>
      <w:pPr>
        <w:spacing w:before="38"/>
        <w:ind w:left="1134" w:right="0" w:firstLine="0"/>
        <w:jc w:val="left"/>
        <w:rPr>
          <w:rFonts w:ascii="宋体" w:hAnsi="宋体" w:cs="宋体" w:eastAsia="宋体" w:hint="default"/>
          <w:sz w:val="20"/>
          <w:szCs w:val="20"/>
        </w:rPr>
      </w:pPr>
      <w:bookmarkStart w:name="（3）收到的其他与投资活动有关的现金" w:id="370"/>
      <w:bookmarkEnd w:id="370"/>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）收到的其他与投资活动有关的现金</w:t>
      </w:r>
      <w:r>
        <w:rPr>
          <w:rFonts w:ascii="宋体" w:hAnsi="宋体" w:cs="宋体" w:eastAsia="宋体" w:hint="default"/>
          <w:sz w:val="20"/>
          <w:szCs w:val="20"/>
        </w:rPr>
      </w:r>
    </w:p>
    <w:p>
      <w:pPr>
        <w:spacing w:line="240" w:lineRule="auto" w:before="9"/>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3"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前期购买固定资产多付款项的退回</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16,050.00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购买日子公司持有的现金及现金等价物</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110,341,327.92</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110,357,377.92</w:t>
            </w:r>
          </w:p>
        </w:tc>
      </w:tr>
    </w:tbl>
    <w:p>
      <w:pPr>
        <w:spacing w:before="72"/>
        <w:ind w:left="1134" w:right="0" w:firstLine="0"/>
        <w:jc w:val="left"/>
        <w:rPr>
          <w:rFonts w:ascii="宋体" w:hAnsi="宋体" w:cs="宋体" w:eastAsia="宋体" w:hint="default"/>
          <w:sz w:val="20"/>
          <w:szCs w:val="20"/>
        </w:rPr>
      </w:pPr>
      <w:bookmarkStart w:name="（4）支付的其他与投资活动有关的现金" w:id="371"/>
      <w:bookmarkEnd w:id="371"/>
      <w:r>
        <w:rPr/>
      </w: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）支付的其他与投资活动有关的现金</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5）收到的其他与筹资活动有关的现金" w:id="372"/>
      <w:bookmarkEnd w:id="372"/>
      <w:r>
        <w:rPr/>
      </w:r>
      <w:r>
        <w:rPr>
          <w:rFonts w:ascii="宋体" w:hAnsi="宋体" w:cs="宋体" w:eastAsia="宋体" w:hint="default"/>
          <w:b/>
          <w:bCs/>
          <w:sz w:val="20"/>
          <w:szCs w:val="20"/>
        </w:rPr>
        <w:t>（</w:t>
      </w:r>
      <w:r>
        <w:rPr>
          <w:rFonts w:ascii="宋体" w:hAnsi="宋体" w:cs="宋体" w:eastAsia="宋体" w:hint="default"/>
          <w:b/>
          <w:bCs/>
          <w:sz w:val="20"/>
          <w:szCs w:val="20"/>
        </w:rPr>
        <w:t>5</w:t>
      </w:r>
      <w:r>
        <w:rPr>
          <w:rFonts w:ascii="宋体" w:hAnsi="宋体" w:cs="宋体" w:eastAsia="宋体" w:hint="default"/>
          <w:b/>
          <w:bCs/>
          <w:sz w:val="20"/>
          <w:szCs w:val="20"/>
        </w:rPr>
        <w:t>）收到的其他与筹资活动有关的现金</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7"/>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6）支付的其他与筹资活动有关的现金" w:id="373"/>
      <w:bookmarkEnd w:id="373"/>
      <w:r>
        <w:rPr/>
      </w:r>
      <w:r>
        <w:rPr>
          <w:rFonts w:ascii="宋体" w:hAnsi="宋体" w:cs="宋体" w:eastAsia="宋体" w:hint="default"/>
          <w:b/>
          <w:bCs/>
          <w:sz w:val="20"/>
          <w:szCs w:val="20"/>
        </w:rPr>
        <w:t>（</w:t>
      </w:r>
      <w:r>
        <w:rPr>
          <w:rFonts w:ascii="宋体" w:hAnsi="宋体" w:cs="宋体" w:eastAsia="宋体" w:hint="default"/>
          <w:b/>
          <w:bCs/>
          <w:sz w:val="20"/>
          <w:szCs w:val="20"/>
        </w:rPr>
        <w:t>6</w:t>
      </w:r>
      <w:r>
        <w:rPr>
          <w:rFonts w:ascii="宋体" w:hAnsi="宋体" w:cs="宋体" w:eastAsia="宋体" w:hint="default"/>
          <w:b/>
          <w:bCs/>
          <w:sz w:val="20"/>
          <w:szCs w:val="20"/>
        </w:rPr>
        <w:t>）支付的其他与筹资活动有关的现金</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3"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405"/>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分红代扣手续费</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192,373.85</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18,970.86</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上市中介服务费</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105,000.00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7,768,000.00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并购中介费用</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4,700,000.00</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1405"/>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4,997,373.85</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7,786,970.86</w:t>
            </w:r>
          </w:p>
        </w:tc>
      </w:tr>
    </w:tbl>
    <w:p>
      <w:pPr>
        <w:spacing w:before="72"/>
        <w:ind w:left="1134" w:right="0" w:firstLine="0"/>
        <w:jc w:val="left"/>
        <w:rPr>
          <w:rFonts w:ascii="宋体" w:hAnsi="宋体" w:cs="宋体" w:eastAsia="宋体" w:hint="default"/>
          <w:sz w:val="20"/>
          <w:szCs w:val="20"/>
        </w:rPr>
      </w:pPr>
      <w:bookmarkStart w:name="74、现金流量表补充资料" w:id="374"/>
      <w:bookmarkEnd w:id="374"/>
      <w:r>
        <w:rPr/>
      </w:r>
      <w:r>
        <w:rPr>
          <w:rFonts w:ascii="宋体" w:hAnsi="宋体" w:cs="宋体" w:eastAsia="宋体" w:hint="default"/>
          <w:b/>
          <w:bCs/>
          <w:sz w:val="20"/>
          <w:szCs w:val="20"/>
        </w:rPr>
        <w:t>74</w:t>
      </w:r>
      <w:r>
        <w:rPr>
          <w:rFonts w:ascii="宋体" w:hAnsi="宋体" w:cs="宋体" w:eastAsia="宋体" w:hint="default"/>
          <w:b/>
          <w:bCs/>
          <w:sz w:val="20"/>
          <w:szCs w:val="20"/>
        </w:rPr>
        <w:t>、现金流量表补充资料</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现金流量表补充资料" w:id="375"/>
      <w:bookmarkEnd w:id="375"/>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）现金流量表补充资料</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3670"/>
        <w:gridCol w:w="2952"/>
        <w:gridCol w:w="2940"/>
      </w:tblGrid>
      <w:tr>
        <w:trPr>
          <w:trHeight w:val="415" w:hRule="exact"/>
        </w:trPr>
        <w:tc>
          <w:tcPr>
            <w:tcW w:w="367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95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94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7" w:hRule="exact"/>
        </w:trPr>
        <w:tc>
          <w:tcPr>
            <w:tcW w:w="367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9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sz w:val="18"/>
              </w:rPr>
              <w:t>--</w:t>
            </w:r>
          </w:p>
        </w:tc>
        <w:tc>
          <w:tcPr>
            <w:tcW w:w="2940"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sz w:val="18"/>
              </w:rPr>
              <w:t>--</w:t>
            </w:r>
          </w:p>
        </w:tc>
      </w:tr>
      <w:tr>
        <w:trPr>
          <w:trHeight w:val="407" w:hRule="exact"/>
        </w:trPr>
        <w:tc>
          <w:tcPr>
            <w:tcW w:w="367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9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49,401,871.97</w:t>
            </w:r>
          </w:p>
        </w:tc>
        <w:tc>
          <w:tcPr>
            <w:tcW w:w="29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29,343,535.50</w:t>
            </w:r>
          </w:p>
        </w:tc>
      </w:tr>
      <w:tr>
        <w:trPr>
          <w:trHeight w:val="408" w:hRule="exact"/>
        </w:trPr>
        <w:tc>
          <w:tcPr>
            <w:tcW w:w="367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9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16,401,601.81</w:t>
            </w:r>
          </w:p>
        </w:tc>
        <w:tc>
          <w:tcPr>
            <w:tcW w:w="29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5,415,834.58</w:t>
            </w:r>
          </w:p>
        </w:tc>
      </w:tr>
      <w:tr>
        <w:trPr>
          <w:trHeight w:val="719" w:hRule="exact"/>
        </w:trPr>
        <w:tc>
          <w:tcPr>
            <w:tcW w:w="367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0"/>
              <w:ind w:left="6" w:right="39"/>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 产折旧</w:t>
            </w:r>
          </w:p>
        </w:tc>
        <w:tc>
          <w:tcPr>
            <w:tcW w:w="295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20,570,387.06</w:t>
            </w:r>
          </w:p>
        </w:tc>
        <w:tc>
          <w:tcPr>
            <w:tcW w:w="29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10,639,737.18</w:t>
            </w:r>
          </w:p>
        </w:tc>
      </w:tr>
      <w:tr>
        <w:trPr>
          <w:trHeight w:val="414" w:hRule="exact"/>
        </w:trPr>
        <w:tc>
          <w:tcPr>
            <w:tcW w:w="367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952"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5,700,664.66</w:t>
            </w:r>
          </w:p>
        </w:tc>
        <w:tc>
          <w:tcPr>
            <w:tcW w:w="294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828,489.96</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r>
        <w:rPr/>
        <w:pict>
          <v:group style="position:absolute;margin-left:241.399994pt;margin-top:271.72998pt;width:145.3pt;height:41pt;mso-position-horizontal-relative:page;mso-position-vertical-relative:page;z-index:-917032" coordorigin="4828,5435" coordsize="2906,820">
            <v:group style="position:absolute;left:4838;top:5445;width:2;height:393" coordorigin="4838,5445" coordsize="2,393">
              <v:shape style="position:absolute;left:4838;top:5445;width:2;height:393" coordorigin="4838,5445" coordsize="0,393" path="m4838,5445l4838,5837e" filled="false" stroked="true" strokeweight="1.02pt" strokecolor="#ffffff">
                <v:path arrowok="t"/>
              </v:shape>
            </v:group>
            <v:group style="position:absolute;left:4848;top:5445;width:2886;height:393" coordorigin="4848,5445" coordsize="2886,393">
              <v:shape style="position:absolute;left:4848;top:5445;width:2886;height:393" coordorigin="4848,5445" coordsize="2886,393" path="m4848,5837l7734,5837,7734,5445,4848,5445,4848,5837xe" filled="true" fillcolor="#ffffff" stroked="false">
                <v:path arrowok="t"/>
                <v:fill type="solid"/>
              </v:shape>
            </v:group>
            <v:group style="position:absolute;left:4838;top:5853;width:2;height:392" coordorigin="4838,5853" coordsize="2,392">
              <v:shape style="position:absolute;left:4838;top:5853;width:2;height:392" coordorigin="4838,5853" coordsize="0,392" path="m4838,5853l4838,6244e" filled="false" stroked="true" strokeweight="1.02pt" strokecolor="#ffffff">
                <v:path arrowok="t"/>
              </v:shape>
            </v:group>
            <v:group style="position:absolute;left:4848;top:5853;width:2886;height:392" coordorigin="4848,5853" coordsize="2886,392">
              <v:shape style="position:absolute;left:4848;top:5853;width:2886;height:392" coordorigin="4848,5853" coordsize="2886,392" path="m4848,6244l7734,6244,7734,5853,4848,5853,4848,6244xe" filled="true" fillcolor="#ffffff" stroked="false">
                <v:path arrowok="t"/>
                <v:fill type="solid"/>
              </v:shape>
            </v:group>
            <w10:wrap type="none"/>
          </v:group>
        </w:pict>
      </w:r>
    </w:p>
    <w:tbl>
      <w:tblPr>
        <w:tblW w:w="0" w:type="auto"/>
        <w:jc w:val="left"/>
        <w:tblInd w:w="1125" w:type="dxa"/>
        <w:tblLayout w:type="fixed"/>
        <w:tblCellMar>
          <w:top w:w="0" w:type="dxa"/>
          <w:left w:w="0" w:type="dxa"/>
          <w:bottom w:w="0" w:type="dxa"/>
          <w:right w:w="0" w:type="dxa"/>
        </w:tblCellMar>
        <w:tblLook w:val="01E0"/>
      </w:tblPr>
      <w:tblGrid>
        <w:gridCol w:w="3670"/>
        <w:gridCol w:w="823"/>
        <w:gridCol w:w="2130"/>
        <w:gridCol w:w="2940"/>
      </w:tblGrid>
      <w:tr>
        <w:trPr>
          <w:trHeight w:val="415" w:hRule="exact"/>
        </w:trPr>
        <w:tc>
          <w:tcPr>
            <w:tcW w:w="367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952" w:type="dxa"/>
            <w:gridSpan w:val="2"/>
            <w:tcBorders>
              <w:top w:val="single" w:sz="12"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513,541.67</w:t>
            </w:r>
          </w:p>
        </w:tc>
        <w:tc>
          <w:tcPr>
            <w:tcW w:w="294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323,304.57</w:t>
            </w:r>
          </w:p>
        </w:tc>
      </w:tr>
      <w:tr>
        <w:trPr>
          <w:trHeight w:val="719" w:hRule="exact"/>
        </w:trPr>
        <w:tc>
          <w:tcPr>
            <w:tcW w:w="367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0"/>
              <w:ind w:left="6" w:right="39"/>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 失（收益以“－”号填列）</w:t>
            </w:r>
          </w:p>
        </w:tc>
        <w:tc>
          <w:tcPr>
            <w:tcW w:w="2952"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418,571.25</w:t>
            </w:r>
          </w:p>
        </w:tc>
        <w:tc>
          <w:tcPr>
            <w:tcW w:w="29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16,469.78</w:t>
            </w:r>
          </w:p>
        </w:tc>
      </w:tr>
      <w:tr>
        <w:trPr>
          <w:trHeight w:val="407" w:hRule="exact"/>
        </w:trPr>
        <w:tc>
          <w:tcPr>
            <w:tcW w:w="367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952"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294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67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952"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0.00</w:t>
            </w:r>
          </w:p>
        </w:tc>
        <w:tc>
          <w:tcPr>
            <w:tcW w:w="29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-596.58</w:t>
            </w:r>
          </w:p>
        </w:tc>
      </w:tr>
      <w:tr>
        <w:trPr>
          <w:trHeight w:val="407" w:hRule="exact"/>
        </w:trPr>
        <w:tc>
          <w:tcPr>
            <w:tcW w:w="367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952"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left="1825" w:right="0"/>
              <w:jc w:val="left"/>
              <w:rPr>
                <w:rFonts w:ascii="宋体" w:hAnsi="宋体" w:cs="宋体" w:eastAsia="宋体" w:hint="default"/>
                <w:sz w:val="18"/>
                <w:szCs w:val="18"/>
              </w:rPr>
            </w:pPr>
            <w:r>
              <w:rPr>
                <w:rFonts w:ascii="宋体"/>
                <w:sz w:val="18"/>
              </w:rPr>
              <w:t>9,903,512.62</w:t>
            </w:r>
          </w:p>
        </w:tc>
        <w:tc>
          <w:tcPr>
            <w:tcW w:w="29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7,088,083.11</w:t>
            </w:r>
          </w:p>
        </w:tc>
      </w:tr>
      <w:tr>
        <w:trPr>
          <w:trHeight w:val="407" w:hRule="exact"/>
        </w:trPr>
        <w:tc>
          <w:tcPr>
            <w:tcW w:w="367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952"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760,715.17</w:t>
            </w:r>
          </w:p>
        </w:tc>
        <w:tc>
          <w:tcPr>
            <w:tcW w:w="2940"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67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952"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left="1735" w:right="0"/>
              <w:jc w:val="left"/>
              <w:rPr>
                <w:rFonts w:ascii="宋体" w:hAnsi="宋体" w:cs="宋体" w:eastAsia="宋体" w:hint="default"/>
                <w:sz w:val="18"/>
                <w:szCs w:val="18"/>
              </w:rPr>
            </w:pPr>
            <w:r>
              <w:rPr>
                <w:rFonts w:ascii="宋体"/>
                <w:sz w:val="18"/>
              </w:rPr>
              <w:t>-2,383,535.60</w:t>
            </w:r>
          </w:p>
        </w:tc>
        <w:tc>
          <w:tcPr>
            <w:tcW w:w="29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-737,143.70</w:t>
            </w:r>
          </w:p>
        </w:tc>
      </w:tr>
      <w:tr>
        <w:trPr>
          <w:trHeight w:val="407" w:hRule="exact"/>
        </w:trPr>
        <w:tc>
          <w:tcPr>
            <w:tcW w:w="367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952"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left="1915" w:right="0"/>
              <w:jc w:val="left"/>
              <w:rPr>
                <w:rFonts w:ascii="宋体" w:hAnsi="宋体" w:cs="宋体" w:eastAsia="宋体" w:hint="default"/>
                <w:sz w:val="18"/>
                <w:szCs w:val="18"/>
              </w:rPr>
            </w:pPr>
            <w:r>
              <w:rPr>
                <w:rFonts w:ascii="宋体"/>
                <w:sz w:val="18"/>
              </w:rPr>
              <w:t>-921,006.45</w:t>
            </w:r>
          </w:p>
        </w:tc>
        <w:tc>
          <w:tcPr>
            <w:tcW w:w="294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67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952"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left="1645" w:right="0"/>
              <w:jc w:val="left"/>
              <w:rPr>
                <w:rFonts w:ascii="宋体" w:hAnsi="宋体" w:cs="宋体" w:eastAsia="宋体" w:hint="default"/>
                <w:sz w:val="18"/>
                <w:szCs w:val="18"/>
              </w:rPr>
            </w:pPr>
            <w:r>
              <w:rPr>
                <w:rFonts w:ascii="宋体"/>
                <w:sz w:val="18"/>
              </w:rPr>
              <w:t>-31,853,808.80</w:t>
            </w:r>
          </w:p>
        </w:tc>
        <w:tc>
          <w:tcPr>
            <w:tcW w:w="29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-30,711,530.66</w:t>
            </w:r>
          </w:p>
        </w:tc>
      </w:tr>
      <w:tr>
        <w:trPr>
          <w:trHeight w:val="407" w:hRule="exact"/>
        </w:trPr>
        <w:tc>
          <w:tcPr>
            <w:tcW w:w="367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经营性应收项目的减少（增加以“－”号填列</w:t>
            </w:r>
          </w:p>
        </w:tc>
        <w:tc>
          <w:tcPr>
            <w:tcW w:w="823" w:type="dxa"/>
            <w:tcBorders>
              <w:top w:val="single" w:sz="6" w:space="0" w:color="000000"/>
              <w:left w:val="single" w:sz="14" w:space="0" w:color="D2D2D2"/>
              <w:bottom w:val="single" w:sz="6" w:space="0" w:color="000000"/>
              <w:right w:val="nil" w:sz="6" w:space="0" w:color="auto"/>
            </w:tcBorders>
          </w:tcPr>
          <w:p>
            <w:pPr>
              <w:pStyle w:val="TableParagraph"/>
              <w:spacing w:line="240" w:lineRule="auto" w:before="50"/>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21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-128,430,556.02</w:t>
            </w:r>
          </w:p>
        </w:tc>
        <w:tc>
          <w:tcPr>
            <w:tcW w:w="29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-44,965,189.05</w:t>
            </w:r>
          </w:p>
        </w:tc>
      </w:tr>
      <w:tr>
        <w:trPr>
          <w:trHeight w:val="407" w:hRule="exact"/>
        </w:trPr>
        <w:tc>
          <w:tcPr>
            <w:tcW w:w="367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经营性应付项目的增加（减少以“－”号填列</w:t>
            </w:r>
          </w:p>
        </w:tc>
        <w:tc>
          <w:tcPr>
            <w:tcW w:w="823" w:type="dxa"/>
            <w:tcBorders>
              <w:top w:val="single" w:sz="6" w:space="0" w:color="000000"/>
              <w:left w:val="single" w:sz="14" w:space="0" w:color="D2D2D2"/>
              <w:bottom w:val="single" w:sz="6" w:space="0" w:color="000000"/>
              <w:right w:val="nil" w:sz="6" w:space="0" w:color="auto"/>
            </w:tcBorders>
          </w:tcPr>
          <w:p>
            <w:pPr>
              <w:pStyle w:val="TableParagraph"/>
              <w:spacing w:line="240" w:lineRule="auto" w:before="52"/>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21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85,306,352.11</w:t>
            </w:r>
          </w:p>
        </w:tc>
        <w:tc>
          <w:tcPr>
            <w:tcW w:w="29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10,791,945.83</w:t>
            </w:r>
          </w:p>
        </w:tc>
      </w:tr>
      <w:tr>
        <w:trPr>
          <w:trHeight w:val="407" w:hRule="exact"/>
        </w:trPr>
        <w:tc>
          <w:tcPr>
            <w:tcW w:w="367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952"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left="1735" w:right="0"/>
              <w:jc w:val="left"/>
              <w:rPr>
                <w:rFonts w:ascii="宋体" w:hAnsi="宋体" w:cs="宋体" w:eastAsia="宋体" w:hint="default"/>
                <w:sz w:val="18"/>
                <w:szCs w:val="18"/>
              </w:rPr>
            </w:pPr>
            <w:r>
              <w:rPr>
                <w:rFonts w:ascii="宋体"/>
                <w:sz w:val="18"/>
              </w:rPr>
              <w:t>25,388,311.45</w:t>
            </w:r>
          </w:p>
        </w:tc>
        <w:tc>
          <w:tcPr>
            <w:tcW w:w="29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-11,967,059.48</w:t>
            </w:r>
          </w:p>
        </w:tc>
      </w:tr>
      <w:tr>
        <w:trPr>
          <w:trHeight w:val="408" w:hRule="exact"/>
        </w:trPr>
        <w:tc>
          <w:tcPr>
            <w:tcW w:w="367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95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sz w:val="18"/>
              </w:rPr>
              <w:t>--</w:t>
            </w:r>
          </w:p>
        </w:tc>
        <w:tc>
          <w:tcPr>
            <w:tcW w:w="2940"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1373" w:right="0"/>
              <w:jc w:val="left"/>
              <w:rPr>
                <w:rFonts w:ascii="宋体" w:hAnsi="宋体" w:cs="宋体" w:eastAsia="宋体" w:hint="default"/>
                <w:sz w:val="18"/>
                <w:szCs w:val="18"/>
              </w:rPr>
            </w:pPr>
            <w:r>
              <w:rPr>
                <w:rFonts w:ascii="宋体"/>
                <w:sz w:val="18"/>
              </w:rPr>
              <w:t>--</w:t>
            </w:r>
          </w:p>
        </w:tc>
      </w:tr>
      <w:tr>
        <w:trPr>
          <w:trHeight w:val="407" w:hRule="exact"/>
        </w:trPr>
        <w:tc>
          <w:tcPr>
            <w:tcW w:w="367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95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sz w:val="18"/>
              </w:rPr>
              <w:t>--</w:t>
            </w:r>
          </w:p>
        </w:tc>
        <w:tc>
          <w:tcPr>
            <w:tcW w:w="2940"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1373" w:right="0"/>
              <w:jc w:val="left"/>
              <w:rPr>
                <w:rFonts w:ascii="宋体" w:hAnsi="宋体" w:cs="宋体" w:eastAsia="宋体" w:hint="default"/>
                <w:sz w:val="18"/>
                <w:szCs w:val="18"/>
              </w:rPr>
            </w:pPr>
            <w:r>
              <w:rPr>
                <w:rFonts w:ascii="宋体"/>
                <w:sz w:val="18"/>
              </w:rPr>
              <w:t>--</w:t>
            </w:r>
          </w:p>
        </w:tc>
      </w:tr>
      <w:tr>
        <w:trPr>
          <w:trHeight w:val="407" w:hRule="exact"/>
        </w:trPr>
        <w:tc>
          <w:tcPr>
            <w:tcW w:w="367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952"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left="1645" w:right="0"/>
              <w:jc w:val="left"/>
              <w:rPr>
                <w:rFonts w:ascii="宋体" w:hAnsi="宋体" w:cs="宋体" w:eastAsia="宋体" w:hint="default"/>
                <w:sz w:val="18"/>
                <w:szCs w:val="18"/>
              </w:rPr>
            </w:pPr>
            <w:r>
              <w:rPr>
                <w:rFonts w:ascii="宋体"/>
                <w:sz w:val="18"/>
              </w:rPr>
              <w:t>192,835,261.45</w:t>
            </w:r>
          </w:p>
        </w:tc>
        <w:tc>
          <w:tcPr>
            <w:tcW w:w="29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354,576,465.03</w:t>
            </w:r>
          </w:p>
        </w:tc>
      </w:tr>
      <w:tr>
        <w:trPr>
          <w:trHeight w:val="407" w:hRule="exact"/>
        </w:trPr>
        <w:tc>
          <w:tcPr>
            <w:tcW w:w="367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952"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left="1645" w:right="0"/>
              <w:jc w:val="left"/>
              <w:rPr>
                <w:rFonts w:ascii="宋体" w:hAnsi="宋体" w:cs="宋体" w:eastAsia="宋体" w:hint="default"/>
                <w:sz w:val="18"/>
                <w:szCs w:val="18"/>
              </w:rPr>
            </w:pPr>
            <w:r>
              <w:rPr>
                <w:rFonts w:ascii="宋体"/>
                <w:sz w:val="18"/>
              </w:rPr>
              <w:t>354,576,465.03</w:t>
            </w:r>
          </w:p>
        </w:tc>
        <w:tc>
          <w:tcPr>
            <w:tcW w:w="29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335,837,008.73</w:t>
            </w:r>
          </w:p>
        </w:tc>
      </w:tr>
      <w:tr>
        <w:trPr>
          <w:trHeight w:val="414" w:hRule="exact"/>
        </w:trPr>
        <w:tc>
          <w:tcPr>
            <w:tcW w:w="367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952" w:type="dxa"/>
            <w:gridSpan w:val="2"/>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left="1555" w:right="0"/>
              <w:jc w:val="left"/>
              <w:rPr>
                <w:rFonts w:ascii="宋体" w:hAnsi="宋体" w:cs="宋体" w:eastAsia="宋体" w:hint="default"/>
                <w:sz w:val="18"/>
                <w:szCs w:val="18"/>
              </w:rPr>
            </w:pPr>
            <w:r>
              <w:rPr>
                <w:rFonts w:ascii="宋体"/>
                <w:sz w:val="18"/>
              </w:rPr>
              <w:t>-161,741,203.58</w:t>
            </w:r>
          </w:p>
        </w:tc>
        <w:tc>
          <w:tcPr>
            <w:tcW w:w="294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18,739,456.30</w:t>
            </w:r>
          </w:p>
        </w:tc>
      </w:tr>
    </w:tbl>
    <w:p>
      <w:pPr>
        <w:spacing w:before="72"/>
        <w:ind w:left="1134" w:right="0" w:firstLine="0"/>
        <w:jc w:val="left"/>
        <w:rPr>
          <w:rFonts w:ascii="宋体" w:hAnsi="宋体" w:cs="宋体" w:eastAsia="宋体" w:hint="default"/>
          <w:sz w:val="20"/>
          <w:szCs w:val="20"/>
        </w:rPr>
      </w:pPr>
      <w:bookmarkStart w:name="（2）本期支付的取得子公司的现金净额" w:id="376"/>
      <w:bookmarkEnd w:id="376"/>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）本期支付的取得子公司的现金净额</w:t>
      </w:r>
      <w:r>
        <w:rPr>
          <w:rFonts w:ascii="宋体" w:hAnsi="宋体" w:cs="宋体" w:eastAsia="宋体" w:hint="default"/>
          <w:sz w:val="20"/>
          <w:szCs w:val="20"/>
        </w:rPr>
      </w:r>
    </w:p>
    <w:p>
      <w:pPr>
        <w:spacing w:line="240" w:lineRule="auto" w:before="8"/>
        <w:rPr>
          <w:rFonts w:ascii="宋体" w:hAnsi="宋体" w:cs="宋体" w:eastAsia="宋体" w:hint="default"/>
          <w:b/>
          <w:bCs/>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118" w:type="dxa"/>
        <w:tblLayout w:type="fixed"/>
        <w:tblCellMar>
          <w:top w:w="0" w:type="dxa"/>
          <w:left w:w="0" w:type="dxa"/>
          <w:bottom w:w="0" w:type="dxa"/>
          <w:right w:w="0" w:type="dxa"/>
        </w:tblCellMar>
        <w:tblLook w:val="01E0"/>
      </w:tblPr>
      <w:tblGrid>
        <w:gridCol w:w="4990"/>
        <w:gridCol w:w="4579"/>
      </w:tblGrid>
      <w:tr>
        <w:trPr>
          <w:trHeight w:val="415" w:hRule="exact"/>
        </w:trPr>
        <w:tc>
          <w:tcPr>
            <w:tcW w:w="4990"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457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9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7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30,118,950.00</w:t>
            </w:r>
          </w:p>
        </w:tc>
      </w:tr>
      <w:tr>
        <w:trPr>
          <w:trHeight w:val="406" w:hRule="exact"/>
        </w:trPr>
        <w:tc>
          <w:tcPr>
            <w:tcW w:w="49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sz w:val="18"/>
              </w:rPr>
              <w:t>--</w:t>
            </w:r>
          </w:p>
        </w:tc>
      </w:tr>
      <w:tr>
        <w:trPr>
          <w:trHeight w:val="407" w:hRule="exact"/>
        </w:trPr>
        <w:tc>
          <w:tcPr>
            <w:tcW w:w="4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c>
          <w:tcPr>
            <w:tcW w:w="45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18,521,750.00</w:t>
            </w:r>
          </w:p>
        </w:tc>
      </w:tr>
      <w:tr>
        <w:trPr>
          <w:trHeight w:val="409" w:hRule="exact"/>
        </w:trPr>
        <w:tc>
          <w:tcPr>
            <w:tcW w:w="4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江苏德能电气工程有限公司</w:t>
            </w:r>
          </w:p>
        </w:tc>
        <w:tc>
          <w:tcPr>
            <w:tcW w:w="45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11,597,200.00</w:t>
            </w:r>
          </w:p>
        </w:tc>
      </w:tr>
      <w:tr>
        <w:trPr>
          <w:trHeight w:val="407" w:hRule="exact"/>
        </w:trPr>
        <w:tc>
          <w:tcPr>
            <w:tcW w:w="49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7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5,018,128.00</w:t>
            </w:r>
          </w:p>
        </w:tc>
      </w:tr>
      <w:tr>
        <w:trPr>
          <w:trHeight w:val="406" w:hRule="exact"/>
        </w:trPr>
        <w:tc>
          <w:tcPr>
            <w:tcW w:w="49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8" w:right="0"/>
              <w:jc w:val="center"/>
              <w:rPr>
                <w:rFonts w:ascii="宋体" w:hAnsi="宋体" w:cs="宋体" w:eastAsia="宋体" w:hint="default"/>
                <w:sz w:val="18"/>
                <w:szCs w:val="18"/>
              </w:rPr>
            </w:pPr>
            <w:r>
              <w:rPr>
                <w:rFonts w:ascii="宋体"/>
                <w:sz w:val="18"/>
              </w:rPr>
              <w:t>--</w:t>
            </w:r>
          </w:p>
        </w:tc>
      </w:tr>
      <w:tr>
        <w:trPr>
          <w:trHeight w:val="407" w:hRule="exact"/>
        </w:trPr>
        <w:tc>
          <w:tcPr>
            <w:tcW w:w="4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c>
          <w:tcPr>
            <w:tcW w:w="45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570,199.56</w:t>
            </w:r>
          </w:p>
        </w:tc>
      </w:tr>
      <w:tr>
        <w:trPr>
          <w:trHeight w:val="407" w:hRule="exact"/>
        </w:trPr>
        <w:tc>
          <w:tcPr>
            <w:tcW w:w="4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江苏德能电气工程有限公司</w:t>
            </w:r>
          </w:p>
        </w:tc>
        <w:tc>
          <w:tcPr>
            <w:tcW w:w="45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4,447,928.44</w:t>
            </w:r>
          </w:p>
        </w:tc>
      </w:tr>
      <w:tr>
        <w:trPr>
          <w:trHeight w:val="407" w:hRule="exact"/>
        </w:trPr>
        <w:tc>
          <w:tcPr>
            <w:tcW w:w="49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7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101,871,402.97</w:t>
            </w:r>
          </w:p>
        </w:tc>
      </w:tr>
      <w:tr>
        <w:trPr>
          <w:trHeight w:val="408" w:hRule="exact"/>
        </w:trPr>
        <w:tc>
          <w:tcPr>
            <w:tcW w:w="49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sz w:val="18"/>
              </w:rPr>
              <w:t>--</w:t>
            </w:r>
          </w:p>
        </w:tc>
      </w:tr>
      <w:tr>
        <w:trPr>
          <w:trHeight w:val="407" w:hRule="exact"/>
        </w:trPr>
        <w:tc>
          <w:tcPr>
            <w:tcW w:w="49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45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101,871,402.97</w:t>
            </w:r>
          </w:p>
        </w:tc>
      </w:tr>
      <w:tr>
        <w:trPr>
          <w:trHeight w:val="414" w:hRule="exact"/>
        </w:trPr>
        <w:tc>
          <w:tcPr>
            <w:tcW w:w="499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79"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126,972,224.97</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3" w:right="0" w:firstLine="0"/>
        <w:jc w:val="left"/>
        <w:rPr>
          <w:rFonts w:ascii="宋体" w:hAnsi="宋体" w:cs="宋体" w:eastAsia="宋体" w:hint="default"/>
          <w:sz w:val="20"/>
          <w:szCs w:val="20"/>
        </w:rPr>
      </w:pPr>
      <w:bookmarkStart w:name="（3）本期收到的处置子公司的现金净额" w:id="377"/>
      <w:bookmarkEnd w:id="377"/>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）本期收到的处置子公司的现金净额</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11,250,000.00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南京宇能仪表有限公司</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11,250,000.00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11,250,000.00</w:t>
            </w:r>
          </w:p>
        </w:tc>
      </w:tr>
    </w:tbl>
    <w:p>
      <w:pPr>
        <w:spacing w:before="72"/>
        <w:ind w:left="1134" w:right="0" w:firstLine="0"/>
        <w:jc w:val="left"/>
        <w:rPr>
          <w:rFonts w:ascii="宋体" w:hAnsi="宋体" w:cs="宋体" w:eastAsia="宋体" w:hint="default"/>
          <w:sz w:val="20"/>
          <w:szCs w:val="20"/>
        </w:rPr>
      </w:pPr>
      <w:bookmarkStart w:name="（4）现金和现金等价物的构成" w:id="378"/>
      <w:bookmarkEnd w:id="378"/>
      <w:r>
        <w:rPr/>
      </w: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）现金和现金等价物的构成</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311"/>
        <w:gridCol w:w="3068"/>
        <w:gridCol w:w="3183"/>
      </w:tblGrid>
      <w:tr>
        <w:trPr>
          <w:trHeight w:val="413" w:hRule="exact"/>
        </w:trPr>
        <w:tc>
          <w:tcPr>
            <w:tcW w:w="331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3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192,835,261.45</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354,576,465.03</w:t>
            </w:r>
          </w:p>
        </w:tc>
      </w:tr>
      <w:tr>
        <w:trPr>
          <w:trHeight w:val="408" w:hRule="exact"/>
        </w:trPr>
        <w:tc>
          <w:tcPr>
            <w:tcW w:w="33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214,817.58</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161,167.83</w:t>
            </w:r>
          </w:p>
        </w:tc>
      </w:tr>
      <w:tr>
        <w:trPr>
          <w:trHeight w:val="407" w:hRule="exact"/>
        </w:trPr>
        <w:tc>
          <w:tcPr>
            <w:tcW w:w="33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192,620,443.87</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354,415,297.20</w:t>
            </w:r>
          </w:p>
        </w:tc>
      </w:tr>
      <w:tr>
        <w:trPr>
          <w:trHeight w:val="415" w:hRule="exact"/>
        </w:trPr>
        <w:tc>
          <w:tcPr>
            <w:tcW w:w="331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192,835,261.45</w:t>
            </w:r>
          </w:p>
        </w:tc>
        <w:tc>
          <w:tcPr>
            <w:tcW w:w="31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354,576,465.03</w:t>
            </w:r>
          </w:p>
        </w:tc>
      </w:tr>
    </w:tbl>
    <w:p>
      <w:pPr>
        <w:pStyle w:val="BodyText"/>
        <w:spacing w:line="240" w:lineRule="auto" w:before="63"/>
        <w:ind w:left="1134" w:right="0"/>
        <w:jc w:val="left"/>
      </w:pPr>
      <w:r>
        <w:rPr/>
        <w:t>其他说明：</w:t>
      </w:r>
    </w:p>
    <w:p>
      <w:pPr>
        <w:spacing w:line="240" w:lineRule="auto" w:before="10"/>
        <w:rPr>
          <w:rFonts w:ascii="宋体" w:hAnsi="宋体" w:cs="宋体" w:eastAsia="宋体" w:hint="default"/>
          <w:sz w:val="14"/>
          <w:szCs w:val="14"/>
        </w:rPr>
      </w:pPr>
    </w:p>
    <w:p>
      <w:pPr>
        <w:pStyle w:val="BodyText"/>
        <w:spacing w:line="408" w:lineRule="auto"/>
        <w:ind w:right="1132" w:firstLine="420"/>
        <w:jc w:val="both"/>
      </w:pPr>
      <w:r>
        <w:rPr>
          <w:spacing w:val="-1"/>
        </w:rPr>
        <w:t>由于其他货币资金中银行承兑汇票保证金和履约保函保证金存款的流动性受到限制，故未确认为现金</w:t>
      </w:r>
      <w:r>
        <w:rPr/>
        <w:t> 和现金等价物。受限制的货币资金</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日的余额为</w:t>
      </w:r>
      <w:r>
        <w:rPr>
          <w:rFonts w:ascii="宋体" w:hAnsi="宋体" w:cs="宋体" w:eastAsia="宋体" w:hint="default"/>
        </w:rPr>
        <w:t>18,830,642.31</w:t>
      </w:r>
      <w:r>
        <w:rPr/>
        <w:t>元，</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日的余额为</w:t>
      </w:r>
      <w:r>
        <w:rPr>
          <w:spacing w:val="-36"/>
        </w:rPr>
        <w:t> </w:t>
      </w:r>
      <w:r>
        <w:rPr>
          <w:spacing w:val="-36"/>
        </w:rPr>
      </w:r>
      <w:r>
        <w:rPr>
          <w:rFonts w:ascii="宋体" w:hAnsi="宋体" w:cs="宋体" w:eastAsia="宋体" w:hint="default"/>
        </w:rPr>
        <w:t>22,088,921.07</w:t>
      </w:r>
      <w:r>
        <w:rPr/>
        <w:t>元。</w:t>
      </w:r>
    </w:p>
    <w:p>
      <w:pPr>
        <w:spacing w:before="55"/>
        <w:ind w:left="1134" w:right="0" w:firstLine="0"/>
        <w:jc w:val="left"/>
        <w:rPr>
          <w:rFonts w:ascii="宋体" w:hAnsi="宋体" w:cs="宋体" w:eastAsia="宋体" w:hint="default"/>
          <w:sz w:val="20"/>
          <w:szCs w:val="20"/>
        </w:rPr>
      </w:pPr>
      <w:bookmarkStart w:name="75、所有者权益变动表项目注释" w:id="379"/>
      <w:bookmarkEnd w:id="379"/>
      <w:r>
        <w:rPr/>
      </w:r>
      <w:r>
        <w:rPr>
          <w:rFonts w:ascii="宋体" w:hAnsi="宋体" w:cs="宋体" w:eastAsia="宋体" w:hint="default"/>
          <w:b/>
          <w:bCs/>
          <w:sz w:val="20"/>
          <w:szCs w:val="20"/>
        </w:rPr>
        <w:t>75</w:t>
      </w:r>
      <w:r>
        <w:rPr>
          <w:rFonts w:ascii="宋体" w:hAnsi="宋体" w:cs="宋体" w:eastAsia="宋体" w:hint="default"/>
          <w:b/>
          <w:bCs/>
          <w:sz w:val="20"/>
          <w:szCs w:val="20"/>
        </w:rPr>
        <w:t>、所有者权益变动表项目注释</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553" w:right="1828" w:hanging="420"/>
        <w:jc w:val="left"/>
      </w:pPr>
      <w:r>
        <w:rPr/>
        <w:t>说明对上年期末余额进行调整的“其他”项目名称及调整金额等事项： 本报告期公司资本公积减少</w:t>
      </w:r>
      <w:r>
        <w:rPr>
          <w:rFonts w:ascii="宋体" w:hAnsi="宋体" w:cs="宋体" w:eastAsia="宋体" w:hint="default"/>
        </w:rPr>
        <w:t>31,216.85</w:t>
      </w:r>
      <w:r>
        <w:rPr/>
        <w:t>元，为支付的上年末并购事项的股份增发登记费所致。</w:t>
      </w:r>
    </w:p>
    <w:p>
      <w:pPr>
        <w:spacing w:before="55"/>
        <w:ind w:left="1134" w:right="0" w:firstLine="0"/>
        <w:jc w:val="left"/>
        <w:rPr>
          <w:rFonts w:ascii="宋体" w:hAnsi="宋体" w:cs="宋体" w:eastAsia="宋体" w:hint="default"/>
          <w:sz w:val="20"/>
          <w:szCs w:val="20"/>
        </w:rPr>
      </w:pPr>
      <w:bookmarkStart w:name="76、所有权或使用权受到限制的资产" w:id="380"/>
      <w:bookmarkEnd w:id="380"/>
      <w:r>
        <w:rPr/>
      </w:r>
      <w:r>
        <w:rPr>
          <w:rFonts w:ascii="宋体" w:hAnsi="宋体" w:cs="宋体" w:eastAsia="宋体" w:hint="default"/>
          <w:b/>
          <w:bCs/>
          <w:sz w:val="20"/>
          <w:szCs w:val="20"/>
        </w:rPr>
        <w:t>76</w:t>
      </w:r>
      <w:r>
        <w:rPr>
          <w:rFonts w:ascii="宋体" w:hAnsi="宋体" w:cs="宋体" w:eastAsia="宋体" w:hint="default"/>
          <w:b/>
          <w:bCs/>
          <w:sz w:val="20"/>
          <w:szCs w:val="20"/>
        </w:rPr>
        <w:t>、所有权或使用权受到限制的资产</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329"/>
        <w:gridCol w:w="3057"/>
        <w:gridCol w:w="3183"/>
      </w:tblGrid>
      <w:tr>
        <w:trPr>
          <w:trHeight w:val="413" w:hRule="exact"/>
        </w:trPr>
        <w:tc>
          <w:tcPr>
            <w:tcW w:w="332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475"/>
              <w:jc w:val="right"/>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8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7" w:hRule="exact"/>
        </w:trPr>
        <w:tc>
          <w:tcPr>
            <w:tcW w:w="33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18,830,642.31</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承兑汇票、保函履约保证金</w:t>
            </w:r>
          </w:p>
        </w:tc>
      </w:tr>
      <w:tr>
        <w:trPr>
          <w:trHeight w:val="408" w:hRule="exact"/>
        </w:trPr>
        <w:tc>
          <w:tcPr>
            <w:tcW w:w="33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6,957,060.23</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7" w:hRule="exact"/>
        </w:trPr>
        <w:tc>
          <w:tcPr>
            <w:tcW w:w="33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22,663,056.00</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7" w:hRule="exact"/>
        </w:trPr>
        <w:tc>
          <w:tcPr>
            <w:tcW w:w="33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4,188,671.67</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7" w:hRule="exact"/>
        </w:trPr>
        <w:tc>
          <w:tcPr>
            <w:tcW w:w="33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15,822,356.12</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15" w:hRule="exact"/>
        </w:trPr>
        <w:tc>
          <w:tcPr>
            <w:tcW w:w="332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1475"/>
              <w:jc w:val="righ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68,461,786.33</w:t>
            </w:r>
          </w:p>
        </w:tc>
        <w:tc>
          <w:tcPr>
            <w:tcW w:w="3183"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3" w:right="0" w:firstLine="0"/>
        <w:jc w:val="left"/>
        <w:rPr>
          <w:rFonts w:ascii="宋体" w:hAnsi="宋体" w:cs="宋体" w:eastAsia="宋体" w:hint="default"/>
          <w:sz w:val="20"/>
          <w:szCs w:val="20"/>
        </w:rPr>
      </w:pPr>
      <w:bookmarkStart w:name="77、外币货币性项目" w:id="381"/>
      <w:bookmarkEnd w:id="381"/>
      <w:r>
        <w:rPr/>
      </w:r>
      <w:r>
        <w:rPr>
          <w:rFonts w:ascii="宋体" w:hAnsi="宋体" w:cs="宋体" w:eastAsia="宋体" w:hint="default"/>
          <w:b/>
          <w:bCs/>
          <w:sz w:val="20"/>
          <w:szCs w:val="20"/>
        </w:rPr>
        <w:t>77</w:t>
      </w:r>
      <w:r>
        <w:rPr>
          <w:rFonts w:ascii="宋体" w:hAnsi="宋体" w:cs="宋体" w:eastAsia="宋体" w:hint="default"/>
          <w:b/>
          <w:bCs/>
          <w:sz w:val="20"/>
          <w:szCs w:val="20"/>
        </w:rPr>
        <w:t>、外币货币性项目</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78、套期" w:id="382"/>
      <w:bookmarkEnd w:id="382"/>
      <w:r>
        <w:rPr/>
      </w:r>
      <w:r>
        <w:rPr>
          <w:rFonts w:ascii="宋体" w:hAnsi="宋体" w:cs="宋体" w:eastAsia="宋体" w:hint="default"/>
          <w:b/>
          <w:bCs/>
          <w:sz w:val="20"/>
          <w:szCs w:val="20"/>
        </w:rPr>
        <w:t>78</w:t>
      </w:r>
      <w:r>
        <w:rPr>
          <w:rFonts w:ascii="宋体" w:hAnsi="宋体" w:cs="宋体" w:eastAsia="宋体" w:hint="default"/>
          <w:b/>
          <w:bCs/>
          <w:sz w:val="20"/>
          <w:szCs w:val="20"/>
        </w:rPr>
        <w:t>、套期</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spacing w:line="398" w:lineRule="auto" w:before="0"/>
        <w:ind w:left="1133" w:right="8444" w:firstLine="0"/>
        <w:jc w:val="left"/>
        <w:rPr>
          <w:rFonts w:ascii="宋体" w:hAnsi="宋体" w:cs="宋体" w:eastAsia="宋体" w:hint="default"/>
          <w:sz w:val="20"/>
          <w:szCs w:val="20"/>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79、其他" w:id="383"/>
      <w:bookmarkEnd w:id="383"/>
      <w:r>
        <w:rPr>
          <w:rFonts w:ascii="宋体" w:hAnsi="宋体" w:cs="宋体" w:eastAsia="宋体" w:hint="default"/>
          <w:sz w:val="21"/>
          <w:szCs w:val="21"/>
        </w:rPr>
      </w:r>
      <w:r>
        <w:rPr>
          <w:rFonts w:ascii="宋体" w:hAnsi="宋体" w:cs="宋体" w:eastAsia="宋体" w:hint="default"/>
          <w:b/>
          <w:bCs/>
          <w:sz w:val="20"/>
          <w:szCs w:val="20"/>
        </w:rPr>
        <w:t>79</w:t>
      </w:r>
      <w:r>
        <w:rPr>
          <w:rFonts w:ascii="宋体" w:hAnsi="宋体" w:cs="宋体" w:eastAsia="宋体" w:hint="default"/>
          <w:b/>
          <w:bCs/>
          <w:sz w:val="20"/>
          <w:szCs w:val="20"/>
        </w:rPr>
        <w:t>、其他</w:t>
      </w:r>
      <w:r>
        <w:rPr>
          <w:rFonts w:ascii="宋体" w:hAnsi="宋体" w:cs="宋体" w:eastAsia="宋体" w:hint="default"/>
          <w:b/>
          <w:bCs/>
          <w:w w:val="99"/>
          <w:sz w:val="20"/>
          <w:szCs w:val="20"/>
        </w:rPr>
        <w:t> </w:t>
      </w:r>
      <w:bookmarkStart w:name="八、合并范围的变更" w:id="384"/>
      <w:bookmarkEnd w:id="384"/>
      <w:r>
        <w:rPr>
          <w:rFonts w:ascii="宋体" w:hAnsi="宋体" w:cs="宋体" w:eastAsia="宋体" w:hint="default"/>
          <w:b/>
          <w:bCs/>
          <w:w w:val="99"/>
          <w:sz w:val="20"/>
          <w:szCs w:val="20"/>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5"/>
      <w:bookmarkEnd w:id="385"/>
      <w:r>
        <w:rPr>
          <w:rFonts w:ascii="宋体" w:hAnsi="宋体" w:cs="宋体" w:eastAsia="宋体" w:hint="default"/>
          <w:b/>
          <w:bCs/>
          <w:w w:val="99"/>
          <w:sz w:val="24"/>
          <w:szCs w:val="24"/>
        </w:rPr>
      </w:r>
      <w:r>
        <w:rPr>
          <w:rFonts w:ascii="宋体" w:hAnsi="宋体" w:cs="宋体" w:eastAsia="宋体" w:hint="default"/>
          <w:b/>
          <w:bCs/>
          <w:sz w:val="20"/>
          <w:szCs w:val="20"/>
        </w:rPr>
        <w:t>1</w:t>
      </w:r>
      <w:r>
        <w:rPr>
          <w:rFonts w:ascii="宋体" w:hAnsi="宋体" w:cs="宋体" w:eastAsia="宋体" w:hint="default"/>
          <w:b/>
          <w:bCs/>
          <w:sz w:val="20"/>
          <w:szCs w:val="20"/>
        </w:rPr>
        <w:t>、非同一控制下企业合并</w:t>
      </w:r>
      <w:r>
        <w:rPr>
          <w:rFonts w:ascii="宋体" w:hAnsi="宋体" w:cs="宋体" w:eastAsia="宋体" w:hint="default"/>
          <w:sz w:val="20"/>
          <w:szCs w:val="20"/>
        </w:rPr>
      </w:r>
    </w:p>
    <w:p>
      <w:pPr>
        <w:spacing w:before="74"/>
        <w:ind w:left="1134" w:right="0" w:firstLine="0"/>
        <w:jc w:val="left"/>
        <w:rPr>
          <w:rFonts w:ascii="宋体" w:hAnsi="宋体" w:cs="宋体" w:eastAsia="宋体" w:hint="default"/>
          <w:sz w:val="20"/>
          <w:szCs w:val="20"/>
        </w:rPr>
      </w:pPr>
      <w:bookmarkStart w:name="（1）本期发生的非同一控制下企业合并" w:id="386"/>
      <w:bookmarkEnd w:id="386"/>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）本期发生的非同一控制下企业合并</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1064"/>
        <w:gridCol w:w="1489"/>
        <w:gridCol w:w="1276"/>
        <w:gridCol w:w="708"/>
        <w:gridCol w:w="784"/>
        <w:gridCol w:w="635"/>
        <w:gridCol w:w="1276"/>
        <w:gridCol w:w="1276"/>
        <w:gridCol w:w="1275"/>
      </w:tblGrid>
      <w:tr>
        <w:trPr>
          <w:trHeight w:val="1037" w:hRule="exact"/>
        </w:trPr>
        <w:tc>
          <w:tcPr>
            <w:tcW w:w="106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60" w:lineRule="auto"/>
              <w:ind w:left="335" w:right="165"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48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0"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70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股权取 得比例</w:t>
            </w:r>
          </w:p>
        </w:tc>
        <w:tc>
          <w:tcPr>
            <w:tcW w:w="7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63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9" w:right="89" w:hanging="360"/>
              <w:jc w:val="left"/>
              <w:rPr>
                <w:rFonts w:ascii="宋体" w:hAnsi="宋体" w:cs="宋体" w:eastAsia="宋体" w:hint="default"/>
                <w:sz w:val="18"/>
                <w:szCs w:val="18"/>
              </w:rPr>
            </w:pPr>
            <w:r>
              <w:rPr>
                <w:rFonts w:ascii="宋体" w:hAnsi="宋体" w:cs="宋体" w:eastAsia="宋体" w:hint="default"/>
                <w:sz w:val="18"/>
                <w:szCs w:val="18"/>
              </w:rPr>
              <w:t>购买日的确定 依据</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90" w:right="89"/>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27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89" w:right="80"/>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1031" w:hRule="exact"/>
        </w:trPr>
        <w:tc>
          <w:tcPr>
            <w:tcW w:w="106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126"/>
              <w:jc w:val="both"/>
              <w:rPr>
                <w:rFonts w:ascii="宋体" w:hAnsi="宋体" w:cs="宋体" w:eastAsia="宋体" w:hint="default"/>
                <w:sz w:val="18"/>
                <w:szCs w:val="18"/>
              </w:rPr>
            </w:pPr>
            <w:r>
              <w:rPr>
                <w:rFonts w:ascii="宋体" w:hAnsi="宋体" w:cs="宋体" w:eastAsia="宋体" w:hint="default"/>
                <w:sz w:val="18"/>
                <w:szCs w:val="18"/>
              </w:rPr>
              <w:t>江苏德能电 气工程有限 公司</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7,000,000.00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100.00%</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p>
          <w:p>
            <w:pPr>
              <w:pStyle w:val="TableParagraph"/>
              <w:spacing w:line="240" w:lineRule="auto" w:before="75"/>
              <w:ind w:left="20"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18"/>
              <w:jc w:val="left"/>
              <w:rPr>
                <w:rFonts w:ascii="宋体" w:hAnsi="宋体" w:cs="宋体" w:eastAsia="宋体" w:hint="default"/>
                <w:sz w:val="18"/>
                <w:szCs w:val="18"/>
              </w:rPr>
            </w:pPr>
            <w:r>
              <w:rPr>
                <w:rFonts w:ascii="宋体" w:hAnsi="宋体" w:cs="宋体" w:eastAsia="宋体" w:hint="default"/>
                <w:sz w:val="18"/>
                <w:szCs w:val="18"/>
              </w:rPr>
              <w:t>办理完工商变 </w:t>
            </w:r>
            <w:r>
              <w:rPr>
                <w:rFonts w:ascii="宋体" w:hAnsi="宋体" w:cs="宋体" w:eastAsia="宋体" w:hint="default"/>
                <w:spacing w:val="-6"/>
                <w:sz w:val="18"/>
                <w:szCs w:val="18"/>
              </w:rPr>
              <w:t>更、实际控制被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合并单位</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4,037,531.05</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8" w:right="0"/>
              <w:jc w:val="center"/>
              <w:rPr>
                <w:rFonts w:ascii="宋体" w:hAnsi="宋体" w:cs="宋体" w:eastAsia="宋体" w:hint="default"/>
                <w:sz w:val="18"/>
                <w:szCs w:val="18"/>
              </w:rPr>
            </w:pPr>
            <w:r>
              <w:rPr>
                <w:rFonts w:ascii="宋体"/>
                <w:sz w:val="18"/>
              </w:rPr>
              <w:t>-3,402,662.90</w:t>
            </w:r>
          </w:p>
        </w:tc>
      </w:tr>
      <w:tr>
        <w:trPr>
          <w:trHeight w:val="1040" w:hRule="exact"/>
        </w:trPr>
        <w:tc>
          <w:tcPr>
            <w:tcW w:w="1064" w:type="dxa"/>
            <w:tcBorders>
              <w:top w:val="single" w:sz="6" w:space="0" w:color="000000"/>
              <w:left w:val="single" w:sz="12" w:space="0" w:color="000000"/>
              <w:bottom w:val="single" w:sz="12" w:space="0" w:color="000000"/>
              <w:right w:val="single" w:sz="6" w:space="0" w:color="000000"/>
            </w:tcBorders>
          </w:tcPr>
          <w:p>
            <w:pPr>
              <w:pStyle w:val="TableParagraph"/>
              <w:spacing w:line="319" w:lineRule="auto" w:before="52"/>
              <w:ind w:left="13" w:right="126"/>
              <w:jc w:val="both"/>
              <w:rPr>
                <w:rFonts w:ascii="宋体" w:hAnsi="宋体" w:cs="宋体" w:eastAsia="宋体" w:hint="default"/>
                <w:sz w:val="18"/>
                <w:szCs w:val="18"/>
              </w:rPr>
            </w:pPr>
            <w:r>
              <w:rPr>
                <w:rFonts w:ascii="宋体" w:hAnsi="宋体" w:cs="宋体" w:eastAsia="宋体" w:hint="default"/>
                <w:sz w:val="18"/>
                <w:szCs w:val="18"/>
              </w:rPr>
              <w:t>江苏德能电 力设计咨询 有限公司</w:t>
            </w:r>
          </w:p>
        </w:tc>
        <w:tc>
          <w:tcPr>
            <w:tcW w:w="14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29,000,000.00</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100.00%</w:t>
            </w:r>
          </w:p>
        </w:tc>
        <w:tc>
          <w:tcPr>
            <w:tcW w:w="7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6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p>
          <w:p>
            <w:pPr>
              <w:pStyle w:val="TableParagraph"/>
              <w:spacing w:line="240" w:lineRule="auto" w:before="75"/>
              <w:ind w:left="20"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8"/>
              <w:ind w:left="20"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52"/>
              <w:ind w:left="20" w:right="18"/>
              <w:jc w:val="left"/>
              <w:rPr>
                <w:rFonts w:ascii="宋体" w:hAnsi="宋体" w:cs="宋体" w:eastAsia="宋体" w:hint="default"/>
                <w:sz w:val="18"/>
                <w:szCs w:val="18"/>
              </w:rPr>
            </w:pPr>
            <w:r>
              <w:rPr>
                <w:rFonts w:ascii="宋体" w:hAnsi="宋体" w:cs="宋体" w:eastAsia="宋体" w:hint="default"/>
                <w:sz w:val="18"/>
                <w:szCs w:val="18"/>
              </w:rPr>
              <w:t>办理完工商变 </w:t>
            </w:r>
            <w:r>
              <w:rPr>
                <w:rFonts w:ascii="宋体" w:hAnsi="宋体" w:cs="宋体" w:eastAsia="宋体" w:hint="default"/>
                <w:spacing w:val="-6"/>
                <w:sz w:val="18"/>
                <w:szCs w:val="18"/>
              </w:rPr>
              <w:t>更、实际控制被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合并单位</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9,790,379.91</w:t>
            </w:r>
          </w:p>
        </w:tc>
        <w:tc>
          <w:tcPr>
            <w:tcW w:w="12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48" w:right="0"/>
              <w:jc w:val="center"/>
              <w:rPr>
                <w:rFonts w:ascii="宋体" w:hAnsi="宋体" w:cs="宋体" w:eastAsia="宋体" w:hint="default"/>
                <w:sz w:val="18"/>
                <w:szCs w:val="18"/>
              </w:rPr>
            </w:pPr>
            <w:r>
              <w:rPr>
                <w:rFonts w:ascii="宋体"/>
                <w:sz w:val="18"/>
              </w:rPr>
              <w:t>2,553,139.55</w:t>
            </w:r>
          </w:p>
        </w:tc>
      </w:tr>
    </w:tbl>
    <w:p>
      <w:pPr>
        <w:spacing w:line="240" w:lineRule="auto" w:before="8"/>
        <w:rPr>
          <w:rFonts w:ascii="宋体" w:hAnsi="宋体" w:cs="宋体" w:eastAsia="宋体" w:hint="default"/>
          <w:sz w:val="19"/>
          <w:szCs w:val="19"/>
        </w:rPr>
      </w:pPr>
    </w:p>
    <w:p>
      <w:pPr>
        <w:spacing w:before="38"/>
        <w:ind w:left="1134" w:right="0" w:firstLine="0"/>
        <w:jc w:val="left"/>
        <w:rPr>
          <w:rFonts w:ascii="宋体" w:hAnsi="宋体" w:cs="宋体" w:eastAsia="宋体" w:hint="default"/>
          <w:sz w:val="20"/>
          <w:szCs w:val="20"/>
        </w:rPr>
      </w:pPr>
      <w:bookmarkStart w:name="（2）合并成本及商誉" w:id="387"/>
      <w:bookmarkEnd w:id="387"/>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）合并成本及商誉</w:t>
      </w:r>
      <w:r>
        <w:rPr>
          <w:rFonts w:ascii="宋体" w:hAnsi="宋体" w:cs="宋体" w:eastAsia="宋体" w:hint="default"/>
          <w:sz w:val="20"/>
          <w:szCs w:val="20"/>
        </w:rPr>
      </w:r>
    </w:p>
    <w:p>
      <w:pPr>
        <w:spacing w:line="240" w:lineRule="auto" w:before="9"/>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3191"/>
        <w:gridCol w:w="3191"/>
        <w:gridCol w:w="3189"/>
      </w:tblGrid>
      <w:tr>
        <w:trPr>
          <w:trHeight w:val="415"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508" w:right="0"/>
              <w:jc w:val="left"/>
              <w:rPr>
                <w:rFonts w:ascii="宋体" w:hAnsi="宋体" w:cs="宋体" w:eastAsia="宋体" w:hint="default"/>
                <w:sz w:val="18"/>
                <w:szCs w:val="18"/>
              </w:rPr>
            </w:pPr>
            <w:r>
              <w:rPr>
                <w:rFonts w:ascii="宋体" w:hAnsi="宋体" w:cs="宋体" w:eastAsia="宋体" w:hint="default"/>
                <w:sz w:val="18"/>
                <w:szCs w:val="18"/>
              </w:rPr>
              <w:t>江苏德能电气工程有限公司</w:t>
            </w:r>
          </w:p>
        </w:tc>
        <w:tc>
          <w:tcPr>
            <w:tcW w:w="318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现金</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7,000,000.00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14,500,000.00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3191" w:type="dxa"/>
            <w:tcBorders>
              <w:top w:val="single" w:sz="6" w:space="0" w:color="000000"/>
              <w:left w:val="single" w:sz="6" w:space="0" w:color="000000"/>
              <w:bottom w:val="single" w:sz="6" w:space="0" w:color="000000"/>
              <w:right w:val="single" w:sz="6" w:space="0" w:color="000000"/>
            </w:tcBorders>
          </w:tcPr>
          <w:p>
            <w:pP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14,500,000.00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7,000,000.00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29,000,000.00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-1,390,274.09</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4,347,618.50</w:t>
            </w:r>
          </w:p>
        </w:tc>
      </w:tr>
      <w:tr>
        <w:trPr>
          <w:trHeight w:val="727"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52"/>
              <w:ind w:left="13" w:right="183"/>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w:t>
            </w:r>
            <w:r>
              <w:rPr>
                <w:rFonts w:ascii="宋体" w:hAnsi="宋体" w:cs="宋体" w:eastAsia="宋体" w:hint="default"/>
                <w:sz w:val="18"/>
                <w:szCs w:val="18"/>
              </w:rPr>
              <w:t>合并成本小于取得的可辨认净资 产公允价值份额的金额</w:t>
            </w:r>
          </w:p>
        </w:tc>
        <w:tc>
          <w:tcPr>
            <w:tcW w:w="31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8,390,274.09</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24,652,381.50</w:t>
            </w:r>
          </w:p>
        </w:tc>
      </w:tr>
    </w:tbl>
    <w:p>
      <w:pPr>
        <w:pStyle w:val="BodyText"/>
        <w:spacing w:line="408" w:lineRule="auto" w:before="63"/>
        <w:ind w:left="1554" w:right="1197" w:hanging="420"/>
        <w:jc w:val="left"/>
      </w:pPr>
      <w:r>
        <w:rPr/>
        <w:t>合并成本公允价值的确定方法、或有对价及其变动的说明： </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19</w:t>
      </w:r>
      <w:r>
        <w:rPr/>
        <w:t>日，公司与德能工程、德能设计原股东签订收购协议，参照坤元资产评估有限公司出具</w:t>
      </w:r>
    </w:p>
    <w:p>
      <w:pPr>
        <w:pStyle w:val="BodyText"/>
        <w:spacing w:line="408" w:lineRule="auto" w:before="46"/>
        <w:ind w:right="1131"/>
        <w:jc w:val="both"/>
      </w:pPr>
      <w:r>
        <w:rPr>
          <w:spacing w:val="-3"/>
        </w:rPr>
        <w:t>的资产评估报告（坤元评报（</w:t>
      </w:r>
      <w:r>
        <w:rPr>
          <w:rFonts w:ascii="宋体" w:hAnsi="宋体" w:cs="宋体" w:eastAsia="宋体" w:hint="default"/>
          <w:spacing w:val="-3"/>
        </w:rPr>
        <w:t>2015</w:t>
      </w:r>
      <w:r>
        <w:rPr>
          <w:spacing w:val="-3"/>
        </w:rPr>
        <w:t>）第</w:t>
      </w:r>
      <w:r>
        <w:rPr>
          <w:rFonts w:ascii="宋体" w:hAnsi="宋体" w:cs="宋体" w:eastAsia="宋体" w:hint="default"/>
          <w:spacing w:val="-3"/>
        </w:rPr>
        <w:t>241</w:t>
      </w:r>
      <w:r>
        <w:rPr>
          <w:spacing w:val="-3"/>
        </w:rPr>
        <w:t>号、第</w:t>
      </w:r>
      <w:r>
        <w:rPr>
          <w:rFonts w:ascii="宋体" w:hAnsi="宋体" w:cs="宋体" w:eastAsia="宋体" w:hint="default"/>
          <w:spacing w:val="-3"/>
        </w:rPr>
        <w:t>242</w:t>
      </w:r>
      <w:r>
        <w:rPr>
          <w:spacing w:val="-3"/>
        </w:rPr>
        <w:t>号），经交易各方友好协商，公司分别以自有资金</w:t>
      </w:r>
      <w:r>
        <w:rPr>
          <w:rFonts w:ascii="宋体" w:hAnsi="宋体" w:cs="宋体" w:eastAsia="宋体" w:hint="default"/>
          <w:spacing w:val="-3"/>
        </w:rPr>
        <w:t>700</w:t>
      </w:r>
      <w:r>
        <w:rPr>
          <w:rFonts w:ascii="宋体" w:hAnsi="宋体" w:cs="宋体" w:eastAsia="宋体" w:hint="default"/>
          <w:spacing w:val="-82"/>
        </w:rPr>
        <w:t> </w:t>
      </w:r>
      <w:r>
        <w:rPr>
          <w:spacing w:val="-1"/>
        </w:rPr>
        <w:t>万元、</w:t>
      </w:r>
      <w:r>
        <w:rPr>
          <w:rFonts w:ascii="宋体" w:hAnsi="宋体" w:cs="宋体" w:eastAsia="宋体" w:hint="default"/>
          <w:spacing w:val="-1"/>
        </w:rPr>
        <w:t>2,900</w:t>
      </w:r>
      <w:r>
        <w:rPr>
          <w:spacing w:val="-1"/>
        </w:rPr>
        <w:t>万元收购德能工程和德能设计</w:t>
      </w:r>
      <w:r>
        <w:rPr>
          <w:rFonts w:ascii="宋体" w:hAnsi="宋体" w:cs="宋体" w:eastAsia="宋体" w:hint="default"/>
          <w:spacing w:val="-1"/>
        </w:rPr>
        <w:t>100%</w:t>
      </w:r>
      <w:r>
        <w:rPr>
          <w:spacing w:val="-1"/>
        </w:rPr>
        <w:t>股权，具体内容详见</w:t>
      </w:r>
      <w:r>
        <w:rPr>
          <w:rFonts w:ascii="宋体" w:hAnsi="宋体" w:cs="宋体" w:eastAsia="宋体" w:hint="default"/>
          <w:spacing w:val="-1"/>
        </w:rPr>
        <w:t>2015</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23</w:t>
      </w:r>
      <w:r>
        <w:rPr>
          <w:spacing w:val="-1"/>
        </w:rPr>
        <w:t>日巨潮资讯网《关于收购</w:t>
      </w:r>
      <w:r>
        <w:rPr>
          <w:spacing w:val="-79"/>
        </w:rPr>
        <w:t> </w:t>
      </w:r>
      <w:r>
        <w:rPr>
          <w:spacing w:val="-79"/>
        </w:rPr>
      </w:r>
      <w:r>
        <w:rPr/>
        <w:t>资产的公告》（公告编号</w:t>
      </w:r>
      <w:r>
        <w:rPr>
          <w:rFonts w:ascii="宋体" w:hAnsi="宋体" w:cs="宋体" w:eastAsia="宋体" w:hint="default"/>
        </w:rPr>
        <w:t>2015-039</w:t>
      </w:r>
      <w:r>
        <w:rPr/>
        <w:t>号）。</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3" w:right="0" w:firstLine="0"/>
        <w:jc w:val="left"/>
        <w:rPr>
          <w:rFonts w:ascii="宋体" w:hAnsi="宋体" w:cs="宋体" w:eastAsia="宋体" w:hint="default"/>
          <w:sz w:val="20"/>
          <w:szCs w:val="20"/>
        </w:rPr>
      </w:pPr>
      <w:bookmarkStart w:name="（3）被购买方于购买日可辨认资产、负债" w:id="388"/>
      <w:bookmarkEnd w:id="388"/>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）被购买方于购买日可辨认资产、负债</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1905"/>
        <w:gridCol w:w="1925"/>
        <w:gridCol w:w="1914"/>
        <w:gridCol w:w="1914"/>
        <w:gridCol w:w="1913"/>
      </w:tblGrid>
      <w:tr>
        <w:trPr>
          <w:trHeight w:val="491" w:hRule="exact"/>
        </w:trPr>
        <w:tc>
          <w:tcPr>
            <w:tcW w:w="1905"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3839" w:type="dxa"/>
            <w:gridSpan w:val="2"/>
            <w:tcBorders>
              <w:top w:val="single" w:sz="12" w:space="0" w:color="000000"/>
              <w:left w:val="single" w:sz="14" w:space="0" w:color="D2D2D2"/>
              <w:bottom w:val="single" w:sz="6" w:space="0" w:color="000000"/>
              <w:right w:val="single" w:sz="6" w:space="0" w:color="000000"/>
            </w:tcBorders>
            <w:shd w:val="clear" w:color="auto" w:fill="D9D9D9"/>
          </w:tcPr>
          <w:p>
            <w:pPr>
              <w:pStyle w:val="TableParagraph"/>
              <w:spacing w:line="240" w:lineRule="auto" w:before="88"/>
              <w:ind w:left="825" w:right="0"/>
              <w:jc w:val="left"/>
              <w:rPr>
                <w:rFonts w:ascii="宋体" w:hAnsi="宋体" w:cs="宋体" w:eastAsia="宋体" w:hint="default"/>
                <w:sz w:val="18"/>
                <w:szCs w:val="18"/>
              </w:rPr>
            </w:pPr>
            <w:r>
              <w:rPr>
                <w:rFonts w:ascii="宋体" w:hAnsi="宋体" w:cs="宋体" w:eastAsia="宋体" w:hint="default"/>
                <w:sz w:val="18"/>
                <w:szCs w:val="18"/>
              </w:rPr>
              <w:t>江苏德能电气工程有限公司</w:t>
            </w:r>
          </w:p>
        </w:tc>
        <w:tc>
          <w:tcPr>
            <w:tcW w:w="3828"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88"/>
              <w:ind w:left="645" w:right="0"/>
              <w:jc w:val="left"/>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r>
      <w:tr>
        <w:trPr>
          <w:trHeight w:val="406" w:hRule="exact"/>
        </w:trPr>
        <w:tc>
          <w:tcPr>
            <w:tcW w:w="1905" w:type="dxa"/>
            <w:tcBorders>
              <w:top w:val="single" w:sz="6" w:space="0" w:color="000000"/>
              <w:left w:val="single" w:sz="12" w:space="0" w:color="000000"/>
              <w:bottom w:val="single" w:sz="6" w:space="0" w:color="000000"/>
              <w:right w:val="single" w:sz="6" w:space="0" w:color="000000"/>
            </w:tcBorders>
            <w:shd w:val="clear" w:color="auto" w:fill="D2D2D2"/>
          </w:tcPr>
          <w:p>
            <w:pPr/>
          </w:p>
        </w:tc>
        <w:tc>
          <w:tcPr>
            <w:tcW w:w="19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7" w:hRule="exact"/>
        </w:trPr>
        <w:tc>
          <w:tcPr>
            <w:tcW w:w="190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5"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658,291.65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658,291.65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8,610,665.13</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8,610,665.13</w:t>
            </w:r>
          </w:p>
        </w:tc>
      </w:tr>
      <w:tr>
        <w:trPr>
          <w:trHeight w:val="407" w:hRule="exact"/>
        </w:trPr>
        <w:tc>
          <w:tcPr>
            <w:tcW w:w="190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5"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1,092,989.56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1,092,989.56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456,188.41</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456,188.41</w:t>
            </w:r>
          </w:p>
        </w:tc>
      </w:tr>
      <w:tr>
        <w:trPr>
          <w:trHeight w:val="407" w:hRule="exact"/>
        </w:trPr>
        <w:tc>
          <w:tcPr>
            <w:tcW w:w="190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5"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3,141,555.30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3,141,555.30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4,719,235.04</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4,719,235.04</w:t>
            </w:r>
          </w:p>
        </w:tc>
      </w:tr>
      <w:tr>
        <w:trPr>
          <w:trHeight w:val="407" w:hRule="exact"/>
        </w:trPr>
        <w:tc>
          <w:tcPr>
            <w:tcW w:w="190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25"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-1,390,274.09</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-1,390,274.09</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4,347,618.50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4,347,618.50</w:t>
            </w:r>
          </w:p>
        </w:tc>
      </w:tr>
      <w:tr>
        <w:trPr>
          <w:trHeight w:val="416" w:hRule="exact"/>
        </w:trPr>
        <w:tc>
          <w:tcPr>
            <w:tcW w:w="190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25"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-1,390,274.09</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-1,390,274.09</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4,347,618.50</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4,347,618.50</w:t>
            </w:r>
          </w:p>
        </w:tc>
      </w:tr>
    </w:tbl>
    <w:p>
      <w:pPr>
        <w:spacing w:before="72"/>
        <w:ind w:left="1134" w:right="0" w:firstLine="0"/>
        <w:jc w:val="left"/>
        <w:rPr>
          <w:rFonts w:ascii="宋体" w:hAnsi="宋体" w:cs="宋体" w:eastAsia="宋体" w:hint="default"/>
          <w:sz w:val="20"/>
          <w:szCs w:val="20"/>
        </w:rPr>
      </w:pPr>
      <w:bookmarkStart w:name="（4）购买日之前持有的股权按照公允价值重新计量产生的利得或损失" w:id="389"/>
      <w:bookmarkEnd w:id="389"/>
      <w:r>
        <w:rPr/>
      </w: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）购买日之前持有的股权按照公允价值重新计量产生的利得或损失</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是否存在通过多次交易分步实现企业合并且在报告期内取得控制权的交易</w:t>
      </w:r>
    </w:p>
    <w:p>
      <w:pPr>
        <w:spacing w:line="240" w:lineRule="auto" w:before="10"/>
        <w:rPr>
          <w:rFonts w:ascii="宋体" w:hAnsi="宋体" w:cs="宋体" w:eastAsia="宋体" w:hint="default"/>
          <w:sz w:val="14"/>
          <w:szCs w:val="14"/>
        </w:rPr>
      </w:pPr>
    </w:p>
    <w:p>
      <w:pPr>
        <w:pStyle w:val="BodyText"/>
        <w:spacing w:line="240" w:lineRule="auto"/>
        <w:ind w:right="0"/>
        <w:jc w:val="left"/>
      </w:pPr>
      <w:r>
        <w:rPr/>
        <w:t>□ 是 √ 否</w:t>
      </w:r>
    </w:p>
    <w:p>
      <w:pPr>
        <w:spacing w:line="240" w:lineRule="auto" w:before="6"/>
        <w:rPr>
          <w:rFonts w:ascii="宋体" w:hAnsi="宋体" w:cs="宋体" w:eastAsia="宋体" w:hint="default"/>
          <w:sz w:val="15"/>
          <w:szCs w:val="15"/>
        </w:rPr>
      </w:pPr>
    </w:p>
    <w:p>
      <w:pPr>
        <w:spacing w:before="0"/>
        <w:ind w:left="1133" w:right="0" w:firstLine="0"/>
        <w:jc w:val="left"/>
        <w:rPr>
          <w:rFonts w:ascii="宋体" w:hAnsi="宋体" w:cs="宋体" w:eastAsia="宋体" w:hint="default"/>
          <w:sz w:val="20"/>
          <w:szCs w:val="20"/>
        </w:rPr>
      </w:pPr>
      <w:bookmarkStart w:name="（5）购买日或合并当期期末无法合理确定合并对价或被购买方可辨认资产、负债公允价值" w:id="390"/>
      <w:bookmarkEnd w:id="390"/>
      <w:r>
        <w:rPr/>
      </w:r>
      <w:r>
        <w:rPr>
          <w:rFonts w:ascii="宋体" w:hAnsi="宋体" w:cs="宋体" w:eastAsia="宋体" w:hint="default"/>
          <w:b/>
          <w:bCs/>
          <w:sz w:val="20"/>
          <w:szCs w:val="20"/>
        </w:rPr>
        <w:t>（</w:t>
      </w:r>
      <w:r>
        <w:rPr>
          <w:rFonts w:ascii="宋体" w:hAnsi="宋体" w:cs="宋体" w:eastAsia="宋体" w:hint="default"/>
          <w:b/>
          <w:bCs/>
          <w:sz w:val="20"/>
          <w:szCs w:val="20"/>
        </w:rPr>
        <w:t>5</w:t>
      </w:r>
      <w:r>
        <w:rPr>
          <w:rFonts w:ascii="宋体" w:hAnsi="宋体" w:cs="宋体" w:eastAsia="宋体" w:hint="default"/>
          <w:b/>
          <w:bCs/>
          <w:sz w:val="20"/>
          <w:szCs w:val="20"/>
        </w:rPr>
        <w:t>）购买日或合并当期期末无法合理确定合并对价或被购买方可辨认资产、负债公允价值的相关说明</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line="429" w:lineRule="auto" w:before="0"/>
        <w:ind w:left="1134" w:right="8643" w:firstLine="0"/>
        <w:jc w:val="left"/>
        <w:rPr>
          <w:rFonts w:ascii="宋体" w:hAnsi="宋体" w:cs="宋体" w:eastAsia="宋体" w:hint="default"/>
          <w:sz w:val="20"/>
          <w:szCs w:val="20"/>
        </w:rPr>
      </w:pPr>
      <w:bookmarkStart w:name="（6）其他说明" w:id="391"/>
      <w:bookmarkEnd w:id="391"/>
      <w:r>
        <w:rPr/>
      </w:r>
      <w:r>
        <w:rPr>
          <w:rFonts w:ascii="宋体" w:hAnsi="宋体" w:cs="宋体" w:eastAsia="宋体" w:hint="default"/>
          <w:b/>
          <w:bCs/>
          <w:sz w:val="20"/>
          <w:szCs w:val="20"/>
        </w:rPr>
        <w:t>（</w:t>
      </w:r>
      <w:r>
        <w:rPr>
          <w:rFonts w:ascii="宋体" w:hAnsi="宋体" w:cs="宋体" w:eastAsia="宋体" w:hint="default"/>
          <w:b/>
          <w:bCs/>
          <w:sz w:val="20"/>
          <w:szCs w:val="20"/>
        </w:rPr>
        <w:t>6</w:t>
      </w:r>
      <w:r>
        <w:rPr>
          <w:rFonts w:ascii="宋体" w:hAnsi="宋体" w:cs="宋体" w:eastAsia="宋体" w:hint="default"/>
          <w:b/>
          <w:bCs/>
          <w:sz w:val="20"/>
          <w:szCs w:val="20"/>
        </w:rPr>
        <w:t>）其他说明</w:t>
      </w:r>
      <w:r>
        <w:rPr>
          <w:rFonts w:ascii="宋体" w:hAnsi="宋体" w:cs="宋体" w:eastAsia="宋体" w:hint="default"/>
          <w:b/>
          <w:bCs/>
          <w:w w:val="99"/>
          <w:sz w:val="20"/>
          <w:szCs w:val="20"/>
        </w:rPr>
        <w:t> </w:t>
      </w:r>
      <w:bookmarkStart w:name="2、同一控制下企业合并" w:id="392"/>
      <w:bookmarkEnd w:id="392"/>
      <w:r>
        <w:rPr>
          <w:rFonts w:ascii="宋体" w:hAnsi="宋体" w:cs="宋体" w:eastAsia="宋体" w:hint="default"/>
          <w:b/>
          <w:bCs/>
          <w:w w:val="99"/>
          <w:sz w:val="20"/>
          <w:szCs w:val="20"/>
        </w:rPr>
      </w:r>
      <w:r>
        <w:rPr>
          <w:rFonts w:ascii="宋体" w:hAnsi="宋体" w:cs="宋体" w:eastAsia="宋体" w:hint="default"/>
          <w:b/>
          <w:bCs/>
          <w:sz w:val="20"/>
          <w:szCs w:val="20"/>
        </w:rPr>
        <w:t>2</w:t>
      </w:r>
      <w:r>
        <w:rPr>
          <w:rFonts w:ascii="宋体" w:hAnsi="宋体" w:cs="宋体" w:eastAsia="宋体" w:hint="default"/>
          <w:b/>
          <w:bCs/>
          <w:sz w:val="20"/>
          <w:szCs w:val="20"/>
        </w:rPr>
        <w:t>、同一控制下企业合并</w:t>
      </w:r>
      <w:r>
        <w:rPr>
          <w:rFonts w:ascii="宋体" w:hAnsi="宋体" w:cs="宋体" w:eastAsia="宋体" w:hint="default"/>
          <w:sz w:val="20"/>
          <w:szCs w:val="20"/>
        </w:rPr>
      </w:r>
    </w:p>
    <w:p>
      <w:pPr>
        <w:pStyle w:val="BodyText"/>
        <w:spacing w:line="240" w:lineRule="auto" w:before="39"/>
        <w:ind w:right="0"/>
        <w:jc w:val="left"/>
      </w:pPr>
      <w:r>
        <w:rPr/>
        <w:t>□ 适用 √</w:t>
      </w:r>
      <w:r>
        <w:rPr>
          <w:spacing w:val="-1"/>
        </w:rPr>
        <w:t> </w:t>
      </w:r>
      <w:r>
        <w:rPr/>
        <w:t>不适用</w:t>
      </w:r>
    </w:p>
    <w:p>
      <w:pPr>
        <w:spacing w:line="240" w:lineRule="auto" w:before="7"/>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3、反向购买" w:id="393"/>
      <w:bookmarkEnd w:id="393"/>
      <w:r>
        <w:rPr/>
      </w:r>
      <w:r>
        <w:rPr>
          <w:rFonts w:ascii="宋体" w:hAnsi="宋体" w:cs="宋体" w:eastAsia="宋体" w:hint="default"/>
          <w:b/>
          <w:bCs/>
          <w:sz w:val="20"/>
          <w:szCs w:val="20"/>
        </w:rPr>
        <w:t>3</w:t>
      </w:r>
      <w:r>
        <w:rPr>
          <w:rFonts w:ascii="宋体" w:hAnsi="宋体" w:cs="宋体" w:eastAsia="宋体" w:hint="default"/>
          <w:b/>
          <w:bCs/>
          <w:sz w:val="20"/>
          <w:szCs w:val="20"/>
        </w:rPr>
        <w:t>、反向购买</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4、处置子公司" w:id="394"/>
      <w:bookmarkEnd w:id="394"/>
      <w:r>
        <w:rPr/>
      </w:r>
      <w:r>
        <w:rPr>
          <w:rFonts w:ascii="宋体" w:hAnsi="宋体" w:cs="宋体" w:eastAsia="宋体" w:hint="default"/>
          <w:b/>
          <w:bCs/>
          <w:sz w:val="20"/>
          <w:szCs w:val="20"/>
        </w:rPr>
        <w:t>4</w:t>
      </w:r>
      <w:r>
        <w:rPr>
          <w:rFonts w:ascii="宋体" w:hAnsi="宋体" w:cs="宋体" w:eastAsia="宋体" w:hint="default"/>
          <w:b/>
          <w:bCs/>
          <w:sz w:val="20"/>
          <w:szCs w:val="20"/>
        </w:rPr>
        <w:t>、处置子公司</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是否存在单次处置对子公司投资即丧失控制权的情形</w:t>
      </w:r>
    </w:p>
    <w:p>
      <w:pPr>
        <w:spacing w:line="240" w:lineRule="auto" w:before="10"/>
        <w:rPr>
          <w:rFonts w:ascii="宋体" w:hAnsi="宋体" w:cs="宋体" w:eastAsia="宋体" w:hint="default"/>
          <w:sz w:val="14"/>
          <w:szCs w:val="14"/>
        </w:rPr>
      </w:pPr>
    </w:p>
    <w:p>
      <w:pPr>
        <w:pStyle w:val="BodyText"/>
        <w:spacing w:line="408" w:lineRule="auto"/>
        <w:ind w:left="1134" w:right="4032"/>
        <w:jc w:val="left"/>
      </w:pPr>
      <w:r>
        <w:rPr/>
        <w:t>□ 是 √ 否 是否存在通过多次交易分步处置对子公司投资且在本期丧失控制权的情形</w:t>
      </w:r>
    </w:p>
    <w:p>
      <w:pPr>
        <w:pStyle w:val="BodyText"/>
        <w:spacing w:line="240" w:lineRule="auto" w:before="46"/>
        <w:ind w:right="0"/>
        <w:jc w:val="left"/>
      </w:pPr>
      <w:r>
        <w:rPr/>
        <w:t>□ 是 √ 否</w:t>
      </w:r>
    </w:p>
    <w:p>
      <w:pPr>
        <w:spacing w:line="240" w:lineRule="auto" w:before="6"/>
        <w:rPr>
          <w:rFonts w:ascii="宋体" w:hAnsi="宋体" w:cs="宋体" w:eastAsia="宋体" w:hint="default"/>
          <w:sz w:val="15"/>
          <w:szCs w:val="15"/>
        </w:rPr>
      </w:pPr>
    </w:p>
    <w:p>
      <w:pPr>
        <w:spacing w:before="0"/>
        <w:ind w:left="1133" w:right="0" w:firstLine="0"/>
        <w:jc w:val="left"/>
        <w:rPr>
          <w:rFonts w:ascii="宋体" w:hAnsi="宋体" w:cs="宋体" w:eastAsia="宋体" w:hint="default"/>
          <w:sz w:val="20"/>
          <w:szCs w:val="20"/>
        </w:rPr>
      </w:pPr>
      <w:bookmarkStart w:name="5、其他原因的合并范围变动" w:id="395"/>
      <w:bookmarkEnd w:id="395"/>
      <w:r>
        <w:rPr/>
      </w:r>
      <w:r>
        <w:rPr>
          <w:rFonts w:ascii="宋体" w:hAnsi="宋体" w:cs="宋体" w:eastAsia="宋体" w:hint="default"/>
          <w:b/>
          <w:bCs/>
          <w:sz w:val="20"/>
          <w:szCs w:val="20"/>
        </w:rPr>
        <w:t>5</w:t>
      </w:r>
      <w:r>
        <w:rPr>
          <w:rFonts w:ascii="宋体" w:hAnsi="宋体" w:cs="宋体" w:eastAsia="宋体" w:hint="default"/>
          <w:b/>
          <w:bCs/>
          <w:sz w:val="20"/>
          <w:szCs w:val="20"/>
        </w:rPr>
        <w:t>、其他原因的合并范围变动</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553" w:right="0" w:hanging="420"/>
        <w:jc w:val="left"/>
      </w:pPr>
      <w:r>
        <w:rPr/>
        <w:t>说明其他原因导致的合并范围变动（如，新设子公司、清算子公司等）及其相关情况： 本公司以现金方式出资设立全资子公司江苏光一贵仁股权投资基金管理有限公司，于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14</w:t>
      </w:r>
      <w:r>
        <w:rPr/>
        <w:t>日</w:t>
      </w:r>
    </w:p>
    <w:p>
      <w:pPr>
        <w:pStyle w:val="BodyText"/>
        <w:spacing w:line="240" w:lineRule="auto" w:before="46"/>
        <w:ind w:right="0"/>
        <w:jc w:val="left"/>
      </w:pPr>
      <w:r>
        <w:rPr/>
        <w:t>取得南京市江宁区工商行政管理局核发的营业执照，自取得营业执照之日起纳入公司合并范围。</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489" w:lineRule="auto" w:before="0"/>
        <w:ind w:left="1133" w:right="8434" w:firstLine="0"/>
        <w:jc w:val="left"/>
        <w:rPr>
          <w:rFonts w:ascii="宋体" w:hAnsi="宋体" w:cs="宋体" w:eastAsia="宋体" w:hint="default"/>
          <w:sz w:val="20"/>
          <w:szCs w:val="20"/>
        </w:rPr>
      </w:pPr>
      <w:bookmarkStart w:name="6、其他" w:id="396"/>
      <w:bookmarkEnd w:id="396"/>
      <w:r>
        <w:rPr/>
      </w:r>
      <w:r>
        <w:rPr>
          <w:rFonts w:ascii="宋体" w:hAnsi="宋体" w:cs="宋体" w:eastAsia="宋体" w:hint="default"/>
          <w:b/>
          <w:bCs/>
          <w:sz w:val="20"/>
          <w:szCs w:val="20"/>
        </w:rPr>
        <w:t>6</w:t>
      </w:r>
      <w:r>
        <w:rPr>
          <w:rFonts w:ascii="宋体" w:hAnsi="宋体" w:cs="宋体" w:eastAsia="宋体" w:hint="default"/>
          <w:b/>
          <w:bCs/>
          <w:sz w:val="20"/>
          <w:szCs w:val="20"/>
        </w:rPr>
        <w:t>、其他</w:t>
      </w:r>
      <w:r>
        <w:rPr>
          <w:rFonts w:ascii="宋体" w:hAnsi="宋体" w:cs="宋体" w:eastAsia="宋体" w:hint="default"/>
          <w:b/>
          <w:bCs/>
          <w:w w:val="99"/>
          <w:sz w:val="20"/>
          <w:szCs w:val="20"/>
        </w:rPr>
        <w:t> </w:t>
      </w:r>
      <w:bookmarkStart w:name="九、在其他主体中的权益" w:id="397"/>
      <w:bookmarkEnd w:id="397"/>
      <w:r>
        <w:rPr>
          <w:rFonts w:ascii="宋体" w:hAnsi="宋体" w:cs="宋体" w:eastAsia="宋体" w:hint="default"/>
          <w:b/>
          <w:bCs/>
          <w:w w:val="99"/>
          <w:sz w:val="20"/>
          <w:szCs w:val="20"/>
        </w:rPr>
      </w:r>
      <w:r>
        <w:rPr>
          <w:rFonts w:ascii="宋体" w:hAnsi="宋体" w:cs="宋体" w:eastAsia="宋体" w:hint="default"/>
          <w:b/>
          <w:bCs/>
          <w:sz w:val="21"/>
          <w:szCs w:val="21"/>
        </w:rPr>
        <w:t>九、在其他主体中的权益</w:t>
      </w:r>
      <w:r>
        <w:rPr>
          <w:rFonts w:ascii="宋体" w:hAnsi="宋体" w:cs="宋体" w:eastAsia="宋体" w:hint="default"/>
          <w:b/>
          <w:bCs/>
          <w:w w:val="99"/>
          <w:sz w:val="21"/>
          <w:szCs w:val="21"/>
        </w:rPr>
        <w:t> </w:t>
      </w:r>
      <w:bookmarkStart w:name="1、在子公司中的权益" w:id="398"/>
      <w:bookmarkEnd w:id="398"/>
      <w:r>
        <w:rPr>
          <w:rFonts w:ascii="宋体" w:hAnsi="宋体" w:cs="宋体" w:eastAsia="宋体" w:hint="default"/>
          <w:b/>
          <w:bCs/>
          <w:w w:val="99"/>
          <w:sz w:val="21"/>
          <w:szCs w:val="21"/>
        </w:rPr>
      </w:r>
      <w:r>
        <w:rPr>
          <w:rFonts w:ascii="宋体" w:hAnsi="宋体" w:cs="宋体" w:eastAsia="宋体" w:hint="default"/>
          <w:b/>
          <w:bCs/>
          <w:sz w:val="20"/>
          <w:szCs w:val="20"/>
        </w:rPr>
        <w:t>1</w:t>
      </w:r>
      <w:r>
        <w:rPr>
          <w:rFonts w:ascii="宋体" w:hAnsi="宋体" w:cs="宋体" w:eastAsia="宋体" w:hint="default"/>
          <w:b/>
          <w:bCs/>
          <w:sz w:val="20"/>
          <w:szCs w:val="20"/>
        </w:rPr>
        <w:t>、在子公司中的权益</w:t>
      </w:r>
      <w:r>
        <w:rPr>
          <w:rFonts w:ascii="宋体" w:hAnsi="宋体" w:cs="宋体" w:eastAsia="宋体" w:hint="default"/>
          <w:sz w:val="20"/>
          <w:szCs w:val="20"/>
        </w:rPr>
      </w:r>
    </w:p>
    <w:p>
      <w:pPr>
        <w:spacing w:line="260" w:lineRule="exact" w:before="0"/>
        <w:ind w:left="1133" w:right="0" w:firstLine="0"/>
        <w:jc w:val="left"/>
        <w:rPr>
          <w:rFonts w:ascii="宋体" w:hAnsi="宋体" w:cs="宋体" w:eastAsia="宋体" w:hint="default"/>
          <w:sz w:val="20"/>
          <w:szCs w:val="20"/>
        </w:rPr>
      </w:pPr>
      <w:bookmarkStart w:name="（1）企业集团的构成" w:id="399"/>
      <w:bookmarkEnd w:id="399"/>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）企业集团的构成</w:t>
      </w:r>
      <w:r>
        <w:rPr>
          <w:rFonts w:ascii="宋体" w:hAnsi="宋体" w:cs="宋体" w:eastAsia="宋体" w:hint="default"/>
          <w:sz w:val="20"/>
          <w:szCs w:val="20"/>
        </w:rPr>
      </w:r>
    </w:p>
    <w:p>
      <w:pPr>
        <w:spacing w:line="240" w:lineRule="auto" w:before="3"/>
        <w:rPr>
          <w:rFonts w:ascii="宋体" w:hAnsi="宋体" w:cs="宋体" w:eastAsia="宋体" w:hint="default"/>
          <w:b/>
          <w:bCs/>
          <w:sz w:val="10"/>
          <w:szCs w:val="10"/>
        </w:rPr>
      </w:pPr>
    </w:p>
    <w:tbl>
      <w:tblPr>
        <w:tblW w:w="0" w:type="auto"/>
        <w:jc w:val="left"/>
        <w:tblInd w:w="1118" w:type="dxa"/>
        <w:tblLayout w:type="fixed"/>
        <w:tblCellMar>
          <w:top w:w="0" w:type="dxa"/>
          <w:left w:w="0" w:type="dxa"/>
          <w:bottom w:w="0" w:type="dxa"/>
          <w:right w:w="0" w:type="dxa"/>
        </w:tblCellMar>
        <w:tblLook w:val="01E0"/>
      </w:tblPr>
      <w:tblGrid>
        <w:gridCol w:w="1373"/>
        <w:gridCol w:w="1367"/>
        <w:gridCol w:w="1367"/>
        <w:gridCol w:w="2416"/>
        <w:gridCol w:w="851"/>
        <w:gridCol w:w="834"/>
        <w:gridCol w:w="1365"/>
      </w:tblGrid>
      <w:tr>
        <w:trPr>
          <w:trHeight w:val="415" w:hRule="exact"/>
        </w:trPr>
        <w:tc>
          <w:tcPr>
            <w:tcW w:w="1373"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416"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685"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5"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7" w:hRule="exact"/>
        </w:trPr>
        <w:tc>
          <w:tcPr>
            <w:tcW w:w="1373" w:type="dxa"/>
            <w:vMerge/>
            <w:tcBorders>
              <w:left w:val="single" w:sz="12"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2416" w:type="dxa"/>
            <w:vMerge/>
            <w:tcBorders>
              <w:left w:val="single" w:sz="6" w:space="0" w:color="000000"/>
              <w:bottom w:val="single" w:sz="6" w:space="0" w:color="000000"/>
              <w:right w:val="single" w:sz="6" w:space="0" w:color="000000"/>
            </w:tcBorders>
            <w:shd w:val="clear" w:color="auto" w:fill="D2D2D2"/>
          </w:tcPr>
          <w:p>
            <w:pPr/>
          </w:p>
        </w:tc>
        <w:tc>
          <w:tcPr>
            <w:tcW w:w="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5" w:type="dxa"/>
            <w:vMerge/>
            <w:tcBorders>
              <w:left w:val="single" w:sz="6" w:space="0" w:color="000000"/>
              <w:bottom w:val="single" w:sz="6" w:space="0" w:color="000000"/>
              <w:right w:val="single" w:sz="12" w:space="0" w:color="000000"/>
            </w:tcBorders>
            <w:shd w:val="clear" w:color="auto" w:fill="D2D2D2"/>
          </w:tcPr>
          <w:p>
            <w:pPr/>
          </w:p>
        </w:tc>
      </w:tr>
      <w:tr>
        <w:trPr>
          <w:trHeight w:val="719"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220" w:right="47" w:hanging="180"/>
              <w:jc w:val="left"/>
              <w:rPr>
                <w:rFonts w:ascii="宋体" w:hAnsi="宋体" w:cs="宋体" w:eastAsia="宋体" w:hint="default"/>
                <w:sz w:val="18"/>
                <w:szCs w:val="18"/>
              </w:rPr>
            </w:pPr>
            <w:r>
              <w:rPr>
                <w:rFonts w:ascii="宋体" w:hAnsi="宋体" w:cs="宋体" w:eastAsia="宋体" w:hint="default"/>
                <w:sz w:val="18"/>
                <w:szCs w:val="18"/>
              </w:rPr>
              <w:t>江苏苏源光一科 技有限公司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江苏南京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0" w:right="38"/>
              <w:jc w:val="left"/>
              <w:rPr>
                <w:rFonts w:ascii="宋体" w:hAnsi="宋体" w:cs="宋体" w:eastAsia="宋体" w:hint="default"/>
                <w:sz w:val="18"/>
                <w:szCs w:val="18"/>
              </w:rPr>
            </w:pPr>
            <w:r>
              <w:rPr>
                <w:rFonts w:ascii="宋体" w:hAnsi="宋体" w:cs="宋体" w:eastAsia="宋体" w:hint="default"/>
                <w:sz w:val="18"/>
                <w:szCs w:val="18"/>
              </w:rPr>
              <w:t>电子计算机软件系统开发、生 产和销售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100.00%</w:t>
            </w:r>
          </w:p>
        </w:tc>
        <w:tc>
          <w:tcPr>
            <w:tcW w:w="834"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9"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40" w:right="47"/>
              <w:jc w:val="left"/>
              <w:rPr>
                <w:rFonts w:ascii="宋体" w:hAnsi="宋体" w:cs="宋体" w:eastAsia="宋体" w:hint="default"/>
                <w:sz w:val="18"/>
                <w:szCs w:val="18"/>
              </w:rPr>
            </w:pPr>
            <w:r>
              <w:rPr>
                <w:rFonts w:ascii="宋体" w:hAnsi="宋体" w:cs="宋体" w:eastAsia="宋体" w:hint="default"/>
                <w:sz w:val="18"/>
                <w:szCs w:val="18"/>
              </w:rPr>
              <w:t>南京智友尚云信 息技术有限公司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江苏南京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信息技术的开发、服务</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100.00%</w:t>
            </w:r>
          </w:p>
        </w:tc>
        <w:tc>
          <w:tcPr>
            <w:tcW w:w="834"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31"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40" w:right="47"/>
              <w:jc w:val="center"/>
              <w:rPr>
                <w:rFonts w:ascii="宋体" w:hAnsi="宋体" w:cs="宋体" w:eastAsia="宋体" w:hint="default"/>
                <w:sz w:val="18"/>
                <w:szCs w:val="18"/>
              </w:rPr>
            </w:pPr>
            <w:r>
              <w:rPr>
                <w:rFonts w:ascii="宋体" w:hAnsi="宋体" w:cs="宋体" w:eastAsia="宋体" w:hint="default"/>
                <w:sz w:val="18"/>
                <w:szCs w:val="18"/>
              </w:rPr>
              <w:t>江苏光一贵仁股 权投资基金管理 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江苏南京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315"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0" w:right="0"/>
              <w:jc w:val="left"/>
              <w:rPr>
                <w:rFonts w:ascii="宋体" w:hAnsi="宋体" w:cs="宋体" w:eastAsia="宋体" w:hint="default"/>
                <w:sz w:val="18"/>
                <w:szCs w:val="18"/>
              </w:rPr>
            </w:pPr>
            <w:r>
              <w:rPr>
                <w:rFonts w:ascii="宋体" w:hAnsi="宋体" w:cs="宋体" w:eastAsia="宋体" w:hint="default"/>
                <w:sz w:val="18"/>
                <w:szCs w:val="18"/>
              </w:rPr>
              <w:t>投资管理及相关咨询服务</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100.00%</w:t>
            </w:r>
          </w:p>
        </w:tc>
        <w:tc>
          <w:tcPr>
            <w:tcW w:w="834"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8"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31"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0" w:right="47" w:hanging="180"/>
              <w:jc w:val="left"/>
              <w:rPr>
                <w:rFonts w:ascii="宋体" w:hAnsi="宋体" w:cs="宋体" w:eastAsia="宋体" w:hint="default"/>
                <w:sz w:val="18"/>
                <w:szCs w:val="18"/>
              </w:rPr>
            </w:pPr>
            <w:r>
              <w:rPr>
                <w:rFonts w:ascii="宋体" w:hAnsi="宋体" w:cs="宋体" w:eastAsia="宋体" w:hint="default"/>
                <w:sz w:val="18"/>
                <w:szCs w:val="18"/>
              </w:rPr>
              <w:t>江苏德能电气工 程有限公司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江苏南京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315"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50"/>
              <w:jc w:val="left"/>
              <w:rPr>
                <w:rFonts w:ascii="宋体" w:hAnsi="宋体" w:cs="宋体" w:eastAsia="宋体" w:hint="default"/>
                <w:sz w:val="18"/>
                <w:szCs w:val="18"/>
              </w:rPr>
            </w:pPr>
            <w:r>
              <w:rPr>
                <w:rFonts w:ascii="宋体" w:hAnsi="宋体" w:cs="宋体" w:eastAsia="宋体" w:hint="default"/>
                <w:sz w:val="18"/>
                <w:szCs w:val="18"/>
              </w:rPr>
              <w:t>承装</w:t>
            </w:r>
            <w:r>
              <w:rPr>
                <w:rFonts w:ascii="宋体" w:hAnsi="宋体" w:cs="宋体" w:eastAsia="宋体" w:hint="default"/>
                <w:sz w:val="18"/>
                <w:szCs w:val="18"/>
              </w:rPr>
              <w:t>(</w:t>
            </w:r>
            <w:r>
              <w:rPr>
                <w:rFonts w:ascii="宋体" w:hAnsi="宋体" w:cs="宋体" w:eastAsia="宋体" w:hint="default"/>
                <w:sz w:val="18"/>
                <w:szCs w:val="18"/>
              </w:rPr>
              <w:t>修</w:t>
            </w:r>
            <w:r>
              <w:rPr>
                <w:rFonts w:ascii="宋体" w:hAnsi="宋体" w:cs="宋体" w:eastAsia="宋体" w:hint="default"/>
                <w:sz w:val="18"/>
                <w:szCs w:val="18"/>
              </w:rPr>
              <w:t>)</w:t>
            </w:r>
            <w:r>
              <w:rPr>
                <w:rFonts w:ascii="宋体" w:hAnsi="宋体" w:cs="宋体" w:eastAsia="宋体" w:hint="default"/>
                <w:sz w:val="18"/>
                <w:szCs w:val="18"/>
              </w:rPr>
              <w:t>电力设施</w:t>
            </w:r>
            <w:r>
              <w:rPr>
                <w:rFonts w:ascii="宋体" w:hAnsi="宋体" w:cs="宋体" w:eastAsia="宋体" w:hint="default"/>
                <w:sz w:val="18"/>
                <w:szCs w:val="18"/>
              </w:rPr>
              <w:t>,</w:t>
            </w:r>
            <w:r>
              <w:rPr>
                <w:rFonts w:ascii="宋体" w:hAnsi="宋体" w:cs="宋体" w:eastAsia="宋体" w:hint="default"/>
                <w:sz w:val="18"/>
                <w:szCs w:val="18"/>
              </w:rPr>
              <w:t>电气工程、 送变电工程、机电设备安装工 程的施工，电力技术咨询</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41.85pt;height:15.6pt;mso-position-horizontal-relative:char;mso-position-vertical-relative:line" coordorigin="0,0" coordsize="837,312">
                  <v:group style="position:absolute;left:0;top:0;width:837;height:312" coordorigin="0,0" coordsize="837,312">
                    <v:shape style="position:absolute;left:0;top:0;width:837;height:312" coordorigin="0,0" coordsize="837,312" path="m0,312l837,312,83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right="18"/>
              <w:jc w:val="right"/>
              <w:rPr>
                <w:rFonts w:ascii="宋体" w:hAnsi="宋体" w:cs="宋体" w:eastAsia="宋体" w:hint="default"/>
                <w:sz w:val="18"/>
                <w:szCs w:val="18"/>
              </w:rPr>
            </w:pPr>
            <w:r>
              <w:rPr>
                <w:rFonts w:ascii="宋体"/>
                <w:sz w:val="18"/>
              </w:rPr>
              <w:t>100.00%</w:t>
            </w:r>
          </w:p>
        </w:tc>
        <w:tc>
          <w:tcPr>
            <w:tcW w:w="834"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60" w:lineRule="auto"/>
              <w:ind w:left="315" w:right="125"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2592"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40" w:right="47"/>
              <w:jc w:val="left"/>
              <w:rPr>
                <w:rFonts w:ascii="宋体" w:hAnsi="宋体" w:cs="宋体" w:eastAsia="宋体" w:hint="default"/>
                <w:sz w:val="18"/>
                <w:szCs w:val="18"/>
              </w:rPr>
            </w:pPr>
            <w:r>
              <w:rPr>
                <w:rFonts w:ascii="宋体" w:hAnsi="宋体" w:cs="宋体" w:eastAsia="宋体" w:hint="default"/>
                <w:sz w:val="18"/>
                <w:szCs w:val="18"/>
              </w:rPr>
              <w:t>江苏德能电力设 计咨询有限公司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江苏南京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38"/>
              <w:jc w:val="both"/>
              <w:rPr>
                <w:rFonts w:ascii="宋体" w:hAnsi="宋体" w:cs="宋体" w:eastAsia="宋体" w:hint="default"/>
                <w:sz w:val="18"/>
                <w:szCs w:val="18"/>
              </w:rPr>
            </w:pPr>
            <w:r>
              <w:rPr>
                <w:rFonts w:ascii="宋体" w:hAnsi="宋体" w:cs="宋体" w:eastAsia="宋体" w:hint="default"/>
                <w:sz w:val="18"/>
                <w:szCs w:val="18"/>
              </w:rPr>
              <w:t>220KV</w:t>
            </w:r>
            <w:r>
              <w:rPr>
                <w:rFonts w:ascii="宋体" w:hAnsi="宋体" w:cs="宋体" w:eastAsia="宋体" w:hint="default"/>
                <w:spacing w:val="-46"/>
                <w:sz w:val="18"/>
                <w:szCs w:val="18"/>
              </w:rPr>
              <w:t> </w:t>
            </w:r>
            <w:r>
              <w:rPr>
                <w:rFonts w:ascii="宋体" w:hAnsi="宋体" w:cs="宋体" w:eastAsia="宋体" w:hint="default"/>
                <w:sz w:val="18"/>
                <w:szCs w:val="18"/>
              </w:rPr>
              <w:t>及以下输电、变电、配 电工程设计，电力工程项目规 划咨询，电力技术咨询，电力 工程项目可行性研究，编制电 力工程项目建议书，制定接入 系统方案，电网规划、设计服 务，编制电力工程项目设计、 施工概预算</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100.00%</w:t>
            </w:r>
          </w:p>
        </w:tc>
        <w:tc>
          <w:tcPr>
            <w:tcW w:w="834"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0"/>
                <w:szCs w:val="20"/>
              </w:rPr>
            </w:pPr>
          </w:p>
          <w:p>
            <w:pPr>
              <w:pStyle w:val="TableParagraph"/>
              <w:spacing w:line="360" w:lineRule="auto"/>
              <w:ind w:left="315" w:right="125"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58"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71"/>
              <w:ind w:left="40" w:right="47"/>
              <w:jc w:val="left"/>
              <w:rPr>
                <w:rFonts w:ascii="宋体" w:hAnsi="宋体" w:cs="宋体" w:eastAsia="宋体" w:hint="default"/>
                <w:sz w:val="18"/>
                <w:szCs w:val="18"/>
              </w:rPr>
            </w:pPr>
            <w:r>
              <w:rPr>
                <w:rFonts w:ascii="宋体" w:hAnsi="宋体" w:cs="宋体" w:eastAsia="宋体" w:hint="default"/>
                <w:sz w:val="18"/>
                <w:szCs w:val="18"/>
              </w:rPr>
              <w:t>南京云商天下信 息技术有限公司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江苏南京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1"/>
              <w:ind w:left="20" w:right="38"/>
              <w:jc w:val="left"/>
              <w:rPr>
                <w:rFonts w:ascii="宋体" w:hAnsi="宋体" w:cs="宋体" w:eastAsia="宋体" w:hint="default"/>
                <w:sz w:val="18"/>
                <w:szCs w:val="18"/>
              </w:rPr>
            </w:pPr>
            <w:r>
              <w:rPr>
                <w:rFonts w:ascii="宋体" w:hAnsi="宋体" w:cs="宋体" w:eastAsia="宋体" w:hint="default"/>
                <w:sz w:val="18"/>
                <w:szCs w:val="18"/>
              </w:rPr>
              <w:t>电子产品开发、销售、技术咨 询、技术咨询、技术转让</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51.00%</w:t>
            </w:r>
          </w:p>
        </w:tc>
        <w:tc>
          <w:tcPr>
            <w:tcW w:w="834"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360" w:lineRule="auto" w:before="51"/>
              <w:ind w:left="315" w:right="125"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967"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0" w:right="47" w:hanging="360"/>
              <w:jc w:val="left"/>
              <w:rPr>
                <w:rFonts w:ascii="宋体" w:hAnsi="宋体" w:cs="宋体" w:eastAsia="宋体" w:hint="default"/>
                <w:sz w:val="18"/>
                <w:szCs w:val="18"/>
              </w:rPr>
            </w:pPr>
            <w:r>
              <w:rPr>
                <w:rFonts w:ascii="宋体" w:hAnsi="宋体" w:cs="宋体" w:eastAsia="宋体" w:hint="default"/>
                <w:sz w:val="18"/>
                <w:szCs w:val="18"/>
              </w:rPr>
              <w:t>湖北索瑞电气有 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湖北荆州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15"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38"/>
              <w:jc w:val="both"/>
              <w:rPr>
                <w:rFonts w:ascii="宋体" w:hAnsi="宋体" w:cs="宋体" w:eastAsia="宋体" w:hint="default"/>
                <w:sz w:val="18"/>
                <w:szCs w:val="18"/>
              </w:rPr>
            </w:pPr>
            <w:r>
              <w:rPr>
                <w:rFonts w:ascii="宋体" w:hAnsi="宋体" w:cs="宋体" w:eastAsia="宋体" w:hint="default"/>
                <w:sz w:val="18"/>
                <w:szCs w:val="18"/>
              </w:rPr>
              <w:t>电能计量箱的设计、生产和销 售，高低压电气成套开关设备 及控制设备的设计、生产和销 售，电力电子产品技术开发、 应用、销售，电力工程安装服 务</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84.82%</w:t>
            </w:r>
          </w:p>
        </w:tc>
        <w:tc>
          <w:tcPr>
            <w:tcW w:w="834"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360" w:lineRule="auto"/>
              <w:ind w:left="315" w:right="125"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43"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400" w:right="47" w:hanging="360"/>
              <w:jc w:val="left"/>
              <w:rPr>
                <w:rFonts w:ascii="宋体" w:hAnsi="宋体" w:cs="宋体" w:eastAsia="宋体" w:hint="default"/>
                <w:sz w:val="18"/>
                <w:szCs w:val="18"/>
              </w:rPr>
            </w:pPr>
            <w:r>
              <w:rPr>
                <w:rFonts w:ascii="宋体" w:hAnsi="宋体" w:cs="宋体" w:eastAsia="宋体" w:hint="default"/>
                <w:sz w:val="18"/>
                <w:szCs w:val="18"/>
              </w:rPr>
              <w:t>湖北鼎瑞科技有 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湖北荆州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2"/>
              <w:ind w:left="20" w:right="38"/>
              <w:jc w:val="both"/>
              <w:rPr>
                <w:rFonts w:ascii="宋体" w:hAnsi="宋体" w:cs="宋体" w:eastAsia="宋体" w:hint="default"/>
                <w:sz w:val="18"/>
                <w:szCs w:val="18"/>
              </w:rPr>
            </w:pPr>
            <w:r>
              <w:rPr>
                <w:rFonts w:ascii="宋体" w:hAnsi="宋体" w:cs="宋体" w:eastAsia="宋体" w:hint="default"/>
                <w:sz w:val="18"/>
                <w:szCs w:val="18"/>
              </w:rPr>
              <w:t>高低压电器及成套设备、塑料 制品的生产、销售；电力系统 技术开发及应用；电力产品技 术开发和销售</w:t>
            </w:r>
          </w:p>
        </w:tc>
        <w:tc>
          <w:tcPr>
            <w:tcW w:w="851"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67" w:right="0"/>
              <w:jc w:val="left"/>
              <w:rPr>
                <w:rFonts w:ascii="宋体" w:hAnsi="宋体" w:cs="宋体" w:eastAsia="宋体" w:hint="default"/>
                <w:sz w:val="18"/>
                <w:szCs w:val="18"/>
              </w:rPr>
            </w:pPr>
            <w:r>
              <w:rPr>
                <w:rFonts w:ascii="宋体"/>
                <w:sz w:val="18"/>
              </w:rPr>
              <w:t>100.00%</w:t>
            </w: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360" w:lineRule="auto"/>
              <w:ind w:left="315" w:right="125"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67" w:hRule="exact"/>
        </w:trPr>
        <w:tc>
          <w:tcPr>
            <w:tcW w:w="1373"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73"/>
              <w:ind w:left="220" w:right="47" w:hanging="180"/>
              <w:jc w:val="left"/>
              <w:rPr>
                <w:rFonts w:ascii="宋体" w:hAnsi="宋体" w:cs="宋体" w:eastAsia="宋体" w:hint="default"/>
                <w:sz w:val="18"/>
                <w:szCs w:val="18"/>
              </w:rPr>
            </w:pPr>
            <w:r>
              <w:rPr>
                <w:rFonts w:ascii="宋体" w:hAnsi="宋体" w:cs="宋体" w:eastAsia="宋体" w:hint="default"/>
                <w:sz w:val="18"/>
                <w:szCs w:val="18"/>
              </w:rPr>
              <w:t>武汉睿博电气有 限责任公司</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湖北武汉</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湖北武汉</w:t>
            </w:r>
          </w:p>
        </w:tc>
        <w:tc>
          <w:tcPr>
            <w:tcW w:w="241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92"/>
              <w:ind w:left="20" w:right="38"/>
              <w:jc w:val="left"/>
              <w:rPr>
                <w:rFonts w:ascii="宋体" w:hAnsi="宋体" w:cs="宋体" w:eastAsia="宋体" w:hint="default"/>
                <w:sz w:val="18"/>
                <w:szCs w:val="18"/>
              </w:rPr>
            </w:pPr>
            <w:r>
              <w:rPr>
                <w:rFonts w:ascii="宋体" w:hAnsi="宋体" w:cs="宋体" w:eastAsia="宋体" w:hint="default"/>
                <w:sz w:val="18"/>
                <w:szCs w:val="18"/>
              </w:rPr>
              <w:t>高低压电器及成套设备、塑料 制品的生产、销售；电力系统</w:t>
            </w:r>
          </w:p>
        </w:tc>
        <w:tc>
          <w:tcPr>
            <w:tcW w:w="851" w:type="dxa"/>
            <w:tcBorders>
              <w:top w:val="single" w:sz="6" w:space="0" w:color="000000"/>
              <w:left w:val="single" w:sz="6" w:space="0" w:color="000000"/>
              <w:bottom w:val="single" w:sz="12" w:space="0" w:color="000000"/>
              <w:right w:val="single" w:sz="6" w:space="0" w:color="000000"/>
            </w:tcBorders>
          </w:tcPr>
          <w:p>
            <w:pPr/>
          </w:p>
        </w:tc>
        <w:tc>
          <w:tcPr>
            <w:tcW w:w="8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67" w:right="0"/>
              <w:jc w:val="left"/>
              <w:rPr>
                <w:rFonts w:ascii="宋体" w:hAnsi="宋体" w:cs="宋体" w:eastAsia="宋体" w:hint="default"/>
                <w:sz w:val="18"/>
                <w:szCs w:val="18"/>
              </w:rPr>
            </w:pPr>
            <w:r>
              <w:rPr>
                <w:rFonts w:ascii="宋体"/>
                <w:sz w:val="18"/>
              </w:rPr>
              <w:t>100.00%</w:t>
            </w:r>
          </w:p>
        </w:tc>
        <w:tc>
          <w:tcPr>
            <w:tcW w:w="1365" w:type="dxa"/>
            <w:tcBorders>
              <w:top w:val="single" w:sz="6" w:space="0" w:color="000000"/>
              <w:left w:val="single" w:sz="6" w:space="0" w:color="000000"/>
              <w:bottom w:val="single" w:sz="12" w:space="0" w:color="000000"/>
              <w:right w:val="single" w:sz="12" w:space="0" w:color="000000"/>
            </w:tcBorders>
          </w:tcPr>
          <w:p>
            <w:pPr>
              <w:pStyle w:val="TableParagraph"/>
              <w:spacing w:line="360" w:lineRule="auto" w:before="52"/>
              <w:ind w:left="315" w:right="125"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6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b/>
          <w:bCs/>
          <w:sz w:val="29"/>
          <w:szCs w:val="29"/>
        </w:rPr>
      </w:pPr>
    </w:p>
    <w:tbl>
      <w:tblPr>
        <w:tblW w:w="0" w:type="auto"/>
        <w:jc w:val="left"/>
        <w:tblInd w:w="1118" w:type="dxa"/>
        <w:tblLayout w:type="fixed"/>
        <w:tblCellMar>
          <w:top w:w="0" w:type="dxa"/>
          <w:left w:w="0" w:type="dxa"/>
          <w:bottom w:w="0" w:type="dxa"/>
          <w:right w:w="0" w:type="dxa"/>
        </w:tblCellMar>
        <w:tblLook w:val="01E0"/>
      </w:tblPr>
      <w:tblGrid>
        <w:gridCol w:w="1373"/>
        <w:gridCol w:w="1367"/>
        <w:gridCol w:w="1367"/>
        <w:gridCol w:w="2416"/>
        <w:gridCol w:w="851"/>
        <w:gridCol w:w="834"/>
        <w:gridCol w:w="1365"/>
      </w:tblGrid>
      <w:tr>
        <w:trPr>
          <w:trHeight w:val="686" w:hRule="exact"/>
        </w:trPr>
        <w:tc>
          <w:tcPr>
            <w:tcW w:w="1373" w:type="dxa"/>
            <w:tcBorders>
              <w:top w:val="single" w:sz="12" w:space="0" w:color="000000"/>
              <w:left w:val="single" w:sz="12" w:space="0" w:color="000000"/>
              <w:bottom w:val="single" w:sz="6" w:space="0" w:color="000000"/>
              <w:right w:val="single" w:sz="6" w:space="0" w:color="000000"/>
            </w:tcBorders>
          </w:tcPr>
          <w:p>
            <w:pPr/>
          </w:p>
        </w:tc>
        <w:tc>
          <w:tcPr>
            <w:tcW w:w="1367" w:type="dxa"/>
            <w:tcBorders>
              <w:top w:val="single" w:sz="12" w:space="0" w:color="000000"/>
              <w:left w:val="single" w:sz="6" w:space="0" w:color="000000"/>
              <w:bottom w:val="single" w:sz="6" w:space="0" w:color="000000"/>
              <w:right w:val="single" w:sz="6" w:space="0" w:color="000000"/>
            </w:tcBorders>
          </w:tcPr>
          <w:p>
            <w:pPr/>
          </w:p>
        </w:tc>
        <w:tc>
          <w:tcPr>
            <w:tcW w:w="1367" w:type="dxa"/>
            <w:tcBorders>
              <w:top w:val="single" w:sz="12" w:space="0" w:color="000000"/>
              <w:left w:val="single" w:sz="6" w:space="0" w:color="000000"/>
              <w:bottom w:val="single" w:sz="6" w:space="0" w:color="000000"/>
              <w:right w:val="single" w:sz="6" w:space="0" w:color="000000"/>
            </w:tcBorders>
          </w:tcPr>
          <w:p>
            <w:pPr/>
          </w:p>
        </w:tc>
        <w:tc>
          <w:tcPr>
            <w:tcW w:w="2416" w:type="dxa"/>
            <w:tcBorders>
              <w:top w:val="single" w:sz="12" w:space="0" w:color="000000"/>
              <w:left w:val="single" w:sz="6" w:space="0" w:color="000000"/>
              <w:bottom w:val="single" w:sz="6" w:space="0" w:color="000000"/>
              <w:right w:val="single" w:sz="6" w:space="0" w:color="000000"/>
            </w:tcBorders>
          </w:tcPr>
          <w:p>
            <w:pPr>
              <w:pStyle w:val="TableParagraph"/>
              <w:spacing w:line="319" w:lineRule="auto" w:before="10"/>
              <w:ind w:left="20" w:right="38"/>
              <w:jc w:val="left"/>
              <w:rPr>
                <w:rFonts w:ascii="宋体" w:hAnsi="宋体" w:cs="宋体" w:eastAsia="宋体" w:hint="default"/>
                <w:sz w:val="18"/>
                <w:szCs w:val="18"/>
              </w:rPr>
            </w:pPr>
            <w:r>
              <w:rPr>
                <w:rFonts w:ascii="宋体" w:hAnsi="宋体" w:cs="宋体" w:eastAsia="宋体" w:hint="default"/>
                <w:sz w:val="18"/>
                <w:szCs w:val="18"/>
              </w:rPr>
              <w:t>技术开发及应用；电力产品技 术开发和销售</w:t>
            </w:r>
          </w:p>
        </w:tc>
        <w:tc>
          <w:tcPr>
            <w:tcW w:w="851" w:type="dxa"/>
            <w:tcBorders>
              <w:top w:val="single" w:sz="12" w:space="0" w:color="000000"/>
              <w:left w:val="single" w:sz="6" w:space="0" w:color="000000"/>
              <w:bottom w:val="single" w:sz="6" w:space="0" w:color="000000"/>
              <w:right w:val="single" w:sz="6" w:space="0" w:color="000000"/>
            </w:tcBorders>
          </w:tcPr>
          <w:p>
            <w:pPr/>
          </w:p>
        </w:tc>
        <w:tc>
          <w:tcPr>
            <w:tcW w:w="834" w:type="dxa"/>
            <w:tcBorders>
              <w:top w:val="single" w:sz="12" w:space="0" w:color="000000"/>
              <w:left w:val="single" w:sz="6" w:space="0" w:color="000000"/>
              <w:bottom w:val="single" w:sz="6" w:space="0" w:color="000000"/>
              <w:right w:val="single" w:sz="6" w:space="0" w:color="000000"/>
            </w:tcBorders>
          </w:tcPr>
          <w:p>
            <w:pPr/>
          </w:p>
        </w:tc>
        <w:tc>
          <w:tcPr>
            <w:tcW w:w="1365" w:type="dxa"/>
            <w:tcBorders>
              <w:top w:val="single" w:sz="12" w:space="0" w:color="000000"/>
              <w:left w:val="single" w:sz="6" w:space="0" w:color="000000"/>
              <w:bottom w:val="single" w:sz="6" w:space="0" w:color="000000"/>
              <w:right w:val="single" w:sz="12" w:space="0" w:color="000000"/>
            </w:tcBorders>
          </w:tcPr>
          <w:p>
            <w:pPr/>
          </w:p>
        </w:tc>
      </w:tr>
      <w:tr>
        <w:trPr>
          <w:trHeight w:val="351" w:hRule="exact"/>
        </w:trPr>
        <w:tc>
          <w:tcPr>
            <w:tcW w:w="1373" w:type="dxa"/>
            <w:tcBorders>
              <w:top w:val="single" w:sz="6" w:space="0" w:color="000000"/>
              <w:left w:val="single" w:sz="12" w:space="0" w:color="000000"/>
              <w:bottom w:val="nil" w:sz="6" w:space="0" w:color="auto"/>
              <w:right w:val="single" w:sz="6" w:space="0" w:color="000000"/>
            </w:tcBorders>
          </w:tcPr>
          <w:p>
            <w:pPr/>
          </w:p>
        </w:tc>
        <w:tc>
          <w:tcPr>
            <w:tcW w:w="1367" w:type="dxa"/>
            <w:tcBorders>
              <w:top w:val="single" w:sz="6" w:space="0" w:color="000000"/>
              <w:left w:val="single" w:sz="6" w:space="0" w:color="000000"/>
              <w:bottom w:val="nil" w:sz="6" w:space="0" w:color="auto"/>
              <w:right w:val="single" w:sz="6" w:space="0" w:color="000000"/>
            </w:tcBorders>
          </w:tcPr>
          <w:p>
            <w:pPr/>
          </w:p>
        </w:tc>
        <w:tc>
          <w:tcPr>
            <w:tcW w:w="1367" w:type="dxa"/>
            <w:tcBorders>
              <w:top w:val="single" w:sz="6" w:space="0" w:color="000000"/>
              <w:left w:val="single" w:sz="6" w:space="0" w:color="000000"/>
              <w:bottom w:val="nil" w:sz="6" w:space="0" w:color="auto"/>
              <w:right w:val="single" w:sz="6" w:space="0" w:color="000000"/>
            </w:tcBorders>
          </w:tcPr>
          <w:p>
            <w:pPr/>
          </w:p>
        </w:tc>
        <w:tc>
          <w:tcPr>
            <w:tcW w:w="241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高低压电器及成套设备、塑料</w:t>
            </w:r>
          </w:p>
        </w:tc>
        <w:tc>
          <w:tcPr>
            <w:tcW w:w="851" w:type="dxa"/>
            <w:vMerge w:val="restart"/>
            <w:tcBorders>
              <w:top w:val="single" w:sz="6" w:space="0" w:color="000000"/>
              <w:left w:val="single" w:sz="6" w:space="0" w:color="000000"/>
              <w:right w:val="single" w:sz="6" w:space="0" w:color="000000"/>
            </w:tcBorders>
          </w:tcPr>
          <w:p>
            <w:pPr/>
          </w:p>
        </w:tc>
        <w:tc>
          <w:tcPr>
            <w:tcW w:w="834" w:type="dxa"/>
            <w:tcBorders>
              <w:top w:val="single" w:sz="6" w:space="0" w:color="000000"/>
              <w:left w:val="single" w:sz="6" w:space="0" w:color="000000"/>
              <w:bottom w:val="nil" w:sz="6" w:space="0" w:color="auto"/>
              <w:right w:val="single" w:sz="6" w:space="0" w:color="000000"/>
            </w:tcBorders>
          </w:tcPr>
          <w:p>
            <w:pPr/>
          </w:p>
        </w:tc>
        <w:tc>
          <w:tcPr>
            <w:tcW w:w="1365" w:type="dxa"/>
            <w:tcBorders>
              <w:top w:val="single" w:sz="6" w:space="0" w:color="000000"/>
              <w:left w:val="single" w:sz="6" w:space="0" w:color="000000"/>
              <w:bottom w:val="nil" w:sz="6" w:space="0" w:color="auto"/>
              <w:right w:val="single" w:sz="12" w:space="0" w:color="000000"/>
            </w:tcBorders>
          </w:tcPr>
          <w:p>
            <w:pPr/>
          </w:p>
        </w:tc>
      </w:tr>
      <w:tr>
        <w:trPr>
          <w:trHeight w:val="645" w:hRule="exact"/>
        </w:trPr>
        <w:tc>
          <w:tcPr>
            <w:tcW w:w="1373" w:type="dxa"/>
            <w:tcBorders>
              <w:top w:val="nil" w:sz="6" w:space="0" w:color="auto"/>
              <w:left w:val="single" w:sz="12" w:space="0" w:color="000000"/>
              <w:bottom w:val="nil" w:sz="6" w:space="0" w:color="auto"/>
              <w:right w:val="single" w:sz="6" w:space="0" w:color="000000"/>
            </w:tcBorders>
          </w:tcPr>
          <w:p>
            <w:pPr>
              <w:pStyle w:val="TableParagraph"/>
              <w:spacing w:line="319" w:lineRule="auto" w:before="20"/>
              <w:ind w:left="310" w:right="47" w:hanging="270"/>
              <w:jc w:val="left"/>
              <w:rPr>
                <w:rFonts w:ascii="宋体" w:hAnsi="宋体" w:cs="宋体" w:eastAsia="宋体" w:hint="default"/>
                <w:sz w:val="18"/>
                <w:szCs w:val="18"/>
              </w:rPr>
            </w:pPr>
            <w:r>
              <w:rPr>
                <w:rFonts w:ascii="宋体" w:hAnsi="宋体" w:cs="宋体" w:eastAsia="宋体" w:hint="default"/>
                <w:sz w:val="18"/>
                <w:szCs w:val="18"/>
              </w:rPr>
              <w:t>荆州市山源科技 有限公司</w:t>
            </w:r>
          </w:p>
        </w:tc>
        <w:tc>
          <w:tcPr>
            <w:tcW w:w="136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湖北荆州</w:t>
            </w:r>
          </w:p>
        </w:tc>
        <w:tc>
          <w:tcPr>
            <w:tcW w:w="136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2416" w:type="dxa"/>
            <w:tcBorders>
              <w:top w:val="nil" w:sz="6" w:space="0" w:color="auto"/>
              <w:left w:val="single" w:sz="6" w:space="0" w:color="000000"/>
              <w:bottom w:val="nil" w:sz="6" w:space="0" w:color="auto"/>
              <w:right w:val="single" w:sz="6" w:space="0" w:color="000000"/>
            </w:tcBorders>
          </w:tcPr>
          <w:p>
            <w:pPr>
              <w:pStyle w:val="TableParagraph"/>
              <w:spacing w:line="319" w:lineRule="auto" w:before="19"/>
              <w:ind w:left="20" w:right="38"/>
              <w:jc w:val="left"/>
              <w:rPr>
                <w:rFonts w:ascii="宋体" w:hAnsi="宋体" w:cs="宋体" w:eastAsia="宋体" w:hint="default"/>
                <w:sz w:val="18"/>
                <w:szCs w:val="18"/>
              </w:rPr>
            </w:pPr>
            <w:r>
              <w:rPr>
                <w:rFonts w:ascii="宋体" w:hAnsi="宋体" w:cs="宋体" w:eastAsia="宋体" w:hint="default"/>
                <w:sz w:val="18"/>
                <w:szCs w:val="18"/>
              </w:rPr>
              <w:t>制品的生产、销售；电力系统 技术开发及应用；电力产品技</w:t>
            </w:r>
          </w:p>
        </w:tc>
        <w:tc>
          <w:tcPr>
            <w:tcW w:w="851" w:type="dxa"/>
            <w:vMerge/>
            <w:tcBorders>
              <w:left w:val="single" w:sz="6"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365" w:type="dxa"/>
            <w:tcBorders>
              <w:top w:val="nil" w:sz="6" w:space="0" w:color="auto"/>
              <w:left w:val="single" w:sz="6" w:space="0" w:color="000000"/>
              <w:bottom w:val="nil" w:sz="6" w:space="0" w:color="auto"/>
              <w:right w:val="single" w:sz="12" w:space="0" w:color="000000"/>
            </w:tcBorders>
          </w:tcPr>
          <w:p>
            <w:pPr>
              <w:pStyle w:val="TableParagraph"/>
              <w:spacing w:line="360" w:lineRule="auto"/>
              <w:ind w:left="315" w:right="125"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347" w:hRule="exact"/>
        </w:trPr>
        <w:tc>
          <w:tcPr>
            <w:tcW w:w="1373" w:type="dxa"/>
            <w:tcBorders>
              <w:top w:val="nil" w:sz="6" w:space="0" w:color="auto"/>
              <w:left w:val="single" w:sz="12" w:space="0" w:color="000000"/>
              <w:bottom w:val="single" w:sz="6" w:space="0" w:color="000000"/>
              <w:right w:val="single" w:sz="6" w:space="0" w:color="000000"/>
            </w:tcBorders>
          </w:tcPr>
          <w:p>
            <w:pPr/>
          </w:p>
        </w:tc>
        <w:tc>
          <w:tcPr>
            <w:tcW w:w="1367" w:type="dxa"/>
            <w:tcBorders>
              <w:top w:val="nil" w:sz="6" w:space="0" w:color="auto"/>
              <w:left w:val="single" w:sz="6" w:space="0" w:color="000000"/>
              <w:bottom w:val="single" w:sz="6" w:space="0" w:color="000000"/>
              <w:right w:val="single" w:sz="6" w:space="0" w:color="000000"/>
            </w:tcBorders>
          </w:tcPr>
          <w:p>
            <w:pPr/>
          </w:p>
        </w:tc>
        <w:tc>
          <w:tcPr>
            <w:tcW w:w="1367" w:type="dxa"/>
            <w:tcBorders>
              <w:top w:val="nil" w:sz="6" w:space="0" w:color="auto"/>
              <w:left w:val="single" w:sz="6" w:space="0" w:color="000000"/>
              <w:bottom w:val="single" w:sz="6" w:space="0" w:color="000000"/>
              <w:right w:val="single" w:sz="6" w:space="0" w:color="000000"/>
            </w:tcBorders>
          </w:tcPr>
          <w:p>
            <w:pPr/>
          </w:p>
        </w:tc>
        <w:tc>
          <w:tcPr>
            <w:tcW w:w="2416" w:type="dxa"/>
            <w:tcBorders>
              <w:top w:val="nil" w:sz="6" w:space="0" w:color="auto"/>
              <w:left w:val="single" w:sz="6" w:space="0" w:color="000000"/>
              <w:bottom w:val="single" w:sz="6" w:space="0" w:color="000000"/>
              <w:right w:val="single" w:sz="6" w:space="0" w:color="000000"/>
            </w:tcBorders>
          </w:tcPr>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术开发和销售</w:t>
            </w:r>
          </w:p>
        </w:tc>
        <w:tc>
          <w:tcPr>
            <w:tcW w:w="851" w:type="dxa"/>
            <w:vMerge/>
            <w:tcBorders>
              <w:left w:val="single" w:sz="6" w:space="0" w:color="000000"/>
              <w:bottom w:val="single" w:sz="6" w:space="0" w:color="000000"/>
              <w:right w:val="single" w:sz="6" w:space="0" w:color="000000"/>
            </w:tcBorders>
          </w:tcPr>
          <w:p>
            <w:pPr/>
          </w:p>
        </w:tc>
        <w:tc>
          <w:tcPr>
            <w:tcW w:w="834" w:type="dxa"/>
            <w:tcBorders>
              <w:top w:val="nil" w:sz="6" w:space="0" w:color="auto"/>
              <w:left w:val="single" w:sz="6" w:space="0" w:color="000000"/>
              <w:bottom w:val="single" w:sz="6" w:space="0" w:color="000000"/>
              <w:right w:val="single" w:sz="6" w:space="0" w:color="000000"/>
            </w:tcBorders>
          </w:tcPr>
          <w:p>
            <w:pPr/>
          </w:p>
        </w:tc>
        <w:tc>
          <w:tcPr>
            <w:tcW w:w="1365" w:type="dxa"/>
            <w:tcBorders>
              <w:top w:val="nil" w:sz="6" w:space="0" w:color="auto"/>
              <w:left w:val="single" w:sz="6" w:space="0" w:color="000000"/>
              <w:bottom w:val="single" w:sz="6" w:space="0" w:color="000000"/>
              <w:right w:val="single" w:sz="12" w:space="0" w:color="000000"/>
            </w:tcBorders>
          </w:tcPr>
          <w:p>
            <w:pPr/>
          </w:p>
        </w:tc>
      </w:tr>
      <w:tr>
        <w:trPr>
          <w:trHeight w:val="361" w:hRule="exact"/>
        </w:trPr>
        <w:tc>
          <w:tcPr>
            <w:tcW w:w="1373" w:type="dxa"/>
            <w:tcBorders>
              <w:top w:val="single" w:sz="6" w:space="0" w:color="000000"/>
              <w:left w:val="single" w:sz="12" w:space="0" w:color="000000"/>
              <w:bottom w:val="nil" w:sz="6" w:space="0" w:color="auto"/>
              <w:right w:val="single" w:sz="6" w:space="0" w:color="000000"/>
            </w:tcBorders>
          </w:tcPr>
          <w:p>
            <w:pPr/>
          </w:p>
        </w:tc>
        <w:tc>
          <w:tcPr>
            <w:tcW w:w="1367" w:type="dxa"/>
            <w:tcBorders>
              <w:top w:val="single" w:sz="6" w:space="0" w:color="000000"/>
              <w:left w:val="single" w:sz="6" w:space="0" w:color="000000"/>
              <w:bottom w:val="nil" w:sz="6" w:space="0" w:color="auto"/>
              <w:right w:val="single" w:sz="6" w:space="0" w:color="000000"/>
            </w:tcBorders>
          </w:tcPr>
          <w:p>
            <w:pPr/>
          </w:p>
        </w:tc>
        <w:tc>
          <w:tcPr>
            <w:tcW w:w="1367" w:type="dxa"/>
            <w:tcBorders>
              <w:top w:val="single" w:sz="6" w:space="0" w:color="000000"/>
              <w:left w:val="single" w:sz="6" w:space="0" w:color="000000"/>
              <w:bottom w:val="nil" w:sz="6" w:space="0" w:color="auto"/>
              <w:right w:val="single" w:sz="6" w:space="0" w:color="000000"/>
            </w:tcBorders>
          </w:tcPr>
          <w:p>
            <w:pPr/>
          </w:p>
        </w:tc>
        <w:tc>
          <w:tcPr>
            <w:tcW w:w="241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851" w:type="dxa"/>
            <w:vMerge w:val="restart"/>
            <w:tcBorders>
              <w:top w:val="single" w:sz="6" w:space="0" w:color="000000"/>
              <w:left w:val="single" w:sz="6" w:space="0" w:color="000000"/>
              <w:right w:val="single" w:sz="6" w:space="0" w:color="000000"/>
            </w:tcBorders>
          </w:tcPr>
          <w:p>
            <w:pPr>
              <w:pStyle w:val="TableParagraph"/>
              <w:spacing w:line="936" w:lineRule="exact"/>
              <w:ind w:right="-51"/>
              <w:jc w:val="left"/>
              <w:rPr>
                <w:rFonts w:ascii="宋体" w:hAnsi="宋体" w:cs="宋体" w:eastAsia="宋体" w:hint="default"/>
                <w:sz w:val="20"/>
                <w:szCs w:val="20"/>
              </w:rPr>
            </w:pPr>
            <w:r>
              <w:rPr>
                <w:rFonts w:ascii="宋体" w:hAnsi="宋体" w:cs="宋体" w:eastAsia="宋体" w:hint="default"/>
                <w:position w:val="-18"/>
                <w:sz w:val="20"/>
                <w:szCs w:val="20"/>
              </w:rPr>
              <w:pict>
                <v:group style="width:41.85pt;height:46.8pt;mso-position-horizontal-relative:char;mso-position-vertical-relative:line" coordorigin="0,0" coordsize="837,936">
                  <v:group style="position:absolute;left:0;top:0;width:837;height:936" coordorigin="0,0" coordsize="837,936">
                    <v:shape style="position:absolute;left:0;top:0;width:837;height:936" coordorigin="0,0" coordsize="837,936" path="m0,936l837,936,837,0,0,0,0,936xe" filled="true" fillcolor="#ffffff" stroked="false">
                      <v:path arrowok="t"/>
                      <v:fill type="solid"/>
                    </v:shape>
                  </v:group>
                </v:group>
              </w:pict>
            </w:r>
            <w:r>
              <w:rPr>
                <w:rFonts w:ascii="宋体" w:hAnsi="宋体" w:cs="宋体" w:eastAsia="宋体" w:hint="default"/>
                <w:position w:val="-18"/>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1"/>
                <w:szCs w:val="21"/>
              </w:rPr>
            </w:pPr>
          </w:p>
        </w:tc>
        <w:tc>
          <w:tcPr>
            <w:tcW w:w="834" w:type="dxa"/>
            <w:tcBorders>
              <w:top w:val="single" w:sz="6" w:space="0" w:color="000000"/>
              <w:left w:val="single" w:sz="6" w:space="0" w:color="000000"/>
              <w:bottom w:val="nil" w:sz="6" w:space="0" w:color="auto"/>
              <w:right w:val="single" w:sz="6" w:space="0" w:color="000000"/>
            </w:tcBorders>
          </w:tcPr>
          <w:p>
            <w:pPr/>
          </w:p>
        </w:tc>
        <w:tc>
          <w:tcPr>
            <w:tcW w:w="1365"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373" w:type="dxa"/>
            <w:tcBorders>
              <w:top w:val="nil" w:sz="6" w:space="0" w:color="auto"/>
              <w:left w:val="single" w:sz="12" w:space="0" w:color="000000"/>
              <w:bottom w:val="nil" w:sz="6" w:space="0" w:color="auto"/>
              <w:right w:val="single" w:sz="6" w:space="0" w:color="000000"/>
            </w:tcBorders>
          </w:tcPr>
          <w:p>
            <w:pPr/>
          </w:p>
        </w:tc>
        <w:tc>
          <w:tcPr>
            <w:tcW w:w="1367" w:type="dxa"/>
            <w:tcBorders>
              <w:top w:val="nil" w:sz="6" w:space="0" w:color="auto"/>
              <w:left w:val="single" w:sz="6" w:space="0" w:color="000000"/>
              <w:bottom w:val="nil" w:sz="6" w:space="0" w:color="auto"/>
              <w:right w:val="single" w:sz="6" w:space="0" w:color="000000"/>
            </w:tcBorders>
          </w:tcPr>
          <w:p>
            <w:pPr/>
          </w:p>
        </w:tc>
        <w:tc>
          <w:tcPr>
            <w:tcW w:w="1367" w:type="dxa"/>
            <w:tcBorders>
              <w:top w:val="nil" w:sz="6" w:space="0" w:color="auto"/>
              <w:left w:val="single" w:sz="6" w:space="0" w:color="000000"/>
              <w:bottom w:val="nil" w:sz="6" w:space="0" w:color="auto"/>
              <w:right w:val="single" w:sz="6" w:space="0" w:color="000000"/>
            </w:tcBorders>
          </w:tcPr>
          <w:p>
            <w:pPr/>
          </w:p>
        </w:tc>
        <w:tc>
          <w:tcPr>
            <w:tcW w:w="24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设计、销售、技术服务；计算</w:t>
            </w:r>
          </w:p>
        </w:tc>
        <w:tc>
          <w:tcPr>
            <w:tcW w:w="851" w:type="dxa"/>
            <w:vMerge/>
            <w:tcBorders>
              <w:left w:val="single" w:sz="6"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1365" w:type="dxa"/>
            <w:tcBorders>
              <w:top w:val="nil" w:sz="6" w:space="0" w:color="auto"/>
              <w:left w:val="single" w:sz="6" w:space="0" w:color="000000"/>
              <w:bottom w:val="nil" w:sz="6" w:space="0" w:color="auto"/>
              <w:right w:val="single" w:sz="12" w:space="0" w:color="000000"/>
            </w:tcBorders>
          </w:tcPr>
          <w:p>
            <w:pPr/>
          </w:p>
        </w:tc>
      </w:tr>
      <w:tr>
        <w:trPr>
          <w:trHeight w:val="936" w:hRule="exact"/>
        </w:trPr>
        <w:tc>
          <w:tcPr>
            <w:tcW w:w="1373" w:type="dxa"/>
            <w:tcBorders>
              <w:top w:val="nil" w:sz="6" w:space="0" w:color="auto"/>
              <w:left w:val="single" w:sz="12"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6" w:lineRule="auto"/>
              <w:ind w:left="220" w:right="47" w:hanging="180"/>
              <w:jc w:val="left"/>
              <w:rPr>
                <w:rFonts w:ascii="宋体" w:hAnsi="宋体" w:cs="宋体" w:eastAsia="宋体" w:hint="default"/>
                <w:sz w:val="18"/>
                <w:szCs w:val="18"/>
              </w:rPr>
            </w:pPr>
            <w:r>
              <w:rPr>
                <w:rFonts w:ascii="宋体" w:hAnsi="宋体" w:cs="宋体" w:eastAsia="宋体" w:hint="default"/>
                <w:sz w:val="18"/>
                <w:szCs w:val="18"/>
              </w:rPr>
              <w:t>湖北瑞云软件科 技有限公司</w:t>
            </w:r>
          </w:p>
        </w:tc>
        <w:tc>
          <w:tcPr>
            <w:tcW w:w="13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湖北荆州</w:t>
            </w:r>
          </w:p>
        </w:tc>
        <w:tc>
          <w:tcPr>
            <w:tcW w:w="13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241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38"/>
              <w:jc w:val="both"/>
              <w:rPr>
                <w:rFonts w:ascii="宋体" w:hAnsi="宋体" w:cs="宋体" w:eastAsia="宋体" w:hint="default"/>
                <w:sz w:val="18"/>
                <w:szCs w:val="18"/>
              </w:rPr>
            </w:pPr>
            <w:r>
              <w:rPr>
                <w:rFonts w:ascii="宋体" w:hAnsi="宋体" w:cs="宋体" w:eastAsia="宋体" w:hint="default"/>
                <w:sz w:val="18"/>
                <w:szCs w:val="18"/>
              </w:rPr>
              <w:t>机系统集成设计、施工；网络 工程技术咨询服务（电信业务 除外）；电子产品的研发、生</w:t>
            </w:r>
          </w:p>
        </w:tc>
        <w:tc>
          <w:tcPr>
            <w:tcW w:w="851" w:type="dxa"/>
            <w:vMerge/>
            <w:tcBorders>
              <w:left w:val="single" w:sz="6"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365" w:type="dxa"/>
            <w:tcBorders>
              <w:top w:val="nil" w:sz="6" w:space="0" w:color="auto"/>
              <w:left w:val="single" w:sz="6" w:space="0" w:color="000000"/>
              <w:bottom w:val="nil" w:sz="6" w:space="0" w:color="auto"/>
              <w:right w:val="single" w:sz="12" w:space="0" w:color="000000"/>
            </w:tcBorders>
          </w:tcPr>
          <w:p>
            <w:pPr>
              <w:pStyle w:val="TableParagraph"/>
              <w:spacing w:line="360" w:lineRule="auto" w:before="147"/>
              <w:ind w:left="315" w:right="125"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313" w:hRule="exact"/>
        </w:trPr>
        <w:tc>
          <w:tcPr>
            <w:tcW w:w="1373" w:type="dxa"/>
            <w:tcBorders>
              <w:top w:val="nil" w:sz="6" w:space="0" w:color="auto"/>
              <w:left w:val="single" w:sz="12" w:space="0" w:color="000000"/>
              <w:bottom w:val="nil" w:sz="6" w:space="0" w:color="auto"/>
              <w:right w:val="single" w:sz="6" w:space="0" w:color="000000"/>
            </w:tcBorders>
          </w:tcPr>
          <w:p>
            <w:pPr/>
          </w:p>
        </w:tc>
        <w:tc>
          <w:tcPr>
            <w:tcW w:w="1367" w:type="dxa"/>
            <w:tcBorders>
              <w:top w:val="nil" w:sz="6" w:space="0" w:color="auto"/>
              <w:left w:val="single" w:sz="6" w:space="0" w:color="000000"/>
              <w:bottom w:val="nil" w:sz="6" w:space="0" w:color="auto"/>
              <w:right w:val="single" w:sz="6" w:space="0" w:color="000000"/>
            </w:tcBorders>
          </w:tcPr>
          <w:p>
            <w:pPr/>
          </w:p>
        </w:tc>
        <w:tc>
          <w:tcPr>
            <w:tcW w:w="1367" w:type="dxa"/>
            <w:tcBorders>
              <w:top w:val="nil" w:sz="6" w:space="0" w:color="auto"/>
              <w:left w:val="single" w:sz="6" w:space="0" w:color="000000"/>
              <w:bottom w:val="nil" w:sz="6" w:space="0" w:color="auto"/>
              <w:right w:val="single" w:sz="6" w:space="0" w:color="000000"/>
            </w:tcBorders>
          </w:tcPr>
          <w:p>
            <w:pPr/>
          </w:p>
        </w:tc>
        <w:tc>
          <w:tcPr>
            <w:tcW w:w="24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产（上述经营范围中设计资质</w:t>
            </w:r>
          </w:p>
        </w:tc>
        <w:tc>
          <w:tcPr>
            <w:tcW w:w="851" w:type="dxa"/>
            <w:vMerge/>
            <w:tcBorders>
              <w:left w:val="single" w:sz="6"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1365" w:type="dxa"/>
            <w:tcBorders>
              <w:top w:val="nil" w:sz="6" w:space="0" w:color="auto"/>
              <w:left w:val="single" w:sz="6" w:space="0" w:color="000000"/>
              <w:bottom w:val="nil" w:sz="6" w:space="0" w:color="auto"/>
              <w:right w:val="single" w:sz="12" w:space="0" w:color="000000"/>
            </w:tcBorders>
          </w:tcPr>
          <w:p>
            <w:pPr/>
          </w:p>
        </w:tc>
      </w:tr>
      <w:tr>
        <w:trPr>
          <w:trHeight w:val="367" w:hRule="exact"/>
        </w:trPr>
        <w:tc>
          <w:tcPr>
            <w:tcW w:w="1373" w:type="dxa"/>
            <w:tcBorders>
              <w:top w:val="nil" w:sz="6" w:space="0" w:color="auto"/>
              <w:left w:val="single" w:sz="12" w:space="0" w:color="000000"/>
              <w:bottom w:val="single" w:sz="12" w:space="0" w:color="000000"/>
              <w:right w:val="single" w:sz="6" w:space="0" w:color="000000"/>
            </w:tcBorders>
          </w:tcPr>
          <w:p>
            <w:pPr/>
          </w:p>
        </w:tc>
        <w:tc>
          <w:tcPr>
            <w:tcW w:w="1367" w:type="dxa"/>
            <w:tcBorders>
              <w:top w:val="nil" w:sz="6" w:space="0" w:color="auto"/>
              <w:left w:val="single" w:sz="6" w:space="0" w:color="000000"/>
              <w:bottom w:val="single" w:sz="12" w:space="0" w:color="000000"/>
              <w:right w:val="single" w:sz="6" w:space="0" w:color="000000"/>
            </w:tcBorders>
          </w:tcPr>
          <w:p>
            <w:pPr/>
          </w:p>
        </w:tc>
        <w:tc>
          <w:tcPr>
            <w:tcW w:w="1367" w:type="dxa"/>
            <w:tcBorders>
              <w:top w:val="nil" w:sz="6" w:space="0" w:color="auto"/>
              <w:left w:val="single" w:sz="6" w:space="0" w:color="000000"/>
              <w:bottom w:val="single" w:sz="12" w:space="0" w:color="000000"/>
              <w:right w:val="single" w:sz="6" w:space="0" w:color="000000"/>
            </w:tcBorders>
          </w:tcPr>
          <w:p>
            <w:pPr/>
          </w:p>
        </w:tc>
        <w:tc>
          <w:tcPr>
            <w:tcW w:w="241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证经营的凭有效资质证经营</w:t>
            </w:r>
            <w:r>
              <w:rPr>
                <w:rFonts w:ascii="宋体" w:hAnsi="宋体" w:cs="宋体" w:eastAsia="宋体" w:hint="default"/>
                <w:sz w:val="18"/>
                <w:szCs w:val="18"/>
              </w:rPr>
              <w:t>)</w:t>
            </w:r>
          </w:p>
        </w:tc>
        <w:tc>
          <w:tcPr>
            <w:tcW w:w="851" w:type="dxa"/>
            <w:vMerge/>
            <w:tcBorders>
              <w:left w:val="single" w:sz="6"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
        </w:tc>
        <w:tc>
          <w:tcPr>
            <w:tcW w:w="1365" w:type="dxa"/>
            <w:tcBorders>
              <w:top w:val="nil" w:sz="6" w:space="0" w:color="auto"/>
              <w:left w:val="single" w:sz="6" w:space="0" w:color="000000"/>
              <w:bottom w:val="single" w:sz="12" w:space="0" w:color="000000"/>
              <w:right w:val="single" w:sz="12" w:space="0" w:color="000000"/>
            </w:tcBorders>
          </w:tcPr>
          <w:p>
            <w:pPr/>
          </w:p>
        </w:tc>
      </w:tr>
    </w:tbl>
    <w:p>
      <w:pPr>
        <w:spacing w:before="72"/>
        <w:ind w:left="1134" w:right="0" w:firstLine="0"/>
        <w:jc w:val="left"/>
        <w:rPr>
          <w:rFonts w:ascii="宋体" w:hAnsi="宋体" w:cs="宋体" w:eastAsia="宋体" w:hint="default"/>
          <w:sz w:val="20"/>
          <w:szCs w:val="20"/>
        </w:rPr>
      </w:pPr>
      <w:r>
        <w:rPr/>
        <w:pict>
          <v:shape style="position:absolute;margin-left:313.897003pt;margin-top:-114.74028pt;width:111.1pt;height:46.8pt;mso-position-horizontal-relative:page;mso-position-vertical-relative:paragraph;z-index:-91696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硬件产品的开发、</w:t>
                  </w:r>
                </w:p>
              </w:txbxContent>
            </v:textbox>
            <w10:wrap type="none"/>
          </v:shape>
        </w:pict>
      </w:r>
      <w:bookmarkStart w:name="（2）重要的非全资子公司" w:id="400"/>
      <w:bookmarkEnd w:id="400"/>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）重要的非全资子公司</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1917"/>
        <w:gridCol w:w="1627"/>
        <w:gridCol w:w="2411"/>
        <w:gridCol w:w="1703"/>
        <w:gridCol w:w="1912"/>
      </w:tblGrid>
      <w:tr>
        <w:trPr>
          <w:trHeight w:val="782" w:hRule="exact"/>
        </w:trPr>
        <w:tc>
          <w:tcPr>
            <w:tcW w:w="191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6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241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本期归属于少数股东的损益</w:t>
            </w:r>
          </w:p>
        </w:tc>
        <w:tc>
          <w:tcPr>
            <w:tcW w:w="170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79"/>
              <w:ind w:left="393" w:right="33"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15" w:hRule="exact"/>
        </w:trPr>
        <w:tc>
          <w:tcPr>
            <w:tcW w:w="191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66"/>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6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052" w:right="0"/>
              <w:jc w:val="left"/>
              <w:rPr>
                <w:rFonts w:ascii="宋体" w:hAnsi="宋体" w:cs="宋体" w:eastAsia="宋体" w:hint="default"/>
                <w:sz w:val="18"/>
                <w:szCs w:val="18"/>
              </w:rPr>
            </w:pPr>
            <w:r>
              <w:rPr>
                <w:rFonts w:ascii="宋体"/>
                <w:sz w:val="18"/>
              </w:rPr>
              <w:t>15.18%</w:t>
            </w:r>
          </w:p>
        </w:tc>
        <w:tc>
          <w:tcPr>
            <w:tcW w:w="24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206" w:right="0"/>
              <w:jc w:val="left"/>
              <w:rPr>
                <w:rFonts w:ascii="宋体" w:hAnsi="宋体" w:cs="宋体" w:eastAsia="宋体" w:hint="default"/>
                <w:sz w:val="18"/>
                <w:szCs w:val="18"/>
              </w:rPr>
            </w:pPr>
            <w:r>
              <w:rPr>
                <w:rFonts w:ascii="宋体"/>
                <w:sz w:val="18"/>
              </w:rPr>
              <w:t>11,625,024.56</w:t>
            </w:r>
          </w:p>
        </w:tc>
        <w:tc>
          <w:tcPr>
            <w:tcW w:w="17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84,026,910.21</w:t>
            </w:r>
          </w:p>
        </w:tc>
      </w:tr>
    </w:tbl>
    <w:p>
      <w:pPr>
        <w:spacing w:line="240" w:lineRule="auto" w:before="8"/>
        <w:rPr>
          <w:rFonts w:ascii="宋体" w:hAnsi="宋体" w:cs="宋体" w:eastAsia="宋体" w:hint="default"/>
          <w:sz w:val="19"/>
          <w:szCs w:val="19"/>
        </w:rPr>
      </w:pPr>
    </w:p>
    <w:p>
      <w:pPr>
        <w:spacing w:before="38"/>
        <w:ind w:left="1134" w:right="0" w:firstLine="0"/>
        <w:jc w:val="left"/>
        <w:rPr>
          <w:rFonts w:ascii="宋体" w:hAnsi="宋体" w:cs="宋体" w:eastAsia="宋体" w:hint="default"/>
          <w:sz w:val="20"/>
          <w:szCs w:val="20"/>
        </w:rPr>
      </w:pPr>
      <w:bookmarkStart w:name="（3）重要非全资子公司的主要财务信息" w:id="401"/>
      <w:bookmarkEnd w:id="401"/>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）重要非全资子公司的主要财务信息</w:t>
      </w:r>
      <w:r>
        <w:rPr>
          <w:rFonts w:ascii="宋体" w:hAnsi="宋体" w:cs="宋体" w:eastAsia="宋体" w:hint="default"/>
          <w:sz w:val="20"/>
          <w:szCs w:val="20"/>
        </w:rPr>
      </w:r>
    </w:p>
    <w:p>
      <w:pPr>
        <w:spacing w:line="240" w:lineRule="auto" w:before="10"/>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834" w:type="dxa"/>
        <w:tblLayout w:type="fixed"/>
        <w:tblCellMar>
          <w:top w:w="0" w:type="dxa"/>
          <w:left w:w="0" w:type="dxa"/>
          <w:bottom w:w="0" w:type="dxa"/>
          <w:right w:w="0" w:type="dxa"/>
        </w:tblCellMar>
        <w:tblLook w:val="01E0"/>
      </w:tblPr>
      <w:tblGrid>
        <w:gridCol w:w="995"/>
        <w:gridCol w:w="1559"/>
        <w:gridCol w:w="1560"/>
        <w:gridCol w:w="1559"/>
        <w:gridCol w:w="1559"/>
        <w:gridCol w:w="1419"/>
        <w:gridCol w:w="1558"/>
      </w:tblGrid>
      <w:tr>
        <w:trPr>
          <w:trHeight w:val="420" w:hRule="exact"/>
        </w:trPr>
        <w:tc>
          <w:tcPr>
            <w:tcW w:w="995" w:type="dxa"/>
            <w:vMerge w:val="restart"/>
            <w:tcBorders>
              <w:top w:val="single" w:sz="12" w:space="0" w:color="000000"/>
              <w:left w:val="single" w:sz="12" w:space="0" w:color="000000"/>
              <w:right w:val="single" w:sz="6" w:space="0" w:color="000000"/>
            </w:tcBorders>
            <w:shd w:val="clear" w:color="auto" w:fill="D2D2D2"/>
          </w:tcPr>
          <w:p>
            <w:pPr>
              <w:pStyle w:val="TableParagraph"/>
              <w:spacing w:line="316" w:lineRule="auto" w:before="103"/>
              <w:ind w:left="392" w:right="129"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9214" w:type="dxa"/>
            <w:gridSpan w:val="6"/>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2" w:hRule="exact"/>
        </w:trPr>
        <w:tc>
          <w:tcPr>
            <w:tcW w:w="995" w:type="dxa"/>
            <w:vMerge/>
            <w:tcBorders>
              <w:left w:val="single" w:sz="12" w:space="0" w:color="000000"/>
              <w:bottom w:val="single" w:sz="6" w:space="0" w:color="000000"/>
              <w:right w:val="single" w:sz="6" w:space="0" w:color="000000"/>
            </w:tcBorders>
            <w:shd w:val="clear" w:color="auto" w:fill="D2D2D2"/>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5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155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3"/>
              <w:ind w:left="411"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12" w:hRule="exact"/>
        </w:trPr>
        <w:tc>
          <w:tcPr>
            <w:tcW w:w="995"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22" w:right="129"/>
              <w:jc w:val="center"/>
              <w:rPr>
                <w:rFonts w:ascii="宋体" w:hAnsi="宋体" w:cs="宋体" w:eastAsia="宋体" w:hint="default"/>
                <w:sz w:val="18"/>
                <w:szCs w:val="18"/>
              </w:rPr>
            </w:pPr>
            <w:r>
              <w:rPr>
                <w:rFonts w:ascii="宋体" w:hAnsi="宋体" w:cs="宋体" w:eastAsia="宋体" w:hint="default"/>
                <w:sz w:val="18"/>
                <w:szCs w:val="18"/>
              </w:rPr>
              <w:t>湖北索瑞 电气有限 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82" w:right="0"/>
              <w:jc w:val="center"/>
              <w:rPr>
                <w:rFonts w:ascii="宋体" w:hAnsi="宋体" w:cs="宋体" w:eastAsia="宋体" w:hint="default"/>
                <w:sz w:val="18"/>
                <w:szCs w:val="18"/>
              </w:rPr>
            </w:pPr>
            <w:r>
              <w:rPr>
                <w:rFonts w:ascii="宋体"/>
                <w:sz w:val="18"/>
              </w:rPr>
              <w:t>748,876,066.39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83" w:right="0"/>
              <w:jc w:val="center"/>
              <w:rPr>
                <w:rFonts w:ascii="宋体" w:hAnsi="宋体" w:cs="宋体" w:eastAsia="宋体" w:hint="default"/>
                <w:sz w:val="18"/>
                <w:szCs w:val="18"/>
              </w:rPr>
            </w:pPr>
            <w:r>
              <w:rPr>
                <w:rFonts w:ascii="宋体"/>
                <w:sz w:val="18"/>
              </w:rPr>
              <w:t>242,818,836.33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82" w:right="0"/>
              <w:jc w:val="center"/>
              <w:rPr>
                <w:rFonts w:ascii="宋体" w:hAnsi="宋体" w:cs="宋体" w:eastAsia="宋体" w:hint="default"/>
                <w:sz w:val="18"/>
                <w:szCs w:val="18"/>
              </w:rPr>
            </w:pPr>
            <w:r>
              <w:rPr>
                <w:rFonts w:ascii="宋体"/>
                <w:sz w:val="18"/>
              </w:rPr>
              <w:t>991,694,902.72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82" w:right="0"/>
              <w:jc w:val="center"/>
              <w:rPr>
                <w:rFonts w:ascii="宋体" w:hAnsi="宋体" w:cs="宋体" w:eastAsia="宋体" w:hint="default"/>
                <w:sz w:val="18"/>
                <w:szCs w:val="18"/>
              </w:rPr>
            </w:pPr>
            <w:r>
              <w:rPr>
                <w:rFonts w:ascii="宋体"/>
                <w:sz w:val="18"/>
              </w:rPr>
              <w:t>407,627,006.10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2" w:right="0"/>
              <w:jc w:val="center"/>
              <w:rPr>
                <w:rFonts w:ascii="宋体" w:hAnsi="宋体" w:cs="宋体" w:eastAsia="宋体" w:hint="default"/>
                <w:sz w:val="18"/>
                <w:szCs w:val="18"/>
              </w:rPr>
            </w:pPr>
            <w:r>
              <w:rPr>
                <w:rFonts w:ascii="宋体"/>
                <w:sz w:val="18"/>
              </w:rPr>
              <w:t>30,530,938.69</w:t>
            </w:r>
          </w:p>
        </w:tc>
        <w:tc>
          <w:tcPr>
            <w:tcW w:w="15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90"/>
              <w:jc w:val="right"/>
              <w:rPr>
                <w:rFonts w:ascii="宋体" w:hAnsi="宋体" w:cs="宋体" w:eastAsia="宋体" w:hint="default"/>
                <w:sz w:val="18"/>
                <w:szCs w:val="18"/>
              </w:rPr>
            </w:pPr>
            <w:r>
              <w:rPr>
                <w:rFonts w:ascii="宋体"/>
                <w:sz w:val="18"/>
              </w:rPr>
              <w:t>438,157,944.79</w:t>
            </w:r>
          </w:p>
        </w:tc>
      </w:tr>
      <w:tr>
        <w:trPr>
          <w:trHeight w:val="412" w:hRule="exact"/>
        </w:trPr>
        <w:tc>
          <w:tcPr>
            <w:tcW w:w="995" w:type="dxa"/>
            <w:vMerge/>
            <w:tcBorders>
              <w:left w:val="single" w:sz="12" w:space="0" w:color="000000"/>
              <w:right w:val="single" w:sz="6" w:space="0" w:color="000000"/>
            </w:tcBorders>
          </w:tcPr>
          <w:p>
            <w:pPr/>
          </w:p>
        </w:tc>
        <w:tc>
          <w:tcPr>
            <w:tcW w:w="9214" w:type="dxa"/>
            <w:gridSpan w:val="6"/>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2" w:hRule="exact"/>
        </w:trPr>
        <w:tc>
          <w:tcPr>
            <w:tcW w:w="995" w:type="dxa"/>
            <w:vMerge/>
            <w:tcBorders>
              <w:left w:val="single" w:sz="12"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5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155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3"/>
              <w:ind w:left="411"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19" w:hRule="exact"/>
        </w:trPr>
        <w:tc>
          <w:tcPr>
            <w:tcW w:w="995" w:type="dxa"/>
            <w:vMerge/>
            <w:tcBorders>
              <w:left w:val="single" w:sz="12"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82" w:right="0"/>
              <w:jc w:val="center"/>
              <w:rPr>
                <w:rFonts w:ascii="宋体" w:hAnsi="宋体" w:cs="宋体" w:eastAsia="宋体" w:hint="default"/>
                <w:sz w:val="18"/>
                <w:szCs w:val="18"/>
              </w:rPr>
            </w:pPr>
            <w:r>
              <w:rPr>
                <w:rFonts w:ascii="宋体"/>
                <w:sz w:val="18"/>
              </w:rPr>
              <w:t>535,163,964.09</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83" w:right="0"/>
              <w:jc w:val="center"/>
              <w:rPr>
                <w:rFonts w:ascii="宋体" w:hAnsi="宋体" w:cs="宋体" w:eastAsia="宋体" w:hint="default"/>
                <w:sz w:val="18"/>
                <w:szCs w:val="18"/>
              </w:rPr>
            </w:pPr>
            <w:r>
              <w:rPr>
                <w:rFonts w:ascii="宋体"/>
                <w:sz w:val="18"/>
              </w:rPr>
              <w:t>197,513,145.13</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82" w:right="0"/>
              <w:jc w:val="center"/>
              <w:rPr>
                <w:rFonts w:ascii="宋体" w:hAnsi="宋体" w:cs="宋体" w:eastAsia="宋体" w:hint="default"/>
                <w:sz w:val="18"/>
                <w:szCs w:val="18"/>
              </w:rPr>
            </w:pPr>
            <w:r>
              <w:rPr>
                <w:rFonts w:ascii="宋体"/>
                <w:sz w:val="18"/>
              </w:rPr>
              <w:t>732,677,109.22</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82" w:right="0"/>
              <w:jc w:val="center"/>
              <w:rPr>
                <w:rFonts w:ascii="宋体" w:hAnsi="宋体" w:cs="宋体" w:eastAsia="宋体" w:hint="default"/>
                <w:sz w:val="18"/>
                <w:szCs w:val="18"/>
              </w:rPr>
            </w:pPr>
            <w:r>
              <w:rPr>
                <w:rFonts w:ascii="宋体"/>
                <w:sz w:val="18"/>
              </w:rPr>
              <w:t>243,819,395.62</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32" w:right="0"/>
              <w:jc w:val="center"/>
              <w:rPr>
                <w:rFonts w:ascii="宋体" w:hAnsi="宋体" w:cs="宋体" w:eastAsia="宋体" w:hint="default"/>
                <w:sz w:val="18"/>
                <w:szCs w:val="18"/>
              </w:rPr>
            </w:pPr>
            <w:r>
              <w:rPr>
                <w:rFonts w:ascii="宋体"/>
                <w:sz w:val="18"/>
              </w:rPr>
              <w:t>11,901,945.14</w:t>
            </w:r>
          </w:p>
        </w:tc>
        <w:tc>
          <w:tcPr>
            <w:tcW w:w="155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90"/>
              <w:jc w:val="right"/>
              <w:rPr>
                <w:rFonts w:ascii="宋体" w:hAnsi="宋体" w:cs="宋体" w:eastAsia="宋体" w:hint="default"/>
                <w:sz w:val="18"/>
                <w:szCs w:val="18"/>
              </w:rPr>
            </w:pPr>
            <w:r>
              <w:rPr>
                <w:rFonts w:ascii="宋体"/>
                <w:sz w:val="18"/>
              </w:rPr>
              <w:t>255,721,340.76</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834" w:type="dxa"/>
        <w:tblLayout w:type="fixed"/>
        <w:tblCellMar>
          <w:top w:w="0" w:type="dxa"/>
          <w:left w:w="0" w:type="dxa"/>
          <w:bottom w:w="0" w:type="dxa"/>
          <w:right w:w="0" w:type="dxa"/>
        </w:tblCellMar>
        <w:tblLook w:val="01E0"/>
      </w:tblPr>
      <w:tblGrid>
        <w:gridCol w:w="1333"/>
        <w:gridCol w:w="2219"/>
        <w:gridCol w:w="2219"/>
        <w:gridCol w:w="2219"/>
        <w:gridCol w:w="2218"/>
      </w:tblGrid>
      <w:tr>
        <w:trPr>
          <w:trHeight w:val="419" w:hRule="exact"/>
        </w:trPr>
        <w:tc>
          <w:tcPr>
            <w:tcW w:w="1333"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875" w:type="dxa"/>
            <w:gridSpan w:val="4"/>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12" w:hRule="exact"/>
        </w:trPr>
        <w:tc>
          <w:tcPr>
            <w:tcW w:w="1333" w:type="dxa"/>
            <w:vMerge/>
            <w:tcBorders>
              <w:left w:val="single" w:sz="12" w:space="0" w:color="000000"/>
              <w:bottom w:val="single" w:sz="6" w:space="0" w:color="000000"/>
              <w:right w:val="single" w:sz="6" w:space="0" w:color="000000"/>
            </w:tcBorders>
            <w:shd w:val="clear" w:color="auto" w:fill="D2D2D2"/>
          </w:tcPr>
          <w:p>
            <w:pPr/>
          </w:p>
        </w:tc>
        <w:tc>
          <w:tcPr>
            <w:tcW w:w="22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2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83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21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3"/>
              <w:ind w:left="381"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12" w:hRule="exact"/>
        </w:trPr>
        <w:tc>
          <w:tcPr>
            <w:tcW w:w="1333"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290" w:right="118" w:hanging="180"/>
              <w:jc w:val="left"/>
              <w:rPr>
                <w:rFonts w:ascii="宋体" w:hAnsi="宋体" w:cs="宋体" w:eastAsia="宋体" w:hint="default"/>
                <w:sz w:val="18"/>
                <w:szCs w:val="18"/>
              </w:rPr>
            </w:pPr>
            <w:r>
              <w:rPr>
                <w:rFonts w:ascii="宋体" w:hAnsi="宋体" w:cs="宋体" w:eastAsia="宋体" w:hint="default"/>
                <w:sz w:val="18"/>
                <w:szCs w:val="18"/>
              </w:rPr>
              <w:t>湖北索瑞电气 有限公司</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538,440,312.82</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76,581,189.47</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76,581,189.47</w:t>
            </w:r>
          </w:p>
        </w:tc>
        <w:tc>
          <w:tcPr>
            <w:tcW w:w="22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14,339,682.68</w:t>
            </w:r>
          </w:p>
        </w:tc>
      </w:tr>
      <w:tr>
        <w:trPr>
          <w:trHeight w:val="412" w:hRule="exact"/>
        </w:trPr>
        <w:tc>
          <w:tcPr>
            <w:tcW w:w="1333" w:type="dxa"/>
            <w:vMerge/>
            <w:tcBorders>
              <w:left w:val="single" w:sz="12" w:space="0" w:color="000000"/>
              <w:right w:val="single" w:sz="6" w:space="0" w:color="000000"/>
            </w:tcBorders>
          </w:tcPr>
          <w:p>
            <w:pPr/>
          </w:p>
        </w:tc>
        <w:tc>
          <w:tcPr>
            <w:tcW w:w="8875" w:type="dxa"/>
            <w:gridSpan w:val="4"/>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3" w:hRule="exact"/>
        </w:trPr>
        <w:tc>
          <w:tcPr>
            <w:tcW w:w="1333" w:type="dxa"/>
            <w:vMerge/>
            <w:tcBorders>
              <w:left w:val="single" w:sz="12" w:space="0" w:color="000000"/>
              <w:right w:val="single" w:sz="6" w:space="0" w:color="000000"/>
            </w:tcBorders>
          </w:tcPr>
          <w:p>
            <w:pPr/>
          </w:p>
        </w:tc>
        <w:tc>
          <w:tcPr>
            <w:tcW w:w="22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2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83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21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3"/>
              <w:ind w:left="381"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19" w:hRule="exact"/>
        </w:trPr>
        <w:tc>
          <w:tcPr>
            <w:tcW w:w="1333" w:type="dxa"/>
            <w:vMerge/>
            <w:tcBorders>
              <w:left w:val="single" w:sz="12" w:space="0" w:color="000000"/>
              <w:bottom w:val="single" w:sz="12" w:space="0" w:color="000000"/>
              <w:right w:val="single" w:sz="6" w:space="0" w:color="000000"/>
            </w:tcBorders>
          </w:tcPr>
          <w:p>
            <w:pPr/>
          </w:p>
        </w:tc>
        <w:tc>
          <w:tcPr>
            <w:tcW w:w="22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474,718,325.41</w:t>
            </w:r>
          </w:p>
        </w:tc>
        <w:tc>
          <w:tcPr>
            <w:tcW w:w="22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71,305,149.61</w:t>
            </w:r>
          </w:p>
        </w:tc>
        <w:tc>
          <w:tcPr>
            <w:tcW w:w="22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71,305,149.61</w:t>
            </w:r>
          </w:p>
        </w:tc>
        <w:tc>
          <w:tcPr>
            <w:tcW w:w="22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28,626,150.11</w:t>
            </w:r>
          </w:p>
        </w:tc>
      </w:tr>
    </w:tbl>
    <w:p>
      <w:pPr>
        <w:pStyle w:val="BodyText"/>
        <w:spacing w:line="240" w:lineRule="auto" w:before="63"/>
        <w:ind w:left="1134" w:right="0"/>
        <w:jc w:val="left"/>
      </w:pPr>
      <w:r>
        <w:rPr/>
        <w:t>其他说明：</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right="0" w:firstLine="420"/>
        <w:jc w:val="left"/>
      </w:pPr>
      <w:r>
        <w:rPr/>
        <w:t>上述索瑞电气的财务信息为根据合并财务报表相关会计准则调整后的合并层面数据；不考虑收购时资 </w:t>
      </w:r>
      <w:r>
        <w:rPr>
          <w:spacing w:val="-3"/>
        </w:rPr>
        <w:t>产评估增值影响，经审计，索瑞电气</w:t>
      </w:r>
      <w:r>
        <w:rPr>
          <w:rFonts w:ascii="宋体" w:hAnsi="宋体" w:cs="宋体" w:eastAsia="宋体" w:hint="default"/>
          <w:spacing w:val="-3"/>
        </w:rPr>
        <w:t>2015</w:t>
      </w:r>
      <w:r>
        <w:rPr>
          <w:spacing w:val="-3"/>
        </w:rPr>
        <w:t>年末的资产合计</w:t>
      </w:r>
      <w:r>
        <w:rPr>
          <w:rFonts w:ascii="宋体" w:hAnsi="宋体" w:cs="宋体" w:eastAsia="宋体" w:hint="default"/>
          <w:spacing w:val="-3"/>
        </w:rPr>
        <w:t>910,684,108.53</w:t>
      </w:r>
      <w:r>
        <w:rPr>
          <w:spacing w:val="-3"/>
        </w:rPr>
        <w:t>元，负债合计</w:t>
      </w:r>
      <w:r>
        <w:rPr>
          <w:rFonts w:ascii="宋体" w:hAnsi="宋体" w:cs="宋体" w:eastAsia="宋体" w:hint="default"/>
          <w:spacing w:val="-3"/>
        </w:rPr>
        <w:t>431,627,006.10</w:t>
      </w:r>
      <w:r>
        <w:rPr>
          <w:spacing w:val="-3"/>
        </w:rPr>
        <w:t>元；</w:t>
      </w:r>
      <w:r>
        <w:rPr>
          <w:spacing w:val="-45"/>
        </w:rPr>
        <w:t> </w:t>
      </w:r>
      <w:r>
        <w:rPr>
          <w:rFonts w:ascii="宋体" w:hAnsi="宋体" w:cs="宋体" w:eastAsia="宋体" w:hint="default"/>
        </w:rPr>
        <w:t>2015</w:t>
      </w:r>
      <w:r>
        <w:rPr/>
        <w:t>年度营业收入</w:t>
      </w:r>
      <w:r>
        <w:rPr>
          <w:rFonts w:ascii="宋体" w:hAnsi="宋体" w:cs="宋体" w:eastAsia="宋体" w:hint="default"/>
        </w:rPr>
        <w:t>538,440,312.82</w:t>
      </w:r>
      <w:r>
        <w:rPr/>
        <w:t>元，净利润</w:t>
      </w:r>
      <w:r>
        <w:rPr>
          <w:rFonts w:ascii="宋体" w:hAnsi="宋体" w:cs="宋体" w:eastAsia="宋体" w:hint="default"/>
        </w:rPr>
        <w:t>81,426,520.11</w:t>
      </w:r>
      <w:r>
        <w:rPr/>
        <w:t>元，综合收益总额为</w:t>
      </w:r>
      <w:r>
        <w:rPr>
          <w:rFonts w:ascii="宋体" w:hAnsi="宋体" w:cs="宋体" w:eastAsia="宋体" w:hint="default"/>
        </w:rPr>
        <w:t>81,426,520.11</w:t>
      </w:r>
      <w:r>
        <w:rPr/>
        <w:t>元。</w:t>
      </w:r>
    </w:p>
    <w:p>
      <w:pPr>
        <w:spacing w:before="56"/>
        <w:ind w:left="1133" w:right="0" w:firstLine="0"/>
        <w:jc w:val="left"/>
        <w:rPr>
          <w:rFonts w:ascii="宋体" w:hAnsi="宋体" w:cs="宋体" w:eastAsia="宋体" w:hint="default"/>
          <w:sz w:val="20"/>
          <w:szCs w:val="20"/>
        </w:rPr>
      </w:pPr>
      <w:bookmarkStart w:name="（4）使用企业集团资产和清偿企业集团债务的重大限制" w:id="402"/>
      <w:bookmarkEnd w:id="402"/>
      <w:r>
        <w:rPr/>
      </w: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）使用企业集团资产和清偿企业集团债务的重大限制</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5）向纳入合并财务报表范围的结构化主体提供的财务支持或其他支持" w:id="403"/>
      <w:bookmarkEnd w:id="403"/>
      <w:r>
        <w:rPr/>
      </w:r>
      <w:r>
        <w:rPr>
          <w:rFonts w:ascii="宋体" w:hAnsi="宋体" w:cs="宋体" w:eastAsia="宋体" w:hint="default"/>
          <w:b/>
          <w:bCs/>
          <w:sz w:val="20"/>
          <w:szCs w:val="20"/>
        </w:rPr>
        <w:t>（</w:t>
      </w:r>
      <w:r>
        <w:rPr>
          <w:rFonts w:ascii="宋体" w:hAnsi="宋体" w:cs="宋体" w:eastAsia="宋体" w:hint="default"/>
          <w:b/>
          <w:bCs/>
          <w:sz w:val="20"/>
          <w:szCs w:val="20"/>
        </w:rPr>
        <w:t>5</w:t>
      </w:r>
      <w:r>
        <w:rPr>
          <w:rFonts w:ascii="宋体" w:hAnsi="宋体" w:cs="宋体" w:eastAsia="宋体" w:hint="default"/>
          <w:b/>
          <w:bCs/>
          <w:sz w:val="20"/>
          <w:szCs w:val="20"/>
        </w:rPr>
        <w:t>）向纳入合并财务报表范围的结构化主体提供的财务支持或其他支持</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2"/>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在子公司的所有者权益份额发生变化且仍控制子公司的交易" w:id="404"/>
      <w:bookmarkEnd w:id="404"/>
      <w:r>
        <w:rPr/>
      </w:r>
      <w:r>
        <w:rPr>
          <w:rFonts w:ascii="宋体" w:hAnsi="宋体" w:cs="宋体" w:eastAsia="宋体" w:hint="default"/>
          <w:b/>
          <w:bCs/>
          <w:sz w:val="20"/>
          <w:szCs w:val="20"/>
        </w:rPr>
        <w:t>2</w:t>
      </w:r>
      <w:r>
        <w:rPr>
          <w:rFonts w:ascii="宋体" w:hAnsi="宋体" w:cs="宋体" w:eastAsia="宋体" w:hint="default"/>
          <w:b/>
          <w:bCs/>
          <w:sz w:val="20"/>
          <w:szCs w:val="20"/>
        </w:rPr>
        <w:t>、在子公司的所有者权益份额发生变化且仍控制子公司的交易</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3、在合营安排或联营企业中的权益" w:id="405"/>
      <w:bookmarkEnd w:id="405"/>
      <w:r>
        <w:rPr/>
      </w:r>
      <w:r>
        <w:rPr>
          <w:rFonts w:ascii="宋体" w:hAnsi="宋体" w:cs="宋体" w:eastAsia="宋体" w:hint="default"/>
          <w:b/>
          <w:bCs/>
          <w:sz w:val="20"/>
          <w:szCs w:val="20"/>
        </w:rPr>
        <w:t>3</w:t>
      </w:r>
      <w:r>
        <w:rPr>
          <w:rFonts w:ascii="宋体" w:hAnsi="宋体" w:cs="宋体" w:eastAsia="宋体" w:hint="default"/>
          <w:b/>
          <w:bCs/>
          <w:sz w:val="20"/>
          <w:szCs w:val="20"/>
        </w:rPr>
        <w:t>、在合营安排或联营企业中的权益</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重要的合营企业或联营企业" w:id="406"/>
      <w:bookmarkEnd w:id="406"/>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）重要的合营企业或联营企业</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重要合营企业的主要财务信息" w:id="407"/>
      <w:bookmarkEnd w:id="407"/>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）重要合营企业的主要财务信息</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3）重要联营企业的主要财务信息" w:id="408"/>
      <w:bookmarkEnd w:id="408"/>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）重要联营企业的主要财务信息</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4）不重要的合营企业和联营企业的汇总财务信息" w:id="409"/>
      <w:bookmarkEnd w:id="409"/>
      <w:r>
        <w:rPr/>
      </w: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）不重要的合营企业和联营企业的汇总财务信息</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308"/>
        <w:gridCol w:w="3069"/>
        <w:gridCol w:w="3186"/>
      </w:tblGrid>
      <w:tr>
        <w:trPr>
          <w:trHeight w:val="414" w:hRule="exact"/>
        </w:trPr>
        <w:tc>
          <w:tcPr>
            <w:tcW w:w="3308"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30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7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7"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sz w:val="18"/>
              </w:rPr>
              <w:t>--</w:t>
            </w:r>
          </w:p>
        </w:tc>
        <w:tc>
          <w:tcPr>
            <w:tcW w:w="318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sz w:val="18"/>
              </w:rPr>
              <w:t>--</w:t>
            </w:r>
          </w:p>
        </w:tc>
      </w:tr>
      <w:tr>
        <w:trPr>
          <w:trHeight w:val="408"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sz w:val="18"/>
              </w:rPr>
              <w:t>--</w:t>
            </w:r>
          </w:p>
        </w:tc>
        <w:tc>
          <w:tcPr>
            <w:tcW w:w="318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sz w:val="18"/>
              </w:rPr>
              <w:t>--</w:t>
            </w:r>
          </w:p>
        </w:tc>
      </w:tr>
      <w:tr>
        <w:trPr>
          <w:trHeight w:val="406"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sz w:val="18"/>
              </w:rPr>
              <w:t>--</w:t>
            </w:r>
          </w:p>
        </w:tc>
        <w:tc>
          <w:tcPr>
            <w:tcW w:w="318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sz w:val="18"/>
              </w:rPr>
              <w:t>--</w:t>
            </w:r>
          </w:p>
        </w:tc>
      </w:tr>
      <w:tr>
        <w:trPr>
          <w:trHeight w:val="407"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21,953,574.83</w:t>
            </w: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sz w:val="18"/>
              </w:rPr>
              <w:t>--</w:t>
            </w:r>
          </w:p>
        </w:tc>
        <w:tc>
          <w:tcPr>
            <w:tcW w:w="318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sz w:val="18"/>
              </w:rPr>
              <w:t>--</w:t>
            </w:r>
          </w:p>
        </w:tc>
      </w:tr>
      <w:tr>
        <w:trPr>
          <w:trHeight w:val="407"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净利润</w:t>
            </w:r>
          </w:p>
        </w:tc>
        <w:tc>
          <w:tcPr>
            <w:tcW w:w="306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-760,715.17</w:t>
            </w: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30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综合收益总额</w:t>
            </w:r>
          </w:p>
        </w:tc>
        <w:tc>
          <w:tcPr>
            <w:tcW w:w="306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-760,715.17</w:t>
            </w:r>
          </w:p>
        </w:tc>
        <w:tc>
          <w:tcPr>
            <w:tcW w:w="3186"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408" w:lineRule="auto" w:before="63"/>
        <w:ind w:right="2143"/>
        <w:jc w:val="left"/>
      </w:pPr>
      <w:r>
        <w:rPr/>
        <w:t>其他说明 报告期不重要的合营企业指中云文化大数据科技有限公司、北京中广格兰信息科技有限公司。</w:t>
      </w:r>
    </w:p>
    <w:p>
      <w:pPr>
        <w:spacing w:before="56"/>
        <w:ind w:left="1133" w:right="0" w:firstLine="0"/>
        <w:jc w:val="left"/>
        <w:rPr>
          <w:rFonts w:ascii="宋体" w:hAnsi="宋体" w:cs="宋体" w:eastAsia="宋体" w:hint="default"/>
          <w:sz w:val="20"/>
          <w:szCs w:val="20"/>
        </w:rPr>
      </w:pPr>
      <w:bookmarkStart w:name="（5）合营企业或联营企业向本公司转移资金的能力存在重大限制的说明" w:id="410"/>
      <w:bookmarkEnd w:id="410"/>
      <w:r>
        <w:rPr/>
      </w:r>
      <w:r>
        <w:rPr>
          <w:rFonts w:ascii="宋体" w:hAnsi="宋体" w:cs="宋体" w:eastAsia="宋体" w:hint="default"/>
          <w:b/>
          <w:bCs/>
          <w:sz w:val="20"/>
          <w:szCs w:val="20"/>
        </w:rPr>
        <w:t>（</w:t>
      </w:r>
      <w:r>
        <w:rPr>
          <w:rFonts w:ascii="宋体" w:hAnsi="宋体" w:cs="宋体" w:eastAsia="宋体" w:hint="default"/>
          <w:b/>
          <w:bCs/>
          <w:sz w:val="20"/>
          <w:szCs w:val="20"/>
        </w:rPr>
        <w:t>5</w:t>
      </w:r>
      <w:r>
        <w:rPr>
          <w:rFonts w:ascii="宋体" w:hAnsi="宋体" w:cs="宋体" w:eastAsia="宋体" w:hint="default"/>
          <w:b/>
          <w:bCs/>
          <w:sz w:val="20"/>
          <w:szCs w:val="20"/>
        </w:rPr>
        <w:t>）合营企业或联营企业向本公司转移资金的能力存在重大限制的说明</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3" w:right="0" w:firstLine="0"/>
        <w:jc w:val="both"/>
        <w:rPr>
          <w:rFonts w:ascii="宋体" w:hAnsi="宋体" w:cs="宋体" w:eastAsia="宋体" w:hint="default"/>
          <w:sz w:val="20"/>
          <w:szCs w:val="20"/>
        </w:rPr>
      </w:pPr>
      <w:bookmarkStart w:name="（6）合营企业或联营企业发生的超额亏损" w:id="411"/>
      <w:bookmarkEnd w:id="411"/>
      <w:r>
        <w:rPr/>
      </w:r>
      <w:r>
        <w:rPr>
          <w:rFonts w:ascii="宋体" w:hAnsi="宋体" w:cs="宋体" w:eastAsia="宋体" w:hint="default"/>
          <w:b/>
          <w:bCs/>
          <w:sz w:val="20"/>
          <w:szCs w:val="20"/>
        </w:rPr>
        <w:t>（</w:t>
      </w:r>
      <w:r>
        <w:rPr>
          <w:rFonts w:ascii="宋体" w:hAnsi="宋体" w:cs="宋体" w:eastAsia="宋体" w:hint="default"/>
          <w:b/>
          <w:bCs/>
          <w:sz w:val="20"/>
          <w:szCs w:val="20"/>
        </w:rPr>
        <w:t>6</w:t>
      </w:r>
      <w:r>
        <w:rPr>
          <w:rFonts w:ascii="宋体" w:hAnsi="宋体" w:cs="宋体" w:eastAsia="宋体" w:hint="default"/>
          <w:b/>
          <w:bCs/>
          <w:sz w:val="20"/>
          <w:szCs w:val="20"/>
        </w:rPr>
        <w:t>）合营企业或联营企业发生的超额亏损</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both"/>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both"/>
        <w:rPr>
          <w:rFonts w:ascii="宋体" w:hAnsi="宋体" w:cs="宋体" w:eastAsia="宋体" w:hint="default"/>
          <w:sz w:val="20"/>
          <w:szCs w:val="20"/>
        </w:rPr>
      </w:pPr>
      <w:bookmarkStart w:name="（7）与合营企业投资相关的未确认承诺" w:id="412"/>
      <w:bookmarkEnd w:id="412"/>
      <w:r>
        <w:rPr/>
      </w:r>
      <w:r>
        <w:rPr>
          <w:rFonts w:ascii="宋体" w:hAnsi="宋体" w:cs="宋体" w:eastAsia="宋体" w:hint="default"/>
          <w:b/>
          <w:bCs/>
          <w:sz w:val="20"/>
          <w:szCs w:val="20"/>
        </w:rPr>
        <w:t>（</w:t>
      </w:r>
      <w:r>
        <w:rPr>
          <w:rFonts w:ascii="宋体" w:hAnsi="宋体" w:cs="宋体" w:eastAsia="宋体" w:hint="default"/>
          <w:b/>
          <w:bCs/>
          <w:sz w:val="20"/>
          <w:szCs w:val="20"/>
        </w:rPr>
        <w:t>7</w:t>
      </w:r>
      <w:r>
        <w:rPr>
          <w:rFonts w:ascii="宋体" w:hAnsi="宋体" w:cs="宋体" w:eastAsia="宋体" w:hint="default"/>
          <w:b/>
          <w:bCs/>
          <w:sz w:val="20"/>
          <w:szCs w:val="20"/>
        </w:rPr>
        <w:t>）与合营企业投资相关的未确认承诺</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both"/>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both"/>
        <w:rPr>
          <w:rFonts w:ascii="宋体" w:hAnsi="宋体" w:cs="宋体" w:eastAsia="宋体" w:hint="default"/>
          <w:sz w:val="20"/>
          <w:szCs w:val="20"/>
        </w:rPr>
      </w:pPr>
      <w:bookmarkStart w:name="（8）与合营企业或联营企业投资相关的或有负债" w:id="413"/>
      <w:bookmarkEnd w:id="413"/>
      <w:r>
        <w:rPr/>
      </w:r>
      <w:r>
        <w:rPr>
          <w:rFonts w:ascii="宋体" w:hAnsi="宋体" w:cs="宋体" w:eastAsia="宋体" w:hint="default"/>
          <w:b/>
          <w:bCs/>
          <w:sz w:val="20"/>
          <w:szCs w:val="20"/>
        </w:rPr>
        <w:t>（</w:t>
      </w:r>
      <w:r>
        <w:rPr>
          <w:rFonts w:ascii="宋体" w:hAnsi="宋体" w:cs="宋体" w:eastAsia="宋体" w:hint="default"/>
          <w:b/>
          <w:bCs/>
          <w:sz w:val="20"/>
          <w:szCs w:val="20"/>
        </w:rPr>
        <w:t>8</w:t>
      </w:r>
      <w:r>
        <w:rPr>
          <w:rFonts w:ascii="宋体" w:hAnsi="宋体" w:cs="宋体" w:eastAsia="宋体" w:hint="default"/>
          <w:b/>
          <w:bCs/>
          <w:sz w:val="20"/>
          <w:szCs w:val="20"/>
        </w:rPr>
        <w:t>）与合营企业或联营企业投资相关的或有负债</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both"/>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both"/>
        <w:rPr>
          <w:rFonts w:ascii="宋体" w:hAnsi="宋体" w:cs="宋体" w:eastAsia="宋体" w:hint="default"/>
          <w:sz w:val="20"/>
          <w:szCs w:val="20"/>
        </w:rPr>
      </w:pPr>
      <w:bookmarkStart w:name="4、重要的共同经营" w:id="414"/>
      <w:bookmarkEnd w:id="414"/>
      <w:r>
        <w:rPr/>
      </w:r>
      <w:r>
        <w:rPr>
          <w:rFonts w:ascii="宋体" w:hAnsi="宋体" w:cs="宋体" w:eastAsia="宋体" w:hint="default"/>
          <w:b/>
          <w:bCs/>
          <w:sz w:val="20"/>
          <w:szCs w:val="20"/>
        </w:rPr>
        <w:t>4</w:t>
      </w:r>
      <w:r>
        <w:rPr>
          <w:rFonts w:ascii="宋体" w:hAnsi="宋体" w:cs="宋体" w:eastAsia="宋体" w:hint="default"/>
          <w:b/>
          <w:bCs/>
          <w:sz w:val="20"/>
          <w:szCs w:val="20"/>
        </w:rPr>
        <w:t>、重要的共同经营</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both"/>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both"/>
        <w:rPr>
          <w:rFonts w:ascii="宋体" w:hAnsi="宋体" w:cs="宋体" w:eastAsia="宋体" w:hint="default"/>
          <w:sz w:val="20"/>
          <w:szCs w:val="20"/>
        </w:rPr>
      </w:pPr>
      <w:bookmarkStart w:name="5、在未纳入合并财务报表范围的结构化主体中的权益" w:id="415"/>
      <w:bookmarkEnd w:id="415"/>
      <w:r>
        <w:rPr/>
      </w:r>
      <w:r>
        <w:rPr>
          <w:rFonts w:ascii="宋体" w:hAnsi="宋体" w:cs="宋体" w:eastAsia="宋体" w:hint="default"/>
          <w:b/>
          <w:bCs/>
          <w:sz w:val="20"/>
          <w:szCs w:val="20"/>
        </w:rPr>
        <w:t>5</w:t>
      </w:r>
      <w:r>
        <w:rPr>
          <w:rFonts w:ascii="宋体" w:hAnsi="宋体" w:cs="宋体" w:eastAsia="宋体" w:hint="default"/>
          <w:b/>
          <w:bCs/>
          <w:sz w:val="20"/>
          <w:szCs w:val="20"/>
        </w:rPr>
        <w:t>、在未纳入合并财务报表范围的结构化主体中的权益</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both"/>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both"/>
        <w:rPr>
          <w:rFonts w:ascii="宋体" w:hAnsi="宋体" w:cs="宋体" w:eastAsia="宋体" w:hint="default"/>
          <w:sz w:val="20"/>
          <w:szCs w:val="20"/>
        </w:rPr>
      </w:pPr>
      <w:bookmarkStart w:name="6、其他" w:id="416"/>
      <w:bookmarkEnd w:id="416"/>
      <w:r>
        <w:rPr/>
      </w:r>
      <w:r>
        <w:rPr>
          <w:rFonts w:ascii="宋体" w:hAnsi="宋体" w:cs="宋体" w:eastAsia="宋体" w:hint="default"/>
          <w:b/>
          <w:bCs/>
          <w:sz w:val="20"/>
          <w:szCs w:val="20"/>
        </w:rPr>
        <w:t>6</w:t>
      </w:r>
      <w:r>
        <w:rPr>
          <w:rFonts w:ascii="宋体" w:hAnsi="宋体" w:cs="宋体" w:eastAsia="宋体" w:hint="default"/>
          <w:b/>
          <w:bCs/>
          <w:sz w:val="20"/>
          <w:szCs w:val="20"/>
        </w:rPr>
        <w:t>、其他</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spacing w:line="408" w:lineRule="auto" w:before="0"/>
        <w:ind w:left="1557" w:right="1014" w:hanging="424"/>
        <w:jc w:val="left"/>
        <w:rPr>
          <w:rFonts w:ascii="宋体" w:hAnsi="宋体" w:cs="宋体" w:eastAsia="宋体" w:hint="default"/>
          <w:sz w:val="21"/>
          <w:szCs w:val="21"/>
        </w:rPr>
      </w:pPr>
      <w:bookmarkStart w:name="十、与金融工具相关的风险" w:id="417"/>
      <w:bookmarkEnd w:id="417"/>
      <w:r>
        <w:rPr/>
      </w:r>
      <w:r>
        <w:rPr>
          <w:rFonts w:ascii="宋体" w:hAnsi="宋体" w:cs="宋体" w:eastAsia="宋体" w:hint="default"/>
          <w:b/>
          <w:bCs/>
          <w:sz w:val="21"/>
          <w:szCs w:val="21"/>
        </w:rPr>
        <w:t>十、与金融工具相关的风险</w:t>
      </w:r>
      <w:r>
        <w:rPr>
          <w:rFonts w:ascii="宋体" w:hAnsi="宋体" w:cs="宋体" w:eastAsia="宋体" w:hint="default"/>
          <w:b/>
          <w:bCs/>
          <w:w w:val="99"/>
          <w:sz w:val="21"/>
          <w:szCs w:val="21"/>
        </w:rPr>
        <w:t> </w:t>
      </w:r>
      <w:r>
        <w:rPr>
          <w:rFonts w:ascii="宋体" w:hAnsi="宋体" w:cs="宋体" w:eastAsia="宋体" w:hint="default"/>
          <w:spacing w:val="-3"/>
          <w:sz w:val="21"/>
          <w:szCs w:val="21"/>
        </w:rPr>
        <w:t>公司的主要金融工具包括应收账款、应付账款等，各项金融工具的详细情况说明见本附注五相关项目。</w:t>
      </w:r>
    </w:p>
    <w:p>
      <w:pPr>
        <w:pStyle w:val="BodyText"/>
        <w:spacing w:line="408" w:lineRule="auto" w:before="46"/>
        <w:ind w:right="0"/>
        <w:jc w:val="left"/>
      </w:pPr>
      <w:r>
        <w:rPr>
          <w:spacing w:val="-1"/>
        </w:rPr>
        <w:t>与这些金融工具有关的风险，以及公司为降低这些风险所采取的风险管理政策如下所述。公司管理层对这</w:t>
      </w:r>
      <w:r>
        <w:rPr>
          <w:spacing w:val="-81"/>
        </w:rPr>
        <w:t> </w:t>
      </w:r>
      <w:r>
        <w:rPr>
          <w:spacing w:val="-81"/>
        </w:rPr>
      </w:r>
      <w:r>
        <w:rPr/>
        <w:t>些风险敞口进行管理和监控以确保将上述风险控制在限定的范围之内。</w:t>
      </w:r>
    </w:p>
    <w:p>
      <w:pPr>
        <w:pStyle w:val="BodyText"/>
        <w:spacing w:line="408" w:lineRule="auto" w:before="46"/>
        <w:ind w:right="1105" w:firstLine="423"/>
        <w:jc w:val="both"/>
      </w:pPr>
      <w:r>
        <w:rPr/>
        <w:t>公司采用敏感性分析技术分析风险变量的合理、可能变化对当期损益或所有者权益可能产生的影响。 由于任何风险变量很少孤立地发生变化，而变量之间存在的相关性对某一风险变量的变化的最终影响金额 将产生重大作用，因此下述内容是在假设每一变量的变化是在独立的情况下进行的。</w:t>
      </w:r>
    </w:p>
    <w:p>
      <w:pPr>
        <w:pStyle w:val="BodyText"/>
        <w:spacing w:line="408" w:lineRule="auto" w:before="46"/>
        <w:ind w:right="1131" w:firstLine="423"/>
        <w:jc w:val="both"/>
      </w:pPr>
      <w:r>
        <w:rPr>
          <w:spacing w:val="-1"/>
        </w:rPr>
        <w:t>公司从事风险管理的目标是在风险和收益之间取得适当的平衡，将风险对本公司经营业绩的负面影响</w:t>
      </w:r>
      <w:r>
        <w:rPr/>
        <w:t> </w:t>
      </w:r>
      <w:r>
        <w:rPr>
          <w:spacing w:val="-1"/>
        </w:rPr>
        <w:t>降低到最低水平，使股东及其其他权益投资者的利益最大化。基于该风险管理目标，本公司风险管理的基</w:t>
      </w:r>
      <w:r>
        <w:rPr>
          <w:spacing w:val="-83"/>
        </w:rPr>
        <w:t> </w:t>
      </w:r>
      <w:r>
        <w:rPr>
          <w:spacing w:val="-83"/>
        </w:rPr>
      </w:r>
      <w:r>
        <w:rPr>
          <w:spacing w:val="-1"/>
        </w:rPr>
        <w:t>本策略是确定和分析本公司所面临的各种风险，建立适当的风险承受底线和进行风险管理，并及时可靠地</w:t>
      </w:r>
      <w:r>
        <w:rPr>
          <w:spacing w:val="-81"/>
        </w:rPr>
        <w:t> </w:t>
      </w:r>
      <w:r>
        <w:rPr>
          <w:spacing w:val="-81"/>
        </w:rPr>
      </w:r>
      <w:r>
        <w:rPr/>
        <w:t>对各种风险进行监督，将风险控制在限定的范围之内。</w:t>
      </w:r>
    </w:p>
    <w:p>
      <w:pPr>
        <w:pStyle w:val="BodyText"/>
        <w:spacing w:line="408" w:lineRule="auto" w:before="46"/>
        <w:ind w:left="1557" w:right="1116"/>
        <w:jc w:val="left"/>
      </w:pPr>
      <w:r>
        <w:rPr>
          <w:rFonts w:ascii="宋体" w:hAnsi="宋体" w:cs="宋体" w:eastAsia="宋体" w:hint="default"/>
        </w:rPr>
        <w:t>1</w:t>
      </w:r>
      <w:r>
        <w:rPr/>
        <w:t>、信用风险 </w:t>
      </w:r>
      <w:r>
        <w:rPr>
          <w:spacing w:val="-1"/>
        </w:rPr>
        <w:t>信用风险，是指金融工具的一方不履行义务，造成另一方发生财务损失的风险。为降低信用风险，本</w:t>
      </w:r>
    </w:p>
    <w:p>
      <w:pPr>
        <w:pStyle w:val="BodyText"/>
        <w:spacing w:line="408" w:lineRule="auto" w:before="46"/>
        <w:ind w:right="1131"/>
        <w:jc w:val="both"/>
      </w:pPr>
      <w:r>
        <w:rPr>
          <w:spacing w:val="-1"/>
        </w:rPr>
        <w:t>公司成立了一个小组负责确定信用额度、进行信用审批，并执行其他监控程序以确保采取必要的措施回收</w:t>
      </w:r>
      <w:r>
        <w:rPr>
          <w:spacing w:val="-81"/>
        </w:rPr>
        <w:t> </w:t>
      </w:r>
      <w:r>
        <w:rPr>
          <w:spacing w:val="-81"/>
        </w:rPr>
      </w:r>
      <w:r>
        <w:rPr>
          <w:spacing w:val="-1"/>
        </w:rPr>
        <w:t>过期债权。此外，本公司于每个资产负债表日审核每一单项应收款的回收情况，以确保就无法回收的款项</w:t>
      </w:r>
      <w:r>
        <w:rPr>
          <w:spacing w:val="-83"/>
        </w:rPr>
        <w:t> </w:t>
      </w:r>
      <w:r>
        <w:rPr>
          <w:spacing w:val="-83"/>
        </w:rPr>
      </w:r>
      <w:r>
        <w:rPr/>
        <w:t>计提充分的坏账准备或核销。因此，本公司管理层认为本公司所承担的信用风险已经大为降低。</w:t>
      </w:r>
    </w:p>
    <w:p>
      <w:pPr>
        <w:pStyle w:val="BodyText"/>
        <w:spacing w:line="408" w:lineRule="auto" w:before="46"/>
        <w:ind w:left="1557" w:right="0"/>
        <w:jc w:val="left"/>
      </w:pPr>
      <w:r>
        <w:rPr>
          <w:rFonts w:ascii="宋体" w:hAnsi="宋体" w:cs="宋体" w:eastAsia="宋体" w:hint="default"/>
        </w:rPr>
        <w:t>2</w:t>
      </w:r>
      <w:r>
        <w:rPr/>
        <w:t>、流动性风险 </w:t>
      </w:r>
      <w:r>
        <w:rPr>
          <w:spacing w:val="-1"/>
        </w:rPr>
        <w:t>流动性风险，是指在履行以交付现金或其他金融资产的方式结算的义务时发生资金短缺的风险。管理</w:t>
      </w:r>
    </w:p>
    <w:p>
      <w:pPr>
        <w:pStyle w:val="BodyText"/>
        <w:spacing w:line="240" w:lineRule="auto" w:before="46"/>
        <w:ind w:right="0"/>
        <w:jc w:val="both"/>
      </w:pPr>
      <w:r>
        <w:rPr/>
        <w:t>流动风险时，本公司保持管理层认为充分的现金及现金等价物并对其进行监控，以满足本公司经营需要，</w:t>
      </w:r>
    </w:p>
    <w:p>
      <w:pPr>
        <w:spacing w:after="0" w:line="240"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left="1557" w:right="8023" w:hanging="424"/>
        <w:jc w:val="left"/>
      </w:pPr>
      <w:r>
        <w:rPr/>
        <w:t>并降低现金流量波动的影响。 </w:t>
      </w:r>
      <w:r>
        <w:rPr>
          <w:rFonts w:ascii="宋体" w:hAnsi="宋体" w:cs="宋体" w:eastAsia="宋体" w:hint="default"/>
        </w:rPr>
        <w:t>3</w:t>
      </w:r>
      <w:r>
        <w:rPr/>
        <w:t>、市场风险</w:t>
      </w:r>
    </w:p>
    <w:p>
      <w:pPr>
        <w:pStyle w:val="BodyText"/>
        <w:spacing w:line="408" w:lineRule="auto" w:before="46"/>
        <w:ind w:right="1090" w:firstLine="423"/>
        <w:jc w:val="left"/>
      </w:pPr>
      <w:r>
        <w:rPr/>
        <w:t>金融工具的市场风险，是指金融工具的公允价值或未来现金流量因市场价格变动而发生波动的风险， 包括汇率风险、利率风险和其他价格风险。</w:t>
      </w:r>
    </w:p>
    <w:p>
      <w:pPr>
        <w:pStyle w:val="BodyText"/>
        <w:spacing w:line="408" w:lineRule="auto" w:before="46"/>
        <w:ind w:left="1557" w:right="0"/>
        <w:jc w:val="left"/>
      </w:pPr>
      <w:r>
        <w:rPr/>
        <w:t>（</w:t>
      </w:r>
      <w:r>
        <w:rPr>
          <w:rFonts w:ascii="宋体" w:hAnsi="宋体" w:cs="宋体" w:eastAsia="宋体" w:hint="default"/>
        </w:rPr>
        <w:t>1</w:t>
      </w:r>
      <w:r>
        <w:rPr/>
        <w:t>）汇率风险 </w:t>
      </w:r>
      <w:r>
        <w:rPr>
          <w:spacing w:val="-1"/>
        </w:rPr>
        <w:t>汇率风险，是指金融工具的公允价值或未来现金流量因外汇汇率变动而发生波动的风险。汇率风险可</w:t>
      </w:r>
    </w:p>
    <w:p>
      <w:pPr>
        <w:pStyle w:val="BodyText"/>
        <w:spacing w:line="408" w:lineRule="auto" w:before="46"/>
        <w:ind w:left="1557" w:right="5919" w:hanging="424"/>
        <w:jc w:val="left"/>
      </w:pPr>
      <w:r>
        <w:rPr/>
        <w:t>源于以记账本位币之外的外币进行计价的金融工具。 本公司无以记账本位币之外的外币计价的资产。</w:t>
      </w:r>
    </w:p>
    <w:p>
      <w:pPr>
        <w:pStyle w:val="BodyText"/>
        <w:spacing w:line="408" w:lineRule="auto" w:before="46"/>
        <w:ind w:left="1557" w:right="0"/>
        <w:jc w:val="left"/>
      </w:pPr>
      <w:r>
        <w:rPr/>
        <w:t>（</w:t>
      </w:r>
      <w:r>
        <w:rPr>
          <w:rFonts w:ascii="宋体" w:hAnsi="宋体" w:cs="宋体" w:eastAsia="宋体" w:hint="default"/>
        </w:rPr>
        <w:t>2</w:t>
      </w:r>
      <w:r>
        <w:rPr/>
        <w:t>）利率风险 </w:t>
      </w:r>
      <w:r>
        <w:rPr>
          <w:spacing w:val="-1"/>
        </w:rPr>
        <w:t>利率风险，是指金融工具的公允价值或未来现金流量因市场利率变动而发生波动的风险。利率风险可</w:t>
      </w:r>
    </w:p>
    <w:p>
      <w:pPr>
        <w:pStyle w:val="BodyText"/>
        <w:spacing w:line="408" w:lineRule="auto" w:before="46"/>
        <w:ind w:left="1557" w:right="4453" w:hanging="424"/>
        <w:jc w:val="left"/>
      </w:pPr>
      <w:r>
        <w:rPr/>
        <w:t>源于已确认的计息金融工具和未确认的金融工具</w:t>
      </w:r>
      <w:r>
        <w:rPr>
          <w:rFonts w:ascii="宋体" w:hAnsi="宋体" w:cs="宋体" w:eastAsia="宋体" w:hint="default"/>
        </w:rPr>
        <w:t>(</w:t>
      </w:r>
      <w:r>
        <w:rPr/>
        <w:t>如某些贷款承诺</w:t>
      </w:r>
      <w:r>
        <w:rPr>
          <w:rFonts w:ascii="宋体" w:hAnsi="宋体" w:cs="宋体" w:eastAsia="宋体" w:hint="default"/>
        </w:rPr>
        <w:t>)</w:t>
      </w:r>
      <w:r>
        <w:rPr/>
        <w:t>。 本公司的借款利率情况：</w:t>
      </w:r>
    </w:p>
    <w:p>
      <w:pPr>
        <w:pStyle w:val="BodyText"/>
        <w:spacing w:line="240" w:lineRule="auto" w:before="46"/>
        <w:ind w:left="1557" w:right="0"/>
        <w:jc w:val="left"/>
      </w:pPr>
      <w:r>
        <w:rPr/>
        <w:t>假设在其他条件不变的情况下，借款利率上升或下降</w:t>
      </w:r>
      <w:r>
        <w:rPr>
          <w:rFonts w:ascii="宋体" w:hAnsi="宋体" w:cs="宋体" w:eastAsia="宋体" w:hint="default"/>
        </w:rPr>
        <w:t>1%</w:t>
      </w:r>
      <w:r>
        <w:rPr/>
        <w:t>，则可能影响本公司本期的净利润</w:t>
      </w:r>
      <w:r>
        <w:rPr>
          <w:rFonts w:ascii="宋体" w:hAnsi="宋体" w:cs="宋体" w:eastAsia="宋体" w:hint="default"/>
        </w:rPr>
        <w:t>51</w:t>
      </w:r>
      <w:r>
        <w:rPr/>
        <w:t>万元。</w:t>
      </w:r>
    </w:p>
    <w:p>
      <w:pPr>
        <w:spacing w:line="240" w:lineRule="auto" w:before="10"/>
        <w:rPr>
          <w:rFonts w:ascii="宋体" w:hAnsi="宋体" w:cs="宋体" w:eastAsia="宋体" w:hint="default"/>
          <w:sz w:val="14"/>
          <w:szCs w:val="14"/>
        </w:rPr>
      </w:pPr>
    </w:p>
    <w:p>
      <w:pPr>
        <w:pStyle w:val="BodyText"/>
        <w:spacing w:line="408" w:lineRule="auto"/>
        <w:ind w:left="1557" w:right="0"/>
        <w:jc w:val="left"/>
      </w:pPr>
      <w:r>
        <w:rPr/>
        <w:t>（</w:t>
      </w:r>
      <w:r>
        <w:rPr>
          <w:rFonts w:ascii="宋体" w:hAnsi="宋体" w:cs="宋体" w:eastAsia="宋体" w:hint="default"/>
        </w:rPr>
        <w:t>3</w:t>
      </w:r>
      <w:r>
        <w:rPr/>
        <w:t>）其他价格风险 </w:t>
      </w:r>
      <w:r>
        <w:rPr>
          <w:spacing w:val="-1"/>
        </w:rPr>
        <w:t>其他价格风险，是指汇率风险和利率风险以外的市场价格变动而发生波动的风险，无论这些变动是由</w:t>
      </w:r>
    </w:p>
    <w:p>
      <w:pPr>
        <w:pStyle w:val="BodyText"/>
        <w:spacing w:line="408" w:lineRule="auto" w:before="46"/>
        <w:ind w:left="1134" w:right="0"/>
        <w:jc w:val="left"/>
      </w:pPr>
      <w:r>
        <w:rPr>
          <w:spacing w:val="-1"/>
        </w:rPr>
        <w:t>于与单项金融工具或其发行方有关的因素而引起的，还是由于与市场内交易的所有类似金融工具有关的因</w:t>
      </w:r>
      <w:r>
        <w:rPr>
          <w:spacing w:val="-81"/>
        </w:rPr>
        <w:t> </w:t>
      </w:r>
      <w:r>
        <w:rPr>
          <w:spacing w:val="-81"/>
        </w:rPr>
      </w:r>
      <w:r>
        <w:rPr/>
        <w:t>素而引起的。其他价格风险可源于商品价格或权益工具价格等的变化。</w:t>
      </w:r>
    </w:p>
    <w:p>
      <w:pPr>
        <w:spacing w:line="477" w:lineRule="auto" w:before="46"/>
        <w:ind w:left="1134" w:right="7599" w:firstLine="423"/>
        <w:jc w:val="left"/>
        <w:rPr>
          <w:rFonts w:ascii="宋体" w:hAnsi="宋体" w:cs="宋体" w:eastAsia="宋体" w:hint="default"/>
          <w:sz w:val="21"/>
          <w:szCs w:val="21"/>
        </w:rPr>
      </w:pPr>
      <w:r>
        <w:rPr>
          <w:rFonts w:ascii="宋体" w:hAnsi="宋体" w:cs="宋体" w:eastAsia="宋体" w:hint="default"/>
          <w:sz w:val="21"/>
          <w:szCs w:val="21"/>
        </w:rPr>
        <w:t>公司本期间无其他价格风险。 </w:t>
      </w:r>
      <w:bookmarkStart w:name="十一、公允价值的披露" w:id="418"/>
      <w:bookmarkEnd w:id="418"/>
      <w:r>
        <w:rPr>
          <w:rFonts w:ascii="宋体" w:hAnsi="宋体" w:cs="宋体" w:eastAsia="宋体" w:hint="default"/>
          <w:sz w:val="21"/>
          <w:szCs w:val="21"/>
        </w:rPr>
      </w:r>
      <w:r>
        <w:rPr>
          <w:rFonts w:ascii="宋体" w:hAnsi="宋体" w:cs="宋体" w:eastAsia="宋体" w:hint="default"/>
          <w:b/>
          <w:bCs/>
          <w:sz w:val="21"/>
          <w:szCs w:val="21"/>
        </w:rPr>
        <w:t>十一、公允价值的披露</w:t>
      </w:r>
      <w:r>
        <w:rPr>
          <w:rFonts w:ascii="宋体" w:hAnsi="宋体" w:cs="宋体" w:eastAsia="宋体" w:hint="default"/>
          <w:sz w:val="21"/>
          <w:szCs w:val="21"/>
        </w:rPr>
      </w:r>
    </w:p>
    <w:p>
      <w:pPr>
        <w:spacing w:line="513" w:lineRule="auto" w:before="141"/>
        <w:ind w:left="1133" w:right="6793" w:firstLine="0"/>
        <w:jc w:val="left"/>
        <w:rPr>
          <w:rFonts w:ascii="宋体" w:hAnsi="宋体" w:cs="宋体" w:eastAsia="宋体" w:hint="default"/>
          <w:sz w:val="20"/>
          <w:szCs w:val="20"/>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十二、关联方及关联交易" w:id="419"/>
      <w:bookmarkEnd w:id="419"/>
      <w:r>
        <w:rPr>
          <w:rFonts w:ascii="宋体" w:hAnsi="宋体" w:cs="宋体" w:eastAsia="宋体" w:hint="default"/>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bookmarkStart w:name="1、本企业的母公司情况" w:id="420"/>
      <w:bookmarkEnd w:id="420"/>
      <w:r>
        <w:rPr>
          <w:rFonts w:ascii="宋体" w:hAnsi="宋体" w:cs="宋体" w:eastAsia="宋体" w:hint="default"/>
          <w:b/>
          <w:bCs/>
          <w:spacing w:val="7"/>
          <w:w w:val="95"/>
          <w:sz w:val="24"/>
          <w:szCs w:val="24"/>
        </w:rPr>
      </w:r>
      <w:r>
        <w:rPr>
          <w:rFonts w:ascii="宋体" w:hAnsi="宋体" w:cs="宋体" w:eastAsia="宋体" w:hint="default"/>
          <w:b/>
          <w:bCs/>
          <w:sz w:val="20"/>
          <w:szCs w:val="20"/>
        </w:rPr>
        <w:t>1</w:t>
      </w:r>
      <w:r>
        <w:rPr>
          <w:rFonts w:ascii="宋体" w:hAnsi="宋体" w:cs="宋体" w:eastAsia="宋体" w:hint="default"/>
          <w:b/>
          <w:bCs/>
          <w:sz w:val="20"/>
          <w:szCs w:val="20"/>
        </w:rPr>
        <w:t>、本企业的母公司情况</w:t>
      </w:r>
      <w:r>
        <w:rPr>
          <w:rFonts w:ascii="宋体" w:hAnsi="宋体" w:cs="宋体" w:eastAsia="宋体" w:hint="default"/>
          <w:sz w:val="20"/>
          <w:szCs w:val="20"/>
        </w:rPr>
      </w:r>
    </w:p>
    <w:tbl>
      <w:tblPr>
        <w:tblW w:w="0" w:type="auto"/>
        <w:jc w:val="left"/>
        <w:tblInd w:w="1118"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27" w:hRule="exact"/>
        </w:trPr>
        <w:tc>
          <w:tcPr>
            <w:tcW w:w="15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429"/>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35"/>
              <w:ind w:left="430"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35"/>
              <w:ind w:left="339" w:right="60"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27" w:hRule="exact"/>
        </w:trPr>
        <w:tc>
          <w:tcPr>
            <w:tcW w:w="1596"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35"/>
              <w:ind w:left="242" w:right="69" w:hanging="180"/>
              <w:jc w:val="left"/>
              <w:rPr>
                <w:rFonts w:ascii="宋体" w:hAnsi="宋体" w:cs="宋体" w:eastAsia="宋体" w:hint="default"/>
                <w:sz w:val="18"/>
                <w:szCs w:val="18"/>
              </w:rPr>
            </w:pPr>
            <w:r>
              <w:rPr>
                <w:rFonts w:ascii="宋体" w:hAnsi="宋体" w:cs="宋体" w:eastAsia="宋体" w:hint="default"/>
                <w:sz w:val="18"/>
                <w:szCs w:val="18"/>
              </w:rPr>
              <w:t>江苏光一投资管理 有限责任公司</w:t>
            </w:r>
          </w:p>
        </w:tc>
        <w:tc>
          <w:tcPr>
            <w:tcW w:w="15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江苏南京</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429"/>
              <w:jc w:val="right"/>
              <w:rPr>
                <w:rFonts w:ascii="宋体" w:hAnsi="宋体" w:cs="宋体" w:eastAsia="宋体" w:hint="default"/>
                <w:sz w:val="18"/>
                <w:szCs w:val="18"/>
              </w:rPr>
            </w:pPr>
            <w:r>
              <w:rPr>
                <w:rFonts w:ascii="宋体" w:hAnsi="宋体" w:cs="宋体" w:eastAsia="宋体" w:hint="default"/>
                <w:sz w:val="18"/>
                <w:szCs w:val="18"/>
              </w:rPr>
              <w:t>投资管理</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20" w:right="0"/>
              <w:jc w:val="left"/>
              <w:rPr>
                <w:rFonts w:ascii="宋体" w:hAnsi="宋体" w:cs="宋体" w:eastAsia="宋体" w:hint="default"/>
                <w:sz w:val="18"/>
                <w:szCs w:val="18"/>
              </w:rPr>
            </w:pPr>
            <w:r>
              <w:rPr>
                <w:rFonts w:ascii="宋体"/>
                <w:sz w:val="18"/>
              </w:rPr>
              <w:t>26.42%</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18" w:right="0"/>
              <w:jc w:val="left"/>
              <w:rPr>
                <w:rFonts w:ascii="宋体" w:hAnsi="宋体" w:cs="宋体" w:eastAsia="宋体" w:hint="default"/>
                <w:sz w:val="18"/>
                <w:szCs w:val="18"/>
              </w:rPr>
            </w:pPr>
            <w:r>
              <w:rPr>
                <w:rFonts w:ascii="宋体"/>
                <w:sz w:val="18"/>
              </w:rPr>
              <w:t>26.42%</w:t>
            </w:r>
          </w:p>
        </w:tc>
      </w:tr>
    </w:tbl>
    <w:p>
      <w:pPr>
        <w:spacing w:line="417" w:lineRule="auto" w:before="47"/>
        <w:ind w:left="1134" w:right="7392" w:firstLine="0"/>
        <w:jc w:val="left"/>
        <w:rPr>
          <w:rFonts w:ascii="宋体" w:hAnsi="宋体" w:cs="宋体" w:eastAsia="宋体" w:hint="default"/>
          <w:sz w:val="21"/>
          <w:szCs w:val="21"/>
        </w:rPr>
      </w:pPr>
      <w:r>
        <w:rPr>
          <w:rFonts w:ascii="宋体" w:hAnsi="宋体" w:cs="宋体" w:eastAsia="宋体" w:hint="default"/>
          <w:sz w:val="21"/>
          <w:szCs w:val="21"/>
        </w:rPr>
        <w:t>本企业最终控制方是龙昌明。 </w:t>
      </w:r>
      <w:bookmarkStart w:name="2、本企业的子公司情况" w:id="421"/>
      <w:bookmarkEnd w:id="421"/>
      <w:r>
        <w:rPr>
          <w:rFonts w:ascii="宋体" w:hAnsi="宋体" w:cs="宋体" w:eastAsia="宋体" w:hint="default"/>
          <w:sz w:val="21"/>
          <w:szCs w:val="21"/>
        </w:rPr>
      </w:r>
      <w:r>
        <w:rPr>
          <w:rFonts w:ascii="宋体" w:hAnsi="宋体" w:cs="宋体" w:eastAsia="宋体" w:hint="default"/>
          <w:b/>
          <w:bCs/>
          <w:sz w:val="20"/>
          <w:szCs w:val="20"/>
        </w:rPr>
        <w:t>2</w:t>
      </w:r>
      <w:r>
        <w:rPr>
          <w:rFonts w:ascii="宋体" w:hAnsi="宋体" w:cs="宋体" w:eastAsia="宋体" w:hint="default"/>
          <w:b/>
          <w:bCs/>
          <w:sz w:val="20"/>
          <w:szCs w:val="20"/>
        </w:rPr>
        <w:t>、本企业的子公司情况</w:t>
      </w:r>
      <w:r>
        <w:rPr>
          <w:rFonts w:ascii="宋体" w:hAnsi="宋体" w:cs="宋体" w:eastAsia="宋体" w:hint="default"/>
          <w:b/>
          <w:bCs/>
          <w:w w:val="99"/>
          <w:sz w:val="20"/>
          <w:szCs w:val="20"/>
        </w:rPr>
        <w:t> </w:t>
      </w:r>
      <w:r>
        <w:rPr>
          <w:rFonts w:ascii="宋体" w:hAnsi="宋体" w:cs="宋体" w:eastAsia="宋体" w:hint="default"/>
          <w:sz w:val="21"/>
          <w:szCs w:val="21"/>
        </w:rPr>
        <w:t>本企业子公司的情况详见附注九</w:t>
      </w:r>
      <w:r>
        <w:rPr>
          <w:rFonts w:ascii="宋体" w:hAnsi="宋体" w:cs="宋体" w:eastAsia="宋体" w:hint="default"/>
          <w:sz w:val="21"/>
          <w:szCs w:val="21"/>
        </w:rPr>
        <w:t>.1</w:t>
      </w:r>
      <w:r>
        <w:rPr>
          <w:rFonts w:ascii="宋体" w:hAnsi="宋体" w:cs="宋体" w:eastAsia="宋体" w:hint="default"/>
          <w:sz w:val="21"/>
          <w:szCs w:val="21"/>
        </w:rPr>
        <w:t>。</w:t>
      </w:r>
    </w:p>
    <w:p>
      <w:pPr>
        <w:spacing w:after="0" w:line="417" w:lineRule="auto"/>
        <w:jc w:val="left"/>
        <w:rPr>
          <w:rFonts w:ascii="宋体" w:hAnsi="宋体" w:cs="宋体" w:eastAsia="宋体" w:hint="default"/>
          <w:sz w:val="21"/>
          <w:szCs w:val="21"/>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417" w:lineRule="auto" w:before="0"/>
        <w:ind w:left="1133" w:right="6553" w:firstLine="0"/>
        <w:jc w:val="left"/>
        <w:rPr>
          <w:rFonts w:ascii="宋体" w:hAnsi="宋体" w:cs="宋体" w:eastAsia="宋体" w:hint="default"/>
          <w:sz w:val="20"/>
          <w:szCs w:val="20"/>
        </w:rPr>
      </w:pPr>
      <w:bookmarkStart w:name="3、本企业合营和联营企业情况" w:id="422"/>
      <w:bookmarkEnd w:id="422"/>
      <w:r>
        <w:rPr/>
      </w:r>
      <w:r>
        <w:rPr>
          <w:rFonts w:ascii="宋体" w:hAnsi="宋体" w:cs="宋体" w:eastAsia="宋体" w:hint="default"/>
          <w:b/>
          <w:bCs/>
          <w:sz w:val="20"/>
          <w:szCs w:val="20"/>
        </w:rPr>
        <w:t>3</w:t>
      </w:r>
      <w:r>
        <w:rPr>
          <w:rFonts w:ascii="宋体" w:hAnsi="宋体" w:cs="宋体" w:eastAsia="宋体" w:hint="default"/>
          <w:b/>
          <w:bCs/>
          <w:sz w:val="20"/>
          <w:szCs w:val="20"/>
        </w:rPr>
        <w:t>、本企业合营和联营企业情况</w:t>
      </w:r>
      <w:r>
        <w:rPr>
          <w:rFonts w:ascii="宋体" w:hAnsi="宋体" w:cs="宋体" w:eastAsia="宋体" w:hint="default"/>
          <w:b/>
          <w:bCs/>
          <w:w w:val="99"/>
          <w:sz w:val="20"/>
          <w:szCs w:val="20"/>
        </w:rPr>
        <w:t> </w:t>
      </w:r>
      <w:r>
        <w:rPr>
          <w:rFonts w:ascii="宋体" w:hAnsi="宋体" w:cs="宋体" w:eastAsia="宋体" w:hint="default"/>
          <w:sz w:val="21"/>
          <w:szCs w:val="21"/>
        </w:rPr>
        <w:t>本企业重要的合营或联营企业详见附注九</w:t>
      </w:r>
      <w:r>
        <w:rPr>
          <w:rFonts w:ascii="宋体" w:hAnsi="宋体" w:cs="宋体" w:eastAsia="宋体" w:hint="default"/>
          <w:sz w:val="21"/>
          <w:szCs w:val="21"/>
        </w:rPr>
        <w:t>.3</w:t>
      </w:r>
      <w:r>
        <w:rPr>
          <w:rFonts w:ascii="宋体" w:hAnsi="宋体" w:cs="宋体" w:eastAsia="宋体" w:hint="default"/>
          <w:sz w:val="21"/>
          <w:szCs w:val="21"/>
        </w:rPr>
        <w:t>。 </w:t>
      </w:r>
      <w:bookmarkStart w:name="4、其他关联方情况" w:id="423"/>
      <w:bookmarkEnd w:id="423"/>
      <w:r>
        <w:rPr>
          <w:rFonts w:ascii="宋体" w:hAnsi="宋体" w:cs="宋体" w:eastAsia="宋体" w:hint="default"/>
          <w:sz w:val="21"/>
          <w:szCs w:val="21"/>
        </w:rPr>
      </w:r>
      <w:r>
        <w:rPr>
          <w:rFonts w:ascii="宋体" w:hAnsi="宋体" w:cs="宋体" w:eastAsia="宋体" w:hint="default"/>
          <w:b/>
          <w:bCs/>
          <w:sz w:val="20"/>
          <w:szCs w:val="20"/>
        </w:rPr>
        <w:t>4</w:t>
      </w:r>
      <w:r>
        <w:rPr>
          <w:rFonts w:ascii="宋体" w:hAnsi="宋体" w:cs="宋体" w:eastAsia="宋体" w:hint="default"/>
          <w:b/>
          <w:bCs/>
          <w:sz w:val="20"/>
          <w:szCs w:val="20"/>
        </w:rPr>
        <w:t>、其他关联方情况</w:t>
      </w:r>
      <w:r>
        <w:rPr>
          <w:rFonts w:ascii="宋体" w:hAnsi="宋体" w:cs="宋体" w:eastAsia="宋体" w:hint="default"/>
          <w:sz w:val="20"/>
          <w:szCs w:val="20"/>
        </w:rPr>
      </w:r>
    </w:p>
    <w:tbl>
      <w:tblPr>
        <w:tblW w:w="0" w:type="auto"/>
        <w:jc w:val="left"/>
        <w:tblInd w:w="1118" w:type="dxa"/>
        <w:tblLayout w:type="fixed"/>
        <w:tblCellMar>
          <w:top w:w="0" w:type="dxa"/>
          <w:left w:w="0" w:type="dxa"/>
          <w:bottom w:w="0" w:type="dxa"/>
          <w:right w:w="0" w:type="dxa"/>
        </w:tblCellMar>
        <w:tblLook w:val="01E0"/>
      </w:tblPr>
      <w:tblGrid>
        <w:gridCol w:w="4783"/>
        <w:gridCol w:w="4785"/>
      </w:tblGrid>
      <w:tr>
        <w:trPr>
          <w:trHeight w:val="415" w:hRule="exact"/>
        </w:trPr>
        <w:tc>
          <w:tcPr>
            <w:tcW w:w="478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7"/>
              <w:ind w:right="6"/>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7"/>
              <w:ind w:left="1395"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15" w:hRule="exact"/>
        </w:trPr>
        <w:tc>
          <w:tcPr>
            <w:tcW w:w="478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7"/>
              <w:ind w:left="13"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47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7"/>
              <w:ind w:left="20"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bl>
    <w:p>
      <w:pPr>
        <w:spacing w:before="58"/>
        <w:ind w:left="1134" w:right="0" w:firstLine="0"/>
        <w:jc w:val="left"/>
        <w:rPr>
          <w:rFonts w:ascii="宋体" w:hAnsi="宋体" w:cs="宋体" w:eastAsia="宋体" w:hint="default"/>
          <w:sz w:val="20"/>
          <w:szCs w:val="20"/>
        </w:rPr>
      </w:pPr>
      <w:bookmarkStart w:name="5、关联交易情况" w:id="424"/>
      <w:bookmarkEnd w:id="424"/>
      <w:r>
        <w:rPr/>
      </w:r>
      <w:r>
        <w:rPr>
          <w:rFonts w:ascii="宋体" w:hAnsi="宋体" w:cs="宋体" w:eastAsia="宋体" w:hint="default"/>
          <w:b/>
          <w:bCs/>
          <w:sz w:val="20"/>
          <w:szCs w:val="20"/>
        </w:rPr>
        <w:t>5</w:t>
      </w:r>
      <w:r>
        <w:rPr>
          <w:rFonts w:ascii="宋体" w:hAnsi="宋体" w:cs="宋体" w:eastAsia="宋体" w:hint="default"/>
          <w:b/>
          <w:bCs/>
          <w:sz w:val="20"/>
          <w:szCs w:val="20"/>
        </w:rPr>
        <w:t>、关联交易情况</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购销商品、提供和接受劳务的关联交易" w:id="425"/>
      <w:bookmarkEnd w:id="425"/>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）购销商品、提供和接受劳务的关联交易</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关联受托管理/承包及委托管理/出包情况" w:id="426"/>
      <w:bookmarkEnd w:id="426"/>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）关联受托管理</w:t>
      </w:r>
      <w:r>
        <w:rPr>
          <w:rFonts w:ascii="宋体" w:hAnsi="宋体" w:cs="宋体" w:eastAsia="宋体" w:hint="default"/>
          <w:b/>
          <w:bCs/>
          <w:sz w:val="20"/>
          <w:szCs w:val="20"/>
        </w:rPr>
        <w:t>/</w:t>
      </w:r>
      <w:r>
        <w:rPr>
          <w:rFonts w:ascii="宋体" w:hAnsi="宋体" w:cs="宋体" w:eastAsia="宋体" w:hint="default"/>
          <w:b/>
          <w:bCs/>
          <w:sz w:val="20"/>
          <w:szCs w:val="20"/>
        </w:rPr>
        <w:t>承包及委托管理</w:t>
      </w:r>
      <w:r>
        <w:rPr>
          <w:rFonts w:ascii="宋体" w:hAnsi="宋体" w:cs="宋体" w:eastAsia="宋体" w:hint="default"/>
          <w:b/>
          <w:bCs/>
          <w:sz w:val="20"/>
          <w:szCs w:val="20"/>
        </w:rPr>
        <w:t>/</w:t>
      </w:r>
      <w:r>
        <w:rPr>
          <w:rFonts w:ascii="宋体" w:hAnsi="宋体" w:cs="宋体" w:eastAsia="宋体" w:hint="default"/>
          <w:b/>
          <w:bCs/>
          <w:sz w:val="20"/>
          <w:szCs w:val="20"/>
        </w:rPr>
        <w:t>出包情况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3）关联租赁情况" w:id="427"/>
      <w:bookmarkEnd w:id="427"/>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）关联租赁情况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4）关联担保情况" w:id="428"/>
      <w:bookmarkEnd w:id="428"/>
      <w:r>
        <w:rPr/>
      </w: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）关联担保情况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本公司作为担保方</w:t>
      </w:r>
    </w:p>
    <w:p>
      <w:pPr>
        <w:spacing w:line="240" w:lineRule="auto" w:before="10"/>
        <w:rPr>
          <w:rFonts w:ascii="宋体" w:hAnsi="宋体" w:cs="宋体" w:eastAsia="宋体" w:hint="default"/>
          <w:sz w:val="14"/>
          <w:szCs w:val="14"/>
        </w:rPr>
      </w:pPr>
    </w:p>
    <w:p>
      <w:pPr>
        <w:pStyle w:val="BodyText"/>
        <w:spacing w:line="408" w:lineRule="auto"/>
        <w:ind w:left="1134" w:right="8862"/>
        <w:jc w:val="left"/>
      </w:pPr>
      <w:r>
        <w:rPr/>
        <w:t>□ 适用 √</w:t>
      </w:r>
      <w:r>
        <w:rPr>
          <w:spacing w:val="-1"/>
        </w:rPr>
        <w:t> </w:t>
      </w:r>
      <w:r>
        <w:rPr/>
        <w:t>不适用</w:t>
      </w:r>
      <w:r>
        <w:rPr/>
        <w:t> 本公司作为被担保方</w:t>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2695"/>
        <w:gridCol w:w="1418"/>
        <w:gridCol w:w="1772"/>
        <w:gridCol w:w="1773"/>
        <w:gridCol w:w="1913"/>
      </w:tblGrid>
      <w:tr>
        <w:trPr>
          <w:trHeight w:val="407"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7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77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26" w:hRule="exact"/>
        </w:trPr>
        <w:tc>
          <w:tcPr>
            <w:tcW w:w="2695" w:type="dxa"/>
            <w:tcBorders>
              <w:top w:val="single" w:sz="6" w:space="0" w:color="000000"/>
              <w:left w:val="single" w:sz="12" w:space="0" w:color="000000"/>
              <w:bottom w:val="single" w:sz="6" w:space="0" w:color="000000"/>
              <w:right w:val="single" w:sz="8" w:space="0" w:color="FFFFFF"/>
            </w:tcBorders>
          </w:tcPr>
          <w:p>
            <w:pPr>
              <w:pStyle w:val="TableParagraph"/>
              <w:spacing w:line="316" w:lineRule="auto" w:before="59"/>
              <w:ind w:left="1062" w:right="-44" w:hanging="105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 龙昌明</w:t>
            </w:r>
          </w:p>
        </w:tc>
        <w:tc>
          <w:tcPr>
            <w:tcW w:w="1418" w:type="dxa"/>
            <w:tcBorders>
              <w:top w:val="single" w:sz="6" w:space="0" w:color="000000"/>
              <w:left w:val="single" w:sz="8" w:space="0" w:color="FFFFFF"/>
              <w:bottom w:val="single" w:sz="6" w:space="0" w:color="000000"/>
              <w:right w:val="single" w:sz="6" w:space="0" w:color="000000"/>
            </w:tcBorders>
          </w:tcPr>
          <w:p>
            <w:pPr>
              <w:pStyle w:val="TableParagraph"/>
              <w:spacing w:line="156" w:lineRule="exact"/>
              <w:ind w:left="-3"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70.2pt;height:7.8pt;mso-position-horizontal-relative:char;mso-position-vertical-relative:line" coordorigin="0,0" coordsize="1404,156">
                  <v:group style="position:absolute;left:0;top:0;width:1404;height:156" coordorigin="0,0" coordsize="1404,156">
                    <v:shape style="position:absolute;left:0;top:0;width:1404;height:156" coordorigin="0,0" coordsize="1404,156" path="m0,156l1403,156,1403,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59"/>
              <w:ind w:right="21"/>
              <w:jc w:val="right"/>
              <w:rPr>
                <w:rFonts w:ascii="宋体" w:hAnsi="宋体" w:cs="宋体" w:eastAsia="宋体" w:hint="default"/>
                <w:sz w:val="18"/>
                <w:szCs w:val="18"/>
              </w:rPr>
            </w:pPr>
            <w:r>
              <w:rPr>
                <w:rFonts w:ascii="宋体"/>
                <w:sz w:val="18"/>
              </w:rPr>
              <w:t>3,000,000.00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40,000,000.00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3"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60,000,000.00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3"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30,000,000.00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3"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27" w:hRule="exact"/>
        </w:trPr>
        <w:tc>
          <w:tcPr>
            <w:tcW w:w="2695" w:type="dxa"/>
            <w:tcBorders>
              <w:top w:val="single" w:sz="6" w:space="0" w:color="000000"/>
              <w:left w:val="single" w:sz="12" w:space="0" w:color="000000"/>
              <w:bottom w:val="single" w:sz="12" w:space="0" w:color="000000"/>
              <w:right w:val="single" w:sz="8" w:space="0" w:color="FFFFFF"/>
            </w:tcBorders>
          </w:tcPr>
          <w:p>
            <w:pPr>
              <w:pStyle w:val="TableParagraph"/>
              <w:spacing w:line="319" w:lineRule="auto" w:before="51"/>
              <w:ind w:left="1062" w:right="-44" w:hanging="105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 龙昌明</w:t>
            </w:r>
          </w:p>
        </w:tc>
        <w:tc>
          <w:tcPr>
            <w:tcW w:w="1418" w:type="dxa"/>
            <w:tcBorders>
              <w:top w:val="single" w:sz="6" w:space="0" w:color="000000"/>
              <w:left w:val="single" w:sz="8" w:space="0" w:color="FFFFFF"/>
              <w:bottom w:val="single" w:sz="12" w:space="0" w:color="000000"/>
              <w:right w:val="single" w:sz="6" w:space="0" w:color="000000"/>
            </w:tcBorders>
          </w:tcPr>
          <w:p>
            <w:pPr>
              <w:pStyle w:val="TableParagraph"/>
              <w:spacing w:line="156" w:lineRule="exact"/>
              <w:ind w:left="-3"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70.2pt;height:7.8pt;mso-position-horizontal-relative:char;mso-position-vertical-relative:line" coordorigin="0,0" coordsize="1404,156">
                  <v:group style="position:absolute;left:0;top:0;width:1404;height:156" coordorigin="0,0" coordsize="1404,156">
                    <v:shape style="position:absolute;left:0;top:0;width:1404;height:156" coordorigin="0,0" coordsize="1404,156" path="m0,156l1403,156,1403,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51"/>
              <w:ind w:right="21"/>
              <w:jc w:val="right"/>
              <w:rPr>
                <w:rFonts w:ascii="宋体" w:hAnsi="宋体" w:cs="宋体" w:eastAsia="宋体" w:hint="default"/>
                <w:sz w:val="18"/>
                <w:szCs w:val="18"/>
              </w:rPr>
            </w:pPr>
            <w:r>
              <w:rPr>
                <w:rFonts w:ascii="宋体"/>
                <w:sz w:val="18"/>
              </w:rPr>
              <w:t>150,000,000.00</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2695"/>
        <w:gridCol w:w="1418"/>
        <w:gridCol w:w="1772"/>
        <w:gridCol w:w="1773"/>
        <w:gridCol w:w="1913"/>
      </w:tblGrid>
      <w:tr>
        <w:trPr>
          <w:trHeight w:val="415" w:hRule="exact"/>
        </w:trPr>
        <w:tc>
          <w:tcPr>
            <w:tcW w:w="269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60,000,000.00</w:t>
            </w:r>
          </w:p>
        </w:tc>
        <w:tc>
          <w:tcPr>
            <w:tcW w:w="17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2695" w:type="dxa"/>
            <w:tcBorders>
              <w:top w:val="single" w:sz="6" w:space="0" w:color="000000"/>
              <w:left w:val="single" w:sz="12" w:space="0" w:color="000000"/>
              <w:bottom w:val="single" w:sz="6" w:space="0" w:color="000000"/>
              <w:right w:val="single" w:sz="8" w:space="0" w:color="FFFFFF"/>
            </w:tcBorders>
          </w:tcPr>
          <w:p>
            <w:pPr>
              <w:pStyle w:val="TableParagraph"/>
              <w:spacing w:line="316" w:lineRule="auto" w:before="52"/>
              <w:ind w:left="1062" w:right="-44" w:hanging="105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 龙昌明</w:t>
            </w:r>
          </w:p>
        </w:tc>
        <w:tc>
          <w:tcPr>
            <w:tcW w:w="1418" w:type="dxa"/>
            <w:tcBorders>
              <w:top w:val="single" w:sz="6" w:space="0" w:color="000000"/>
              <w:left w:val="single" w:sz="8" w:space="0" w:color="FFFFFF"/>
              <w:bottom w:val="single" w:sz="6" w:space="0" w:color="000000"/>
              <w:right w:val="single" w:sz="6" w:space="0" w:color="000000"/>
            </w:tcBorders>
          </w:tcPr>
          <w:p>
            <w:pPr>
              <w:pStyle w:val="TableParagraph"/>
              <w:spacing w:line="156" w:lineRule="exact"/>
              <w:ind w:left="-3"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70.2pt;height:7.8pt;mso-position-horizontal-relative:char;mso-position-vertical-relative:line" coordorigin="0,0" coordsize="1404,156">
                  <v:group style="position:absolute;left:0;top:0;width:1404;height:156" coordorigin="0,0" coordsize="1404,156">
                    <v:shape style="position:absolute;left:0;top:0;width:1404;height:156" coordorigin="0,0" coordsize="1404,156" path="m0,156l1403,156,1403,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51"/>
              <w:ind w:right="21"/>
              <w:jc w:val="right"/>
              <w:rPr>
                <w:rFonts w:ascii="宋体" w:hAnsi="宋体" w:cs="宋体" w:eastAsia="宋体" w:hint="default"/>
                <w:sz w:val="18"/>
                <w:szCs w:val="18"/>
              </w:rPr>
            </w:pPr>
            <w:r>
              <w:rPr>
                <w:rFonts w:ascii="宋体"/>
                <w:sz w:val="18"/>
              </w:rPr>
              <w:t>21,500,000.00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6" w:hRule="exact"/>
        </w:trPr>
        <w:tc>
          <w:tcPr>
            <w:tcW w:w="26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10,000,000.00</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before="72"/>
        <w:ind w:left="1134" w:right="0" w:firstLine="0"/>
        <w:jc w:val="left"/>
        <w:rPr>
          <w:rFonts w:ascii="宋体" w:hAnsi="宋体" w:cs="宋体" w:eastAsia="宋体" w:hint="default"/>
          <w:sz w:val="20"/>
          <w:szCs w:val="20"/>
        </w:rPr>
      </w:pPr>
      <w:bookmarkStart w:name="（5）关联方资金拆借" w:id="429"/>
      <w:bookmarkEnd w:id="429"/>
      <w:r>
        <w:rPr/>
      </w:r>
      <w:r>
        <w:rPr>
          <w:rFonts w:ascii="宋体" w:hAnsi="宋体" w:cs="宋体" w:eastAsia="宋体" w:hint="default"/>
          <w:b/>
          <w:bCs/>
          <w:sz w:val="20"/>
          <w:szCs w:val="20"/>
        </w:rPr>
        <w:t>（</w:t>
      </w:r>
      <w:r>
        <w:rPr>
          <w:rFonts w:ascii="宋体" w:hAnsi="宋体" w:cs="宋体" w:eastAsia="宋体" w:hint="default"/>
          <w:b/>
          <w:bCs/>
          <w:sz w:val="20"/>
          <w:szCs w:val="20"/>
        </w:rPr>
        <w:t>5</w:t>
      </w:r>
      <w:r>
        <w:rPr>
          <w:rFonts w:ascii="宋体" w:hAnsi="宋体" w:cs="宋体" w:eastAsia="宋体" w:hint="default"/>
          <w:b/>
          <w:bCs/>
          <w:sz w:val="20"/>
          <w:szCs w:val="20"/>
        </w:rPr>
        <w:t>）关联方资金拆借</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6）关联方资产转让、债务重组情况" w:id="430"/>
      <w:bookmarkEnd w:id="430"/>
      <w:r>
        <w:rPr/>
      </w:r>
      <w:r>
        <w:rPr>
          <w:rFonts w:ascii="宋体" w:hAnsi="宋体" w:cs="宋体" w:eastAsia="宋体" w:hint="default"/>
          <w:b/>
          <w:bCs/>
          <w:sz w:val="20"/>
          <w:szCs w:val="20"/>
        </w:rPr>
        <w:t>（</w:t>
      </w:r>
      <w:r>
        <w:rPr>
          <w:rFonts w:ascii="宋体" w:hAnsi="宋体" w:cs="宋体" w:eastAsia="宋体" w:hint="default"/>
          <w:b/>
          <w:bCs/>
          <w:sz w:val="20"/>
          <w:szCs w:val="20"/>
        </w:rPr>
        <w:t>6</w:t>
      </w:r>
      <w:r>
        <w:rPr>
          <w:rFonts w:ascii="宋体" w:hAnsi="宋体" w:cs="宋体" w:eastAsia="宋体" w:hint="default"/>
          <w:b/>
          <w:bCs/>
          <w:sz w:val="20"/>
          <w:szCs w:val="20"/>
        </w:rPr>
        <w:t>）关联方资产转让、债务重组情况</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2837"/>
        <w:gridCol w:w="2127"/>
        <w:gridCol w:w="2214"/>
        <w:gridCol w:w="2391"/>
      </w:tblGrid>
      <w:tr>
        <w:trPr>
          <w:trHeight w:val="415" w:hRule="exact"/>
        </w:trPr>
        <w:tc>
          <w:tcPr>
            <w:tcW w:w="28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4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283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转让南京宇能</w:t>
            </w:r>
          </w:p>
        </w:tc>
        <w:tc>
          <w:tcPr>
            <w:tcW w:w="22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1186" w:right="0"/>
              <w:jc w:val="left"/>
              <w:rPr>
                <w:rFonts w:ascii="宋体" w:hAnsi="宋体" w:cs="宋体" w:eastAsia="宋体" w:hint="default"/>
                <w:sz w:val="18"/>
                <w:szCs w:val="18"/>
              </w:rPr>
            </w:pPr>
            <w:r>
              <w:rPr>
                <w:rFonts w:ascii="宋体"/>
                <w:sz w:val="18"/>
              </w:rPr>
              <w:t>90,000,000.00</w:t>
            </w:r>
          </w:p>
        </w:tc>
      </w:tr>
    </w:tbl>
    <w:p>
      <w:pPr>
        <w:spacing w:before="72"/>
        <w:ind w:left="1134" w:right="0" w:firstLine="0"/>
        <w:jc w:val="left"/>
        <w:rPr>
          <w:rFonts w:ascii="宋体" w:hAnsi="宋体" w:cs="宋体" w:eastAsia="宋体" w:hint="default"/>
          <w:sz w:val="20"/>
          <w:szCs w:val="20"/>
        </w:rPr>
      </w:pPr>
      <w:bookmarkStart w:name="（7）关键管理人员报酬" w:id="431"/>
      <w:bookmarkEnd w:id="431"/>
      <w:r>
        <w:rPr/>
      </w:r>
      <w:r>
        <w:rPr>
          <w:rFonts w:ascii="宋体" w:hAnsi="宋体" w:cs="宋体" w:eastAsia="宋体" w:hint="default"/>
          <w:b/>
          <w:bCs/>
          <w:sz w:val="20"/>
          <w:szCs w:val="20"/>
        </w:rPr>
        <w:t>（</w:t>
      </w:r>
      <w:r>
        <w:rPr>
          <w:rFonts w:ascii="宋体" w:hAnsi="宋体" w:cs="宋体" w:eastAsia="宋体" w:hint="default"/>
          <w:b/>
          <w:bCs/>
          <w:sz w:val="20"/>
          <w:szCs w:val="20"/>
        </w:rPr>
        <w:t>7</w:t>
      </w:r>
      <w:r>
        <w:rPr>
          <w:rFonts w:ascii="宋体" w:hAnsi="宋体" w:cs="宋体" w:eastAsia="宋体" w:hint="default"/>
          <w:b/>
          <w:bCs/>
          <w:sz w:val="20"/>
          <w:szCs w:val="20"/>
        </w:rPr>
        <w:t>）关键管理人员报酬</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89"/>
        <w:gridCol w:w="3190"/>
        <w:gridCol w:w="3191"/>
      </w:tblGrid>
      <w:tr>
        <w:trPr>
          <w:trHeight w:val="414" w:hRule="exact"/>
        </w:trPr>
        <w:tc>
          <w:tcPr>
            <w:tcW w:w="318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6" w:hRule="exact"/>
        </w:trPr>
        <w:tc>
          <w:tcPr>
            <w:tcW w:w="318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75" w:right="0"/>
              <w:jc w:val="left"/>
              <w:rPr>
                <w:rFonts w:ascii="宋体" w:hAnsi="宋体" w:cs="宋体" w:eastAsia="宋体" w:hint="default"/>
                <w:sz w:val="18"/>
                <w:szCs w:val="18"/>
              </w:rPr>
            </w:pPr>
            <w:r>
              <w:rPr>
                <w:rFonts w:ascii="宋体"/>
                <w:sz w:val="18"/>
              </w:rPr>
              <w:t>2,787,889.27</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076" w:right="0"/>
              <w:jc w:val="left"/>
              <w:rPr>
                <w:rFonts w:ascii="宋体" w:hAnsi="宋体" w:cs="宋体" w:eastAsia="宋体" w:hint="default"/>
                <w:sz w:val="18"/>
                <w:szCs w:val="18"/>
              </w:rPr>
            </w:pPr>
            <w:r>
              <w:rPr>
                <w:rFonts w:ascii="宋体"/>
                <w:sz w:val="18"/>
              </w:rPr>
              <w:t>2,694,167.02</w:t>
            </w:r>
          </w:p>
        </w:tc>
      </w:tr>
    </w:tbl>
    <w:p>
      <w:pPr>
        <w:spacing w:line="429" w:lineRule="auto" w:before="72"/>
        <w:ind w:left="1133" w:right="8644" w:firstLine="0"/>
        <w:jc w:val="left"/>
        <w:rPr>
          <w:rFonts w:ascii="宋体" w:hAnsi="宋体" w:cs="宋体" w:eastAsia="宋体" w:hint="default"/>
          <w:sz w:val="20"/>
          <w:szCs w:val="20"/>
        </w:rPr>
      </w:pPr>
      <w:bookmarkStart w:name="（8）其他关联交易" w:id="432"/>
      <w:bookmarkEnd w:id="432"/>
      <w:r>
        <w:rPr/>
      </w:r>
      <w:r>
        <w:rPr>
          <w:rFonts w:ascii="宋体" w:hAnsi="宋体" w:cs="宋体" w:eastAsia="宋体" w:hint="default"/>
          <w:b/>
          <w:bCs/>
          <w:sz w:val="20"/>
          <w:szCs w:val="20"/>
        </w:rPr>
        <w:t>（</w:t>
      </w:r>
      <w:r>
        <w:rPr>
          <w:rFonts w:ascii="宋体" w:hAnsi="宋体" w:cs="宋体" w:eastAsia="宋体" w:hint="default"/>
          <w:b/>
          <w:bCs/>
          <w:sz w:val="20"/>
          <w:szCs w:val="20"/>
        </w:rPr>
        <w:t>8</w:t>
      </w:r>
      <w:r>
        <w:rPr>
          <w:rFonts w:ascii="宋体" w:hAnsi="宋体" w:cs="宋体" w:eastAsia="宋体" w:hint="default"/>
          <w:b/>
          <w:bCs/>
          <w:sz w:val="20"/>
          <w:szCs w:val="20"/>
        </w:rPr>
        <w:t>）其他关联交易</w:t>
      </w:r>
      <w:r>
        <w:rPr>
          <w:rFonts w:ascii="宋体" w:hAnsi="宋体" w:cs="宋体" w:eastAsia="宋体" w:hint="default"/>
          <w:b/>
          <w:bCs/>
          <w:w w:val="99"/>
          <w:sz w:val="20"/>
          <w:szCs w:val="20"/>
        </w:rPr>
        <w:t> </w:t>
      </w:r>
      <w:bookmarkStart w:name="6、关联方应收应付款项" w:id="433"/>
      <w:bookmarkEnd w:id="433"/>
      <w:r>
        <w:rPr>
          <w:rFonts w:ascii="宋体" w:hAnsi="宋体" w:cs="宋体" w:eastAsia="宋体" w:hint="default"/>
          <w:b/>
          <w:bCs/>
          <w:w w:val="99"/>
          <w:sz w:val="20"/>
          <w:szCs w:val="20"/>
        </w:rPr>
      </w:r>
      <w:r>
        <w:rPr>
          <w:rFonts w:ascii="宋体" w:hAnsi="宋体" w:cs="宋体" w:eastAsia="宋体" w:hint="default"/>
          <w:b/>
          <w:bCs/>
          <w:sz w:val="20"/>
          <w:szCs w:val="20"/>
        </w:rPr>
        <w:t>6</w:t>
      </w:r>
      <w:r>
        <w:rPr>
          <w:rFonts w:ascii="宋体" w:hAnsi="宋体" w:cs="宋体" w:eastAsia="宋体" w:hint="default"/>
          <w:b/>
          <w:bCs/>
          <w:sz w:val="20"/>
          <w:szCs w:val="20"/>
        </w:rPr>
        <w:t>、关联方应收应付款项</w:t>
      </w:r>
      <w:r>
        <w:rPr>
          <w:rFonts w:ascii="宋体" w:hAnsi="宋体" w:cs="宋体" w:eastAsia="宋体" w:hint="default"/>
          <w:sz w:val="20"/>
          <w:szCs w:val="20"/>
        </w:rPr>
      </w:r>
    </w:p>
    <w:p>
      <w:pPr>
        <w:spacing w:before="48"/>
        <w:ind w:left="1133" w:right="0" w:firstLine="0"/>
        <w:jc w:val="left"/>
        <w:rPr>
          <w:rFonts w:ascii="宋体" w:hAnsi="宋体" w:cs="宋体" w:eastAsia="宋体" w:hint="default"/>
          <w:sz w:val="20"/>
          <w:szCs w:val="20"/>
        </w:rPr>
      </w:pPr>
      <w:bookmarkStart w:name="（1）应收项目" w:id="434"/>
      <w:bookmarkEnd w:id="434"/>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）应收项目</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1596"/>
        <w:gridCol w:w="1595"/>
        <w:gridCol w:w="1595"/>
        <w:gridCol w:w="1594"/>
        <w:gridCol w:w="1594"/>
        <w:gridCol w:w="1594"/>
      </w:tblGrid>
      <w:tr>
        <w:trPr>
          <w:trHeight w:val="415" w:hRule="exact"/>
        </w:trPr>
        <w:tc>
          <w:tcPr>
            <w:tcW w:w="1596"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596" w:type="dxa"/>
            <w:vMerge/>
            <w:tcBorders>
              <w:left w:val="single" w:sz="12" w:space="0" w:color="000000"/>
              <w:bottom w:val="single" w:sz="6" w:space="0" w:color="000000"/>
              <w:right w:val="single" w:sz="6" w:space="0" w:color="000000"/>
            </w:tcBorders>
            <w:shd w:val="clear" w:color="auto" w:fill="D2D2D2"/>
          </w:tcPr>
          <w:p>
            <w:pPr/>
          </w:p>
        </w:tc>
        <w:tc>
          <w:tcPr>
            <w:tcW w:w="1595" w:type="dxa"/>
            <w:vMerge/>
            <w:tcBorders>
              <w:left w:val="single" w:sz="6" w:space="0" w:color="000000"/>
              <w:bottom w:val="single" w:sz="6" w:space="0" w:color="000000"/>
              <w:right w:val="single" w:sz="6" w:space="0" w:color="000000"/>
            </w:tcBorders>
            <w:shd w:val="clear" w:color="auto" w:fill="D2D2D2"/>
          </w:tcPr>
          <w:p>
            <w:pPr/>
          </w:p>
        </w:tc>
        <w:tc>
          <w:tcPr>
            <w:tcW w:w="15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27" w:hRule="exact"/>
        </w:trPr>
        <w:tc>
          <w:tcPr>
            <w:tcW w:w="159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21" w:right="116"/>
              <w:jc w:val="left"/>
              <w:rPr>
                <w:rFonts w:ascii="宋体" w:hAnsi="宋体" w:cs="宋体" w:eastAsia="宋体" w:hint="default"/>
                <w:sz w:val="18"/>
                <w:szCs w:val="18"/>
              </w:rPr>
            </w:pPr>
            <w:r>
              <w:rPr>
                <w:rFonts w:ascii="宋体" w:hAnsi="宋体" w:cs="宋体" w:eastAsia="宋体" w:hint="default"/>
                <w:sz w:val="18"/>
                <w:szCs w:val="18"/>
              </w:rPr>
              <w:t>江苏光一投资管理 有限责任公司</w:t>
            </w:r>
          </w:p>
        </w:tc>
        <w:tc>
          <w:tcPr>
            <w:tcW w:w="15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0" w:right="0"/>
              <w:jc w:val="left"/>
              <w:rPr>
                <w:rFonts w:ascii="宋体" w:hAnsi="宋体" w:cs="宋体" w:eastAsia="宋体" w:hint="default"/>
                <w:sz w:val="18"/>
                <w:szCs w:val="18"/>
              </w:rPr>
            </w:pPr>
            <w:r>
              <w:rPr>
                <w:rFonts w:ascii="宋体"/>
                <w:sz w:val="18"/>
              </w:rPr>
              <w:t>67,500,000.00</w:t>
            </w:r>
          </w:p>
        </w:tc>
        <w:tc>
          <w:tcPr>
            <w:tcW w:w="1594" w:type="dxa"/>
            <w:tcBorders>
              <w:top w:val="single" w:sz="6" w:space="0" w:color="000000"/>
              <w:left w:val="single" w:sz="6" w:space="0" w:color="000000"/>
              <w:bottom w:val="single" w:sz="12" w:space="0" w:color="000000"/>
              <w:right w:val="single" w:sz="6" w:space="0" w:color="000000"/>
            </w:tcBorders>
          </w:tcPr>
          <w:p>
            <w:pP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sz w:val="18"/>
              </w:rPr>
              <w:t>78,750,000.00</w:t>
            </w:r>
          </w:p>
        </w:tc>
        <w:tc>
          <w:tcPr>
            <w:tcW w:w="1594" w:type="dxa"/>
            <w:tcBorders>
              <w:top w:val="single" w:sz="6" w:space="0" w:color="000000"/>
              <w:left w:val="single" w:sz="6" w:space="0" w:color="000000"/>
              <w:bottom w:val="single" w:sz="12" w:space="0" w:color="000000"/>
              <w:right w:val="single" w:sz="12" w:space="0" w:color="000000"/>
            </w:tcBorders>
          </w:tcPr>
          <w:p>
            <w:pPr/>
          </w:p>
        </w:tc>
      </w:tr>
    </w:tbl>
    <w:p>
      <w:pPr>
        <w:spacing w:before="72"/>
        <w:ind w:left="1134" w:right="0" w:firstLine="0"/>
        <w:jc w:val="left"/>
        <w:rPr>
          <w:rFonts w:ascii="宋体" w:hAnsi="宋体" w:cs="宋体" w:eastAsia="宋体" w:hint="default"/>
          <w:sz w:val="20"/>
          <w:szCs w:val="20"/>
        </w:rPr>
      </w:pPr>
      <w:bookmarkStart w:name="（2）应付项目" w:id="435"/>
      <w:bookmarkEnd w:id="435"/>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）应付项目</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7、关联方承诺" w:id="436"/>
      <w:bookmarkEnd w:id="436"/>
      <w:r>
        <w:rPr/>
      </w:r>
      <w:r>
        <w:rPr>
          <w:rFonts w:ascii="宋体" w:hAnsi="宋体" w:cs="宋体" w:eastAsia="宋体" w:hint="default"/>
          <w:b/>
          <w:bCs/>
          <w:sz w:val="20"/>
          <w:szCs w:val="20"/>
        </w:rPr>
        <w:t>7</w:t>
      </w:r>
      <w:r>
        <w:rPr>
          <w:rFonts w:ascii="宋体" w:hAnsi="宋体" w:cs="宋体" w:eastAsia="宋体" w:hint="default"/>
          <w:b/>
          <w:bCs/>
          <w:sz w:val="20"/>
          <w:szCs w:val="20"/>
        </w:rPr>
        <w:t>、关联方承诺</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8、其他" w:id="437"/>
      <w:bookmarkEnd w:id="437"/>
      <w:r>
        <w:rPr/>
      </w:r>
      <w:r>
        <w:rPr>
          <w:rFonts w:ascii="宋体" w:hAnsi="宋体" w:cs="宋体" w:eastAsia="宋体" w:hint="default"/>
          <w:b/>
          <w:bCs/>
          <w:sz w:val="20"/>
          <w:szCs w:val="20"/>
        </w:rPr>
        <w:t>8</w:t>
      </w:r>
      <w:r>
        <w:rPr>
          <w:rFonts w:ascii="宋体" w:hAnsi="宋体" w:cs="宋体" w:eastAsia="宋体" w:hint="default"/>
          <w:b/>
          <w:bCs/>
          <w:sz w:val="20"/>
          <w:szCs w:val="20"/>
        </w:rPr>
        <w:t>、其他</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before="0"/>
        <w:ind w:right="0"/>
        <w:jc w:val="left"/>
        <w:rPr>
          <w:b w:val="0"/>
          <w:bCs w:val="0"/>
        </w:rPr>
      </w:pPr>
      <w:bookmarkStart w:name="十三、股份支付" w:id="438"/>
      <w:bookmarkEnd w:id="438"/>
      <w:r>
        <w:rPr>
          <w:b w:val="0"/>
          <w:bCs w:val="0"/>
        </w:rPr>
      </w:r>
      <w:r>
        <w:rPr/>
        <w:t>十三、股份支付</w:t>
      </w:r>
      <w:r>
        <w:rPr>
          <w:b w:val="0"/>
          <w:bCs w:val="0"/>
        </w:rPr>
      </w:r>
    </w:p>
    <w:p>
      <w:pPr>
        <w:spacing w:line="240" w:lineRule="auto" w:before="6"/>
        <w:rPr>
          <w:rFonts w:ascii="宋体" w:hAnsi="宋体" w:cs="宋体" w:eastAsia="宋体" w:hint="default"/>
          <w:b/>
          <w:bCs/>
          <w:sz w:val="15"/>
          <w:szCs w:val="15"/>
        </w:rPr>
      </w:pPr>
    </w:p>
    <w:p>
      <w:pPr>
        <w:spacing w:before="0"/>
        <w:ind w:left="1133" w:right="0" w:firstLine="0"/>
        <w:jc w:val="left"/>
        <w:rPr>
          <w:rFonts w:ascii="宋体" w:hAnsi="宋体" w:cs="宋体" w:eastAsia="宋体" w:hint="default"/>
          <w:sz w:val="20"/>
          <w:szCs w:val="20"/>
        </w:rPr>
      </w:pPr>
      <w:bookmarkStart w:name="1、股份支付总体情况" w:id="439"/>
      <w:bookmarkEnd w:id="439"/>
      <w:r>
        <w:rPr/>
      </w:r>
      <w:r>
        <w:rPr>
          <w:rFonts w:ascii="宋体" w:hAnsi="宋体" w:cs="宋体" w:eastAsia="宋体" w:hint="default"/>
          <w:b/>
          <w:bCs/>
          <w:sz w:val="20"/>
          <w:szCs w:val="20"/>
        </w:rPr>
        <w:t>1</w:t>
      </w:r>
      <w:r>
        <w:rPr>
          <w:rFonts w:ascii="宋体" w:hAnsi="宋体" w:cs="宋体" w:eastAsia="宋体" w:hint="default"/>
          <w:b/>
          <w:bCs/>
          <w:sz w:val="20"/>
          <w:szCs w:val="20"/>
        </w:rPr>
        <w:t>、股份支付总体情况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7"/>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以权益结算的股份支付情况" w:id="440"/>
      <w:bookmarkEnd w:id="440"/>
      <w:r>
        <w:rPr/>
      </w:r>
      <w:r>
        <w:rPr>
          <w:rFonts w:ascii="宋体" w:hAnsi="宋体" w:cs="宋体" w:eastAsia="宋体" w:hint="default"/>
          <w:b/>
          <w:bCs/>
          <w:sz w:val="20"/>
          <w:szCs w:val="20"/>
        </w:rPr>
        <w:t>2</w:t>
      </w:r>
      <w:r>
        <w:rPr>
          <w:rFonts w:ascii="宋体" w:hAnsi="宋体" w:cs="宋体" w:eastAsia="宋体" w:hint="default"/>
          <w:b/>
          <w:bCs/>
          <w:sz w:val="20"/>
          <w:szCs w:val="20"/>
        </w:rPr>
        <w:t>、以权益结算的股份支付情况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3、以现金结算的股份支付情况" w:id="441"/>
      <w:bookmarkEnd w:id="441"/>
      <w:r>
        <w:rPr/>
      </w:r>
      <w:r>
        <w:rPr>
          <w:rFonts w:ascii="宋体" w:hAnsi="宋体" w:cs="宋体" w:eastAsia="宋体" w:hint="default"/>
          <w:b/>
          <w:bCs/>
          <w:sz w:val="20"/>
          <w:szCs w:val="20"/>
        </w:rPr>
        <w:t>3</w:t>
      </w:r>
      <w:r>
        <w:rPr>
          <w:rFonts w:ascii="宋体" w:hAnsi="宋体" w:cs="宋体" w:eastAsia="宋体" w:hint="default"/>
          <w:b/>
          <w:bCs/>
          <w:sz w:val="20"/>
          <w:szCs w:val="20"/>
        </w:rPr>
        <w:t>、以现金结算的股份支付情况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4、股份支付的修改、终止情况" w:id="442"/>
      <w:bookmarkEnd w:id="442"/>
      <w:r>
        <w:rPr/>
      </w:r>
      <w:r>
        <w:rPr>
          <w:rFonts w:ascii="宋体" w:hAnsi="宋体" w:cs="宋体" w:eastAsia="宋体" w:hint="default"/>
          <w:b/>
          <w:bCs/>
          <w:sz w:val="20"/>
          <w:szCs w:val="20"/>
        </w:rPr>
        <w:t>4</w:t>
      </w:r>
      <w:r>
        <w:rPr>
          <w:rFonts w:ascii="宋体" w:hAnsi="宋体" w:cs="宋体" w:eastAsia="宋体" w:hint="default"/>
          <w:b/>
          <w:bCs/>
          <w:sz w:val="20"/>
          <w:szCs w:val="20"/>
        </w:rPr>
        <w:t>、股份支付的修改、终止情况</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line="420" w:lineRule="auto" w:before="0"/>
        <w:ind w:left="1134" w:right="8022" w:firstLine="0"/>
        <w:jc w:val="left"/>
        <w:rPr>
          <w:rFonts w:ascii="宋体" w:hAnsi="宋体" w:cs="宋体" w:eastAsia="宋体" w:hint="default"/>
          <w:sz w:val="21"/>
          <w:szCs w:val="21"/>
        </w:rPr>
      </w:pPr>
      <w:bookmarkStart w:name="5、其他" w:id="443"/>
      <w:bookmarkEnd w:id="443"/>
      <w:r>
        <w:rPr/>
      </w:r>
      <w:r>
        <w:rPr>
          <w:rFonts w:ascii="宋体" w:hAnsi="宋体" w:cs="宋体" w:eastAsia="宋体" w:hint="default"/>
          <w:b/>
          <w:bCs/>
          <w:sz w:val="20"/>
          <w:szCs w:val="20"/>
        </w:rPr>
        <w:t>5</w:t>
      </w:r>
      <w:r>
        <w:rPr>
          <w:rFonts w:ascii="宋体" w:hAnsi="宋体" w:cs="宋体" w:eastAsia="宋体" w:hint="default"/>
          <w:b/>
          <w:bCs/>
          <w:sz w:val="20"/>
          <w:szCs w:val="20"/>
        </w:rPr>
        <w:t>、其他</w:t>
      </w:r>
      <w:r>
        <w:rPr>
          <w:rFonts w:ascii="宋体" w:hAnsi="宋体" w:cs="宋体" w:eastAsia="宋体" w:hint="default"/>
          <w:b/>
          <w:bCs/>
          <w:w w:val="99"/>
          <w:sz w:val="20"/>
          <w:szCs w:val="20"/>
        </w:rPr>
        <w:t> </w:t>
      </w:r>
      <w:bookmarkStart w:name="十四、承诺及或有事项" w:id="444"/>
      <w:bookmarkEnd w:id="444"/>
      <w:r>
        <w:rPr>
          <w:rFonts w:ascii="宋体" w:hAnsi="宋体" w:cs="宋体" w:eastAsia="宋体" w:hint="default"/>
          <w:b/>
          <w:bCs/>
          <w:w w:val="99"/>
          <w:sz w:val="20"/>
          <w:szCs w:val="20"/>
        </w:rPr>
      </w:r>
      <w:r>
        <w:rPr>
          <w:rFonts w:ascii="宋体" w:hAnsi="宋体" w:cs="宋体" w:eastAsia="宋体" w:hint="default"/>
          <w:b/>
          <w:bCs/>
          <w:sz w:val="21"/>
          <w:szCs w:val="21"/>
        </w:rPr>
        <w:t>十四、承诺及或有事项</w:t>
      </w:r>
      <w:r>
        <w:rPr>
          <w:rFonts w:ascii="宋体" w:hAnsi="宋体" w:cs="宋体" w:eastAsia="宋体" w:hint="default"/>
          <w:b/>
          <w:bCs/>
          <w:w w:val="99"/>
          <w:sz w:val="21"/>
          <w:szCs w:val="21"/>
        </w:rPr>
        <w:t> </w:t>
      </w:r>
      <w:bookmarkStart w:name="1、重要承诺事项" w:id="445"/>
      <w:bookmarkEnd w:id="445"/>
      <w:r>
        <w:rPr>
          <w:rFonts w:ascii="宋体" w:hAnsi="宋体" w:cs="宋体" w:eastAsia="宋体" w:hint="default"/>
          <w:b/>
          <w:bCs/>
          <w:w w:val="99"/>
          <w:sz w:val="21"/>
          <w:szCs w:val="21"/>
        </w:rPr>
      </w:r>
      <w:r>
        <w:rPr>
          <w:rFonts w:ascii="宋体" w:hAnsi="宋体" w:cs="宋体" w:eastAsia="宋体" w:hint="default"/>
          <w:b/>
          <w:bCs/>
          <w:sz w:val="20"/>
          <w:szCs w:val="20"/>
        </w:rPr>
        <w:t>1</w:t>
      </w:r>
      <w:r>
        <w:rPr>
          <w:rFonts w:ascii="宋体" w:hAnsi="宋体" w:cs="宋体" w:eastAsia="宋体" w:hint="default"/>
          <w:b/>
          <w:bCs/>
          <w:sz w:val="20"/>
          <w:szCs w:val="20"/>
        </w:rPr>
        <w:t>、重要承诺事项</w:t>
      </w:r>
      <w:r>
        <w:rPr>
          <w:rFonts w:ascii="宋体" w:hAnsi="宋体" w:cs="宋体" w:eastAsia="宋体" w:hint="default"/>
          <w:b/>
          <w:bCs/>
          <w:w w:val="99"/>
          <w:sz w:val="20"/>
          <w:szCs w:val="20"/>
        </w:rPr>
        <w:t> </w:t>
      </w:r>
      <w:r>
        <w:rPr>
          <w:rFonts w:ascii="宋体" w:hAnsi="宋体" w:cs="宋体" w:eastAsia="宋体" w:hint="default"/>
          <w:sz w:val="21"/>
          <w:szCs w:val="21"/>
        </w:rPr>
        <w:t>资产负债表日存在的重要承诺</w:t>
      </w:r>
    </w:p>
    <w:p>
      <w:pPr>
        <w:pStyle w:val="BodyText"/>
        <w:spacing w:line="240" w:lineRule="auto" w:before="35"/>
        <w:ind w:left="1134" w:right="0"/>
        <w:jc w:val="left"/>
      </w:pP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日，本公司不存在需要披露的承诺事项。</w:t>
      </w:r>
    </w:p>
    <w:p>
      <w:pPr>
        <w:spacing w:line="240" w:lineRule="auto" w:before="6"/>
        <w:rPr>
          <w:rFonts w:ascii="宋体" w:hAnsi="宋体" w:cs="宋体" w:eastAsia="宋体" w:hint="default"/>
          <w:sz w:val="15"/>
          <w:szCs w:val="15"/>
        </w:rPr>
      </w:pPr>
    </w:p>
    <w:p>
      <w:pPr>
        <w:spacing w:before="0"/>
        <w:ind w:left="1133" w:right="0" w:firstLine="0"/>
        <w:jc w:val="left"/>
        <w:rPr>
          <w:rFonts w:ascii="宋体" w:hAnsi="宋体" w:cs="宋体" w:eastAsia="宋体" w:hint="default"/>
          <w:sz w:val="20"/>
          <w:szCs w:val="20"/>
        </w:rPr>
      </w:pPr>
      <w:bookmarkStart w:name="2、或有事项" w:id="446"/>
      <w:bookmarkEnd w:id="446"/>
      <w:r>
        <w:rPr/>
      </w:r>
      <w:r>
        <w:rPr>
          <w:rFonts w:ascii="宋体" w:hAnsi="宋体" w:cs="宋体" w:eastAsia="宋体" w:hint="default"/>
          <w:b/>
          <w:bCs/>
          <w:sz w:val="20"/>
          <w:szCs w:val="20"/>
        </w:rPr>
        <w:t>2</w:t>
      </w:r>
      <w:r>
        <w:rPr>
          <w:rFonts w:ascii="宋体" w:hAnsi="宋体" w:cs="宋体" w:eastAsia="宋体" w:hint="default"/>
          <w:b/>
          <w:bCs/>
          <w:sz w:val="20"/>
          <w:szCs w:val="20"/>
        </w:rPr>
        <w:t>、或有事项</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3" w:right="0" w:firstLine="0"/>
        <w:jc w:val="left"/>
        <w:rPr>
          <w:rFonts w:ascii="宋体" w:hAnsi="宋体" w:cs="宋体" w:eastAsia="宋体" w:hint="default"/>
          <w:sz w:val="20"/>
          <w:szCs w:val="20"/>
        </w:rPr>
      </w:pPr>
      <w:bookmarkStart w:name="（1）资产负债表日存在的重要或有事项" w:id="447"/>
      <w:bookmarkEnd w:id="447"/>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）资产负债表日存在的重要或有事项</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3" w:right="0" w:firstLine="0"/>
        <w:jc w:val="left"/>
        <w:rPr>
          <w:rFonts w:ascii="宋体" w:hAnsi="宋体" w:cs="宋体" w:eastAsia="宋体" w:hint="default"/>
          <w:sz w:val="20"/>
          <w:szCs w:val="20"/>
        </w:rPr>
      </w:pPr>
      <w:bookmarkStart w:name="（2）公司没有需要披露的重要或有事项，也应予以说明" w:id="448"/>
      <w:bookmarkEnd w:id="448"/>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）公司没有需要披露的重要或有事项，也应予以说明</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公司不存在需要披露的重要或有事项。</w:t>
      </w:r>
    </w:p>
    <w:p>
      <w:pPr>
        <w:spacing w:line="240" w:lineRule="auto" w:before="6"/>
        <w:rPr>
          <w:rFonts w:ascii="宋体" w:hAnsi="宋体" w:cs="宋体" w:eastAsia="宋体" w:hint="default"/>
          <w:sz w:val="15"/>
          <w:szCs w:val="15"/>
        </w:rPr>
      </w:pPr>
    </w:p>
    <w:p>
      <w:pPr>
        <w:spacing w:line="417" w:lineRule="auto" w:before="0"/>
        <w:ind w:left="1134" w:right="8222" w:firstLine="0"/>
        <w:jc w:val="left"/>
        <w:rPr>
          <w:rFonts w:ascii="宋体" w:hAnsi="宋体" w:cs="宋体" w:eastAsia="宋体" w:hint="default"/>
          <w:sz w:val="20"/>
          <w:szCs w:val="20"/>
        </w:rPr>
      </w:pPr>
      <w:bookmarkStart w:name="3、其他" w:id="449"/>
      <w:bookmarkEnd w:id="449"/>
      <w:r>
        <w:rPr/>
      </w:r>
      <w:r>
        <w:rPr>
          <w:rFonts w:ascii="宋体" w:hAnsi="宋体" w:cs="宋体" w:eastAsia="宋体" w:hint="default"/>
          <w:b/>
          <w:bCs/>
          <w:sz w:val="20"/>
          <w:szCs w:val="20"/>
        </w:rPr>
        <w:t>3</w:t>
      </w:r>
      <w:r>
        <w:rPr>
          <w:rFonts w:ascii="宋体" w:hAnsi="宋体" w:cs="宋体" w:eastAsia="宋体" w:hint="default"/>
          <w:b/>
          <w:bCs/>
          <w:sz w:val="20"/>
          <w:szCs w:val="20"/>
        </w:rPr>
        <w:t>、其他</w:t>
      </w:r>
      <w:r>
        <w:rPr>
          <w:rFonts w:ascii="宋体" w:hAnsi="宋体" w:cs="宋体" w:eastAsia="宋体" w:hint="default"/>
          <w:b/>
          <w:bCs/>
          <w:w w:val="99"/>
          <w:sz w:val="20"/>
          <w:szCs w:val="20"/>
        </w:rPr>
        <w:t> </w:t>
      </w:r>
      <w:bookmarkStart w:name="十五、资产负债表日后事项" w:id="450"/>
      <w:bookmarkEnd w:id="450"/>
      <w:r>
        <w:rPr>
          <w:rFonts w:ascii="宋体" w:hAnsi="宋体" w:cs="宋体" w:eastAsia="宋体" w:hint="default"/>
          <w:b/>
          <w:bCs/>
          <w:w w:val="99"/>
          <w:sz w:val="20"/>
          <w:szCs w:val="20"/>
        </w:rPr>
      </w:r>
      <w:r>
        <w:rPr>
          <w:rFonts w:ascii="宋体" w:hAnsi="宋体" w:cs="宋体" w:eastAsia="宋体" w:hint="default"/>
          <w:b/>
          <w:bCs/>
          <w:sz w:val="21"/>
          <w:szCs w:val="21"/>
        </w:rPr>
        <w:t>十五、资产负债表日后事项</w:t>
      </w:r>
      <w:r>
        <w:rPr>
          <w:rFonts w:ascii="宋体" w:hAnsi="宋体" w:cs="宋体" w:eastAsia="宋体" w:hint="default"/>
          <w:b/>
          <w:bCs/>
          <w:w w:val="99"/>
          <w:sz w:val="21"/>
          <w:szCs w:val="21"/>
        </w:rPr>
        <w:t> </w:t>
      </w:r>
      <w:bookmarkStart w:name="1、重要的非调整事项" w:id="451"/>
      <w:bookmarkEnd w:id="451"/>
      <w:r>
        <w:rPr>
          <w:rFonts w:ascii="宋体" w:hAnsi="宋体" w:cs="宋体" w:eastAsia="宋体" w:hint="default"/>
          <w:b/>
          <w:bCs/>
          <w:w w:val="99"/>
          <w:sz w:val="21"/>
          <w:szCs w:val="21"/>
        </w:rPr>
      </w:r>
      <w:r>
        <w:rPr>
          <w:rFonts w:ascii="宋体" w:hAnsi="宋体" w:cs="宋体" w:eastAsia="宋体" w:hint="default"/>
          <w:b/>
          <w:bCs/>
          <w:sz w:val="20"/>
          <w:szCs w:val="20"/>
        </w:rPr>
        <w:t>1</w:t>
      </w:r>
      <w:r>
        <w:rPr>
          <w:rFonts w:ascii="宋体" w:hAnsi="宋体" w:cs="宋体" w:eastAsia="宋体" w:hint="default"/>
          <w:b/>
          <w:bCs/>
          <w:sz w:val="20"/>
          <w:szCs w:val="20"/>
        </w:rPr>
        <w:t>、重要的非调整事项</w:t>
      </w:r>
      <w:r>
        <w:rPr>
          <w:rFonts w:ascii="宋体" w:hAnsi="宋体" w:cs="宋体" w:eastAsia="宋体" w:hint="default"/>
          <w:sz w:val="20"/>
          <w:szCs w:val="20"/>
        </w:rPr>
      </w:r>
    </w:p>
    <w:p>
      <w:pPr>
        <w:pStyle w:val="BodyText"/>
        <w:spacing w:line="240" w:lineRule="auto" w:before="49"/>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利润分配情况" w:id="452"/>
      <w:bookmarkEnd w:id="452"/>
      <w:r>
        <w:rPr/>
      </w:r>
      <w:r>
        <w:rPr>
          <w:rFonts w:ascii="宋体" w:hAnsi="宋体" w:cs="宋体" w:eastAsia="宋体" w:hint="default"/>
          <w:b/>
          <w:bCs/>
          <w:sz w:val="20"/>
          <w:szCs w:val="20"/>
        </w:rPr>
        <w:t>2</w:t>
      </w:r>
      <w:r>
        <w:rPr>
          <w:rFonts w:ascii="宋体" w:hAnsi="宋体" w:cs="宋体" w:eastAsia="宋体" w:hint="default"/>
          <w:b/>
          <w:bCs/>
          <w:sz w:val="20"/>
          <w:szCs w:val="20"/>
        </w:rPr>
        <w:t>、利润分配情况</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4985"/>
        <w:gridCol w:w="4584"/>
      </w:tblGrid>
      <w:tr>
        <w:trPr>
          <w:trHeight w:val="414" w:hRule="exact"/>
        </w:trPr>
        <w:tc>
          <w:tcPr>
            <w:tcW w:w="498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3,224,436.96</w:t>
            </w:r>
          </w:p>
        </w:tc>
      </w:tr>
      <w:tr>
        <w:trPr>
          <w:trHeight w:val="414" w:hRule="exact"/>
        </w:trPr>
        <w:tc>
          <w:tcPr>
            <w:tcW w:w="498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3,224,436.96</w:t>
            </w:r>
          </w:p>
        </w:tc>
      </w:tr>
    </w:tbl>
    <w:p>
      <w:pPr>
        <w:spacing w:before="72"/>
        <w:ind w:left="1134" w:right="0" w:firstLine="0"/>
        <w:jc w:val="left"/>
        <w:rPr>
          <w:rFonts w:ascii="宋体" w:hAnsi="宋体" w:cs="宋体" w:eastAsia="宋体" w:hint="default"/>
          <w:sz w:val="20"/>
          <w:szCs w:val="20"/>
        </w:rPr>
      </w:pPr>
      <w:bookmarkStart w:name="3、销售退回" w:id="453"/>
      <w:bookmarkEnd w:id="453"/>
      <w:r>
        <w:rPr/>
      </w:r>
      <w:r>
        <w:rPr>
          <w:rFonts w:ascii="宋体" w:hAnsi="宋体" w:cs="宋体" w:eastAsia="宋体" w:hint="default"/>
          <w:b/>
          <w:bCs/>
          <w:sz w:val="20"/>
          <w:szCs w:val="20"/>
        </w:rPr>
        <w:t>3</w:t>
      </w:r>
      <w:r>
        <w:rPr>
          <w:rFonts w:ascii="宋体" w:hAnsi="宋体" w:cs="宋体" w:eastAsia="宋体" w:hint="default"/>
          <w:b/>
          <w:bCs/>
          <w:sz w:val="20"/>
          <w:szCs w:val="20"/>
        </w:rPr>
        <w:t>、销售退回</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7"/>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4、其他资产负债表日后事项说明" w:id="454"/>
      <w:bookmarkEnd w:id="454"/>
      <w:r>
        <w:rPr/>
      </w:r>
      <w:r>
        <w:rPr>
          <w:rFonts w:ascii="宋体" w:hAnsi="宋体" w:cs="宋体" w:eastAsia="宋体" w:hint="default"/>
          <w:b/>
          <w:bCs/>
          <w:sz w:val="20"/>
          <w:szCs w:val="20"/>
        </w:rPr>
        <w:t>4</w:t>
      </w:r>
      <w:r>
        <w:rPr>
          <w:rFonts w:ascii="宋体" w:hAnsi="宋体" w:cs="宋体" w:eastAsia="宋体" w:hint="default"/>
          <w:b/>
          <w:bCs/>
          <w:sz w:val="20"/>
          <w:szCs w:val="20"/>
        </w:rPr>
        <w:t>、其他资产负债表日后事项说明</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557" w:right="0"/>
        <w:jc w:val="left"/>
      </w:pPr>
      <w:r>
        <w:rPr/>
        <w:t>①</w:t>
      </w:r>
      <w:r>
        <w:rPr>
          <w:rFonts w:ascii="宋体" w:hAnsi="宋体" w:cs="宋体" w:eastAsia="宋体" w:hint="default"/>
        </w:rPr>
        <w:t>2015</w:t>
      </w:r>
      <w:r>
        <w:rPr/>
        <w:t>年</w:t>
      </w:r>
      <w:r>
        <w:rPr>
          <w:rFonts w:ascii="宋体" w:hAnsi="宋体" w:cs="宋体" w:eastAsia="宋体" w:hint="default"/>
        </w:rPr>
        <w:t>1</w:t>
      </w:r>
      <w:r>
        <w:rPr/>
        <w:t>月，公司支付中云文化大数据科技有限公司二期投资款</w:t>
      </w:r>
      <w:r>
        <w:rPr>
          <w:rFonts w:ascii="宋体" w:hAnsi="宋体" w:cs="宋体" w:eastAsia="宋体" w:hint="default"/>
        </w:rPr>
        <w:t>2,000.00</w:t>
      </w:r>
      <w:r>
        <w:rPr/>
        <w:t>万元。</w:t>
      </w:r>
    </w:p>
    <w:p>
      <w:pPr>
        <w:spacing w:line="240" w:lineRule="auto" w:before="10"/>
        <w:rPr>
          <w:rFonts w:ascii="宋体" w:hAnsi="宋体" w:cs="宋体" w:eastAsia="宋体" w:hint="default"/>
          <w:sz w:val="14"/>
          <w:szCs w:val="14"/>
        </w:rPr>
      </w:pPr>
    </w:p>
    <w:p>
      <w:pPr>
        <w:pStyle w:val="BodyText"/>
        <w:spacing w:line="240" w:lineRule="auto"/>
        <w:ind w:left="1557" w:right="0"/>
        <w:jc w:val="left"/>
      </w:pPr>
      <w:r>
        <w:rPr/>
        <w:t>②截至本财务报表签发日，本公司新增短期借款</w:t>
      </w:r>
      <w:r>
        <w:rPr>
          <w:rFonts w:ascii="宋体" w:hAnsi="宋体" w:cs="宋体" w:eastAsia="宋体" w:hint="default"/>
        </w:rPr>
        <w:t>3850</w:t>
      </w:r>
      <w:r>
        <w:rPr/>
        <w:t>万元，归还短期借款</w:t>
      </w:r>
      <w:r>
        <w:rPr>
          <w:rFonts w:ascii="宋体" w:hAnsi="宋体" w:cs="宋体" w:eastAsia="宋体" w:hint="default"/>
        </w:rPr>
        <w:t>1,000.00</w:t>
      </w:r>
      <w:r>
        <w:rPr/>
        <w:t>万元，新增长期借</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408" w:lineRule="auto" w:before="0"/>
        <w:ind w:left="1134" w:right="6552" w:firstLine="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1,938.34</w:t>
      </w:r>
      <w:r>
        <w:rPr>
          <w:rFonts w:ascii="宋体" w:hAnsi="宋体" w:cs="宋体" w:eastAsia="宋体" w:hint="default"/>
          <w:sz w:val="21"/>
          <w:szCs w:val="21"/>
        </w:rPr>
        <w:t>万元，归还长期借款</w:t>
      </w:r>
      <w:r>
        <w:rPr>
          <w:rFonts w:ascii="宋体" w:hAnsi="宋体" w:cs="宋体" w:eastAsia="宋体" w:hint="default"/>
          <w:sz w:val="21"/>
          <w:szCs w:val="21"/>
        </w:rPr>
        <w:t>274.23</w:t>
      </w:r>
      <w:r>
        <w:rPr>
          <w:rFonts w:ascii="宋体" w:hAnsi="宋体" w:cs="宋体" w:eastAsia="宋体" w:hint="default"/>
          <w:sz w:val="21"/>
          <w:szCs w:val="21"/>
        </w:rPr>
        <w:t>万元。 </w:t>
      </w:r>
      <w:bookmarkStart w:name="十六、其他重要事项" w:id="455"/>
      <w:bookmarkEnd w:id="455"/>
      <w:r>
        <w:rPr>
          <w:rFonts w:ascii="宋体" w:hAnsi="宋体" w:cs="宋体" w:eastAsia="宋体" w:hint="default"/>
          <w:sz w:val="21"/>
          <w:szCs w:val="21"/>
        </w:rPr>
      </w:r>
      <w:r>
        <w:rPr>
          <w:rFonts w:ascii="宋体" w:hAnsi="宋体" w:cs="宋体" w:eastAsia="宋体" w:hint="default"/>
          <w:b/>
          <w:bCs/>
          <w:sz w:val="21"/>
          <w:szCs w:val="21"/>
        </w:rPr>
        <w:t>十六、其他重要事项</w:t>
      </w:r>
      <w:r>
        <w:rPr>
          <w:rFonts w:ascii="宋体" w:hAnsi="宋体" w:cs="宋体" w:eastAsia="宋体" w:hint="default"/>
          <w:sz w:val="21"/>
          <w:szCs w:val="21"/>
        </w:rPr>
      </w:r>
    </w:p>
    <w:p>
      <w:pPr>
        <w:spacing w:before="55"/>
        <w:ind w:left="1134" w:right="0" w:firstLine="0"/>
        <w:jc w:val="both"/>
        <w:rPr>
          <w:rFonts w:ascii="宋体" w:hAnsi="宋体" w:cs="宋体" w:eastAsia="宋体" w:hint="default"/>
          <w:sz w:val="20"/>
          <w:szCs w:val="20"/>
        </w:rPr>
      </w:pPr>
      <w:bookmarkStart w:name="1、前期会计差错更正" w:id="456"/>
      <w:bookmarkEnd w:id="456"/>
      <w:r>
        <w:rPr/>
      </w:r>
      <w:r>
        <w:rPr>
          <w:rFonts w:ascii="宋体" w:hAnsi="宋体" w:cs="宋体" w:eastAsia="宋体" w:hint="default"/>
          <w:b/>
          <w:bCs/>
          <w:sz w:val="20"/>
          <w:szCs w:val="20"/>
        </w:rPr>
        <w:t>1</w:t>
      </w:r>
      <w:r>
        <w:rPr>
          <w:rFonts w:ascii="宋体" w:hAnsi="宋体" w:cs="宋体" w:eastAsia="宋体" w:hint="default"/>
          <w:b/>
          <w:bCs/>
          <w:sz w:val="20"/>
          <w:szCs w:val="20"/>
        </w:rPr>
        <w:t>、前期会计差错更正</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both"/>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both"/>
        <w:rPr>
          <w:rFonts w:ascii="宋体" w:hAnsi="宋体" w:cs="宋体" w:eastAsia="宋体" w:hint="default"/>
          <w:sz w:val="20"/>
          <w:szCs w:val="20"/>
        </w:rPr>
      </w:pPr>
      <w:bookmarkStart w:name="2、债务重组" w:id="457"/>
      <w:bookmarkEnd w:id="457"/>
      <w:r>
        <w:rPr/>
      </w:r>
      <w:r>
        <w:rPr>
          <w:rFonts w:ascii="宋体" w:hAnsi="宋体" w:cs="宋体" w:eastAsia="宋体" w:hint="default"/>
          <w:b/>
          <w:bCs/>
          <w:sz w:val="20"/>
          <w:szCs w:val="20"/>
        </w:rPr>
        <w:t>2</w:t>
      </w:r>
      <w:r>
        <w:rPr>
          <w:rFonts w:ascii="宋体" w:hAnsi="宋体" w:cs="宋体" w:eastAsia="宋体" w:hint="default"/>
          <w:b/>
          <w:bCs/>
          <w:sz w:val="20"/>
          <w:szCs w:val="20"/>
        </w:rPr>
        <w:t>、债务重组</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both"/>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both"/>
        <w:rPr>
          <w:rFonts w:ascii="宋体" w:hAnsi="宋体" w:cs="宋体" w:eastAsia="宋体" w:hint="default"/>
          <w:sz w:val="20"/>
          <w:szCs w:val="20"/>
        </w:rPr>
      </w:pPr>
      <w:bookmarkStart w:name="3、资产置换" w:id="458"/>
      <w:bookmarkEnd w:id="458"/>
      <w:r>
        <w:rPr/>
      </w:r>
      <w:r>
        <w:rPr>
          <w:rFonts w:ascii="宋体" w:hAnsi="宋体" w:cs="宋体" w:eastAsia="宋体" w:hint="default"/>
          <w:b/>
          <w:bCs/>
          <w:sz w:val="20"/>
          <w:szCs w:val="20"/>
        </w:rPr>
        <w:t>3</w:t>
      </w:r>
      <w:r>
        <w:rPr>
          <w:rFonts w:ascii="宋体" w:hAnsi="宋体" w:cs="宋体" w:eastAsia="宋体" w:hint="default"/>
          <w:b/>
          <w:bCs/>
          <w:sz w:val="20"/>
          <w:szCs w:val="20"/>
        </w:rPr>
        <w:t>、资产置换</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both"/>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both"/>
        <w:rPr>
          <w:rFonts w:ascii="宋体" w:hAnsi="宋体" w:cs="宋体" w:eastAsia="宋体" w:hint="default"/>
          <w:sz w:val="20"/>
          <w:szCs w:val="20"/>
        </w:rPr>
      </w:pPr>
      <w:bookmarkStart w:name="4、年金计划" w:id="459"/>
      <w:bookmarkEnd w:id="459"/>
      <w:r>
        <w:rPr/>
      </w:r>
      <w:r>
        <w:rPr>
          <w:rFonts w:ascii="宋体" w:hAnsi="宋体" w:cs="宋体" w:eastAsia="宋体" w:hint="default"/>
          <w:b/>
          <w:bCs/>
          <w:sz w:val="20"/>
          <w:szCs w:val="20"/>
        </w:rPr>
        <w:t>4</w:t>
      </w:r>
      <w:r>
        <w:rPr>
          <w:rFonts w:ascii="宋体" w:hAnsi="宋体" w:cs="宋体" w:eastAsia="宋体" w:hint="default"/>
          <w:b/>
          <w:bCs/>
          <w:sz w:val="20"/>
          <w:szCs w:val="20"/>
        </w:rPr>
        <w:t>、年金计划</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both"/>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both"/>
        <w:rPr>
          <w:rFonts w:ascii="宋体" w:hAnsi="宋体" w:cs="宋体" w:eastAsia="宋体" w:hint="default"/>
          <w:sz w:val="20"/>
          <w:szCs w:val="20"/>
        </w:rPr>
      </w:pPr>
      <w:bookmarkStart w:name="5、终止经营" w:id="460"/>
      <w:bookmarkEnd w:id="460"/>
      <w:r>
        <w:rPr/>
      </w:r>
      <w:r>
        <w:rPr>
          <w:rFonts w:ascii="宋体" w:hAnsi="宋体" w:cs="宋体" w:eastAsia="宋体" w:hint="default"/>
          <w:b/>
          <w:bCs/>
          <w:sz w:val="20"/>
          <w:szCs w:val="20"/>
        </w:rPr>
        <w:t>5</w:t>
      </w:r>
      <w:r>
        <w:rPr>
          <w:rFonts w:ascii="宋体" w:hAnsi="宋体" w:cs="宋体" w:eastAsia="宋体" w:hint="default"/>
          <w:b/>
          <w:bCs/>
          <w:sz w:val="20"/>
          <w:szCs w:val="20"/>
        </w:rPr>
        <w:t>、终止经营</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both"/>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both"/>
        <w:rPr>
          <w:rFonts w:ascii="宋体" w:hAnsi="宋体" w:cs="宋体" w:eastAsia="宋体" w:hint="default"/>
          <w:sz w:val="20"/>
          <w:szCs w:val="20"/>
        </w:rPr>
      </w:pPr>
      <w:bookmarkStart w:name="6、分部信息" w:id="461"/>
      <w:bookmarkEnd w:id="461"/>
      <w:r>
        <w:rPr/>
      </w:r>
      <w:r>
        <w:rPr>
          <w:rFonts w:ascii="宋体" w:hAnsi="宋体" w:cs="宋体" w:eastAsia="宋体" w:hint="default"/>
          <w:b/>
          <w:bCs/>
          <w:sz w:val="20"/>
          <w:szCs w:val="20"/>
        </w:rPr>
        <w:t>6</w:t>
      </w:r>
      <w:r>
        <w:rPr>
          <w:rFonts w:ascii="宋体" w:hAnsi="宋体" w:cs="宋体" w:eastAsia="宋体" w:hint="default"/>
          <w:b/>
          <w:bCs/>
          <w:sz w:val="20"/>
          <w:szCs w:val="20"/>
        </w:rPr>
        <w:t>、分部信息</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both"/>
        <w:rPr>
          <w:rFonts w:ascii="宋体" w:hAnsi="宋体" w:cs="宋体" w:eastAsia="宋体" w:hint="default"/>
          <w:sz w:val="20"/>
          <w:szCs w:val="20"/>
        </w:rPr>
      </w:pPr>
      <w:bookmarkStart w:name="（1）报告分部的确定依据与会计政策" w:id="462"/>
      <w:bookmarkEnd w:id="462"/>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）报告分部的确定依据与会计政策</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left="1134" w:right="0" w:firstLine="423"/>
        <w:jc w:val="left"/>
      </w:pPr>
      <w:r>
        <w:rPr>
          <w:rFonts w:ascii="宋体" w:hAnsi="宋体" w:cs="宋体" w:eastAsia="宋体" w:hint="default"/>
        </w:rPr>
        <w:t>1</w:t>
      </w:r>
      <w:r>
        <w:rPr/>
        <w:t>、经营分部，是指企业内同时满足下列条件的组成部分：</w:t>
      </w:r>
      <w:r>
        <w:rPr>
          <w:spacing w:val="40"/>
        </w:rPr>
        <w:t> </w:t>
      </w:r>
      <w:r>
        <w:rPr>
          <w:rFonts w:ascii="宋体" w:hAnsi="宋体" w:cs="宋体" w:eastAsia="宋体" w:hint="default"/>
        </w:rPr>
        <w:t>(1)</w:t>
      </w:r>
      <w:r>
        <w:rPr/>
        <w:t>该组成部分能够在日常活动中产生收 </w:t>
      </w:r>
      <w:r>
        <w:rPr>
          <w:spacing w:val="-1"/>
        </w:rPr>
        <w:t>入、发生费用；</w:t>
      </w:r>
      <w:r>
        <w:rPr>
          <w:rFonts w:ascii="宋体" w:hAnsi="宋体" w:cs="宋体" w:eastAsia="宋体" w:hint="default"/>
          <w:spacing w:val="-1"/>
        </w:rPr>
        <w:t>(2)</w:t>
      </w:r>
      <w:r>
        <w:rPr>
          <w:spacing w:val="-1"/>
        </w:rPr>
        <w:t>企业管理层能够定期评价该组成部分的经营成果，以决定向其配置资源、评价其业绩；</w:t>
      </w:r>
      <w:r>
        <w:rPr>
          <w:spacing w:val="-85"/>
        </w:rPr>
        <w:t> </w:t>
      </w:r>
      <w:r>
        <w:rPr>
          <w:spacing w:val="-85"/>
        </w:rPr>
      </w:r>
      <w:r>
        <w:rPr>
          <w:rFonts w:ascii="宋体" w:hAnsi="宋体" w:cs="宋体" w:eastAsia="宋体" w:hint="default"/>
        </w:rPr>
        <w:t>(3)</w:t>
      </w:r>
      <w:r>
        <w:rPr/>
        <w:t>企业能够取得该组成部分的财务状况、经营成果和现金流量等有关会计信息。</w:t>
      </w:r>
    </w:p>
    <w:p>
      <w:pPr>
        <w:pStyle w:val="BodyText"/>
        <w:spacing w:line="408" w:lineRule="auto" w:before="46"/>
        <w:ind w:left="1557" w:right="0"/>
        <w:jc w:val="left"/>
      </w:pPr>
      <w:r>
        <w:rPr/>
        <w:t>重要性标准的判断 </w:t>
      </w:r>
      <w:r>
        <w:rPr>
          <w:spacing w:val="-1"/>
        </w:rPr>
        <w:t>报告分部是指符合经营分部定义，按规定应予披露的经营分部。报告分部的确定应当以经营分部为基</w:t>
      </w:r>
    </w:p>
    <w:p>
      <w:pPr>
        <w:pStyle w:val="BodyText"/>
        <w:spacing w:line="408" w:lineRule="auto" w:before="46"/>
        <w:ind w:right="1110"/>
        <w:jc w:val="both"/>
      </w:pPr>
      <w:r>
        <w:rPr/>
        <w:t>础，而经营分部的划分通常是以不同的风险和报酬为基础，而不论其是否重要。</w:t>
      </w:r>
      <w:r>
        <w:rPr>
          <w:spacing w:val="71"/>
        </w:rPr>
        <w:t> </w:t>
      </w:r>
      <w:r>
        <w:rPr/>
        <w:t>存在多种产品经营或</w:t>
      </w:r>
      <w:r>
        <w:rPr>
          <w:spacing w:val="-99"/>
        </w:rPr>
        <w:t> </w:t>
      </w:r>
      <w:r>
        <w:rPr>
          <w:spacing w:val="-99"/>
        </w:rPr>
      </w:r>
      <w:r>
        <w:rPr>
          <w:spacing w:val="-1"/>
        </w:rPr>
        <w:t>者跨多个地区经营的企业可能会拥有大量规模较小、不是很重要的经营分部，而单独披露如此之多但规模</w:t>
      </w:r>
      <w:r>
        <w:rPr>
          <w:spacing w:val="-81"/>
        </w:rPr>
        <w:t> </w:t>
      </w:r>
      <w:r>
        <w:rPr>
          <w:spacing w:val="-81"/>
        </w:rPr>
      </w:r>
      <w:r>
        <w:rPr/>
        <w:t>较小的经营分部信息不仅会给财务报表使用者带来困惑，也会给财务报告编制者带来不必要的披露成本。 </w:t>
      </w:r>
      <w:r>
        <w:rPr>
          <w:spacing w:val="-1"/>
        </w:rPr>
        <w:t>因此，报告分部的确定应当考虑重要性原则，通常情况下，符合重要性标准的经营分部才能确定为报告分</w:t>
      </w:r>
      <w:r>
        <w:rPr>
          <w:spacing w:val="-83"/>
        </w:rPr>
        <w:t> </w:t>
      </w:r>
      <w:r>
        <w:rPr>
          <w:spacing w:val="-83"/>
        </w:rPr>
      </w:r>
      <w:r>
        <w:rPr/>
        <w:t>部。</w:t>
      </w:r>
    </w:p>
    <w:p>
      <w:pPr>
        <w:pStyle w:val="BodyText"/>
        <w:spacing w:line="240" w:lineRule="auto" w:before="46"/>
        <w:ind w:left="1557" w:right="0"/>
        <w:jc w:val="left"/>
      </w:pPr>
      <w:r>
        <w:rPr/>
        <w:t>经营分部满足下列条件之一的，应当确定为报告分部：</w:t>
      </w:r>
    </w:p>
    <w:p>
      <w:pPr>
        <w:spacing w:line="240" w:lineRule="auto" w:before="10"/>
        <w:rPr>
          <w:rFonts w:ascii="宋体" w:hAnsi="宋体" w:cs="宋体" w:eastAsia="宋体" w:hint="default"/>
          <w:sz w:val="14"/>
          <w:szCs w:val="14"/>
        </w:rPr>
      </w:pPr>
    </w:p>
    <w:p>
      <w:pPr>
        <w:pStyle w:val="BodyText"/>
        <w:tabs>
          <w:tab w:pos="6534" w:val="left" w:leader="none"/>
        </w:tabs>
        <w:spacing w:line="408" w:lineRule="auto"/>
        <w:ind w:right="1137" w:firstLine="423"/>
        <w:jc w:val="left"/>
      </w:pPr>
      <w:r>
        <w:rPr/>
        <w:t>（</w:t>
      </w:r>
      <w:r>
        <w:rPr>
          <w:rFonts w:ascii="宋体" w:hAnsi="宋体" w:cs="宋体" w:eastAsia="宋体" w:hint="default"/>
        </w:rPr>
        <w:t>1</w:t>
      </w:r>
      <w:r>
        <w:rPr/>
        <w:t>）该经营分部的分部收入占所有分部收入合计的</w:t>
        <w:tab/>
      </w:r>
      <w:r>
        <w:rPr>
          <w:rFonts w:ascii="宋体" w:hAnsi="宋体" w:cs="宋体" w:eastAsia="宋体" w:hint="default"/>
        </w:rPr>
        <w:t>10</w:t>
      </w:r>
      <w:r>
        <w:rPr/>
        <w:t>％或者以上。分部收入是指可归属于分部的 对外交易收入和对其他分部交易收入。</w:t>
      </w:r>
    </w:p>
    <w:p>
      <w:pPr>
        <w:pStyle w:val="BodyText"/>
        <w:tabs>
          <w:tab w:pos="3654" w:val="left" w:leader="none"/>
        </w:tabs>
        <w:spacing w:line="408" w:lineRule="auto" w:before="46"/>
        <w:ind w:right="1140" w:firstLine="423"/>
        <w:jc w:val="left"/>
      </w:pPr>
      <w:r>
        <w:rPr/>
        <w:t>（</w:t>
      </w:r>
      <w:r>
        <w:rPr>
          <w:rFonts w:ascii="宋体" w:hAnsi="宋体" w:cs="宋体" w:eastAsia="宋体" w:hint="default"/>
        </w:rPr>
        <w:t>2</w:t>
      </w:r>
      <w:r>
        <w:rPr/>
        <w:t>）该分部的分部利润</w:t>
      </w:r>
      <w:r>
        <w:rPr>
          <w:rFonts w:ascii="宋体" w:hAnsi="宋体" w:cs="宋体" w:eastAsia="宋体" w:hint="default"/>
        </w:rPr>
        <w:t>(</w:t>
      </w:r>
      <w:r>
        <w:rPr/>
        <w:t>亏损</w:t>
      </w:r>
      <w:r>
        <w:rPr>
          <w:rFonts w:ascii="宋体" w:hAnsi="宋体" w:cs="宋体" w:eastAsia="宋体" w:hint="default"/>
        </w:rPr>
        <w:t>)</w:t>
      </w:r>
      <w:r>
        <w:rPr/>
        <w:t>的绝对额，占所有盈利分部利润合计额或者所有亏损分部亏损合计额 的绝对额两者中较大者的</w:t>
        <w:tab/>
      </w:r>
      <w:r>
        <w:rPr>
          <w:rFonts w:ascii="宋体" w:hAnsi="宋体" w:cs="宋体" w:eastAsia="宋体" w:hint="default"/>
        </w:rPr>
        <w:t>10</w:t>
      </w:r>
      <w:r>
        <w:rPr/>
        <w:t>％或者以上。</w:t>
      </w:r>
    </w:p>
    <w:p>
      <w:pPr>
        <w:pStyle w:val="BodyText"/>
        <w:spacing w:line="240" w:lineRule="auto" w:before="46"/>
        <w:ind w:left="1557" w:right="0"/>
        <w:jc w:val="left"/>
      </w:pPr>
      <w:r>
        <w:rPr/>
        <w:t>（</w:t>
      </w:r>
      <w:r>
        <w:rPr>
          <w:rFonts w:ascii="宋体" w:hAnsi="宋体" w:cs="宋体" w:eastAsia="宋体" w:hint="default"/>
        </w:rPr>
        <w:t>3</w:t>
      </w:r>
      <w:r>
        <w:rPr/>
        <w:t>）该分部的分部资产占所有分部资产合计额的</w:t>
      </w:r>
      <w:r>
        <w:rPr>
          <w:spacing w:val="-31"/>
        </w:rPr>
        <w:t> </w:t>
      </w:r>
      <w:r>
        <w:rPr>
          <w:rFonts w:ascii="宋体" w:hAnsi="宋体" w:cs="宋体" w:eastAsia="宋体" w:hint="default"/>
        </w:rPr>
        <w:t>10</w:t>
      </w:r>
      <w:r>
        <w:rPr/>
        <w:t>％或者以上。分部资产，是指经营分部日常活动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ind w:left="1557" w:right="5083" w:hanging="424"/>
        <w:jc w:val="left"/>
      </w:pPr>
      <w:r>
        <w:rPr/>
        <w:t>中使用的可以归属于该分部的资产，不包括递延所得税资产。 低于</w:t>
      </w:r>
      <w:r>
        <w:rPr>
          <w:rFonts w:ascii="宋体" w:hAnsi="宋体" w:cs="宋体" w:eastAsia="宋体" w:hint="default"/>
        </w:rPr>
        <w:t>10</w:t>
      </w:r>
      <w:r>
        <w:rPr/>
        <w:t>％重要性标准的选择</w:t>
      </w:r>
    </w:p>
    <w:p>
      <w:pPr>
        <w:pStyle w:val="BodyText"/>
        <w:spacing w:line="240" w:lineRule="auto" w:before="46"/>
        <w:ind w:left="1557" w:right="0"/>
        <w:jc w:val="left"/>
      </w:pPr>
      <w:r>
        <w:rPr/>
        <w:t>经营分部未满足上述</w:t>
      </w:r>
      <w:r>
        <w:rPr>
          <w:spacing w:val="-3"/>
        </w:rPr>
        <w:t> </w:t>
      </w:r>
      <w:r>
        <w:rPr>
          <w:rFonts w:ascii="宋体" w:hAnsi="宋体" w:cs="宋体" w:eastAsia="宋体" w:hint="default"/>
        </w:rPr>
        <w:t>10%</w:t>
      </w:r>
      <w:r>
        <w:rPr/>
        <w:t>重要性判断标准的，可以按照下列规定进行确定报告分部：</w:t>
      </w:r>
    </w:p>
    <w:p>
      <w:pPr>
        <w:spacing w:line="240" w:lineRule="auto" w:before="10"/>
        <w:rPr>
          <w:rFonts w:ascii="宋体" w:hAnsi="宋体" w:cs="宋体" w:eastAsia="宋体" w:hint="default"/>
          <w:sz w:val="14"/>
          <w:szCs w:val="14"/>
        </w:rPr>
      </w:pPr>
    </w:p>
    <w:p>
      <w:pPr>
        <w:pStyle w:val="BodyText"/>
        <w:spacing w:line="408" w:lineRule="auto"/>
        <w:ind w:left="1134" w:right="1138" w:firstLine="423"/>
        <w:jc w:val="both"/>
      </w:pPr>
      <w:r>
        <w:rPr/>
        <w:t>（</w:t>
      </w:r>
      <w:r>
        <w:rPr>
          <w:rFonts w:ascii="宋体" w:hAnsi="宋体" w:cs="宋体" w:eastAsia="宋体" w:hint="default"/>
        </w:rPr>
        <w:t>1</w:t>
      </w:r>
      <w:r>
        <w:rPr/>
        <w:t>）企业管理层如果认为披露该经营分部信息对会计信息使用者有用，那么可以将其确定为报告分 部。在这种情况下，无论该分部是否满足</w:t>
      </w:r>
      <w:r>
        <w:rPr>
          <w:spacing w:val="-2"/>
        </w:rPr>
        <w:t> </w:t>
      </w:r>
      <w:r>
        <w:rPr>
          <w:rFonts w:ascii="宋体" w:hAnsi="宋体" w:cs="宋体" w:eastAsia="宋体" w:hint="default"/>
        </w:rPr>
        <w:t>10</w:t>
      </w:r>
      <w:r>
        <w:rPr/>
        <w:t>％的重要性标准，企业都可以直接将其指定为报告分部。</w:t>
      </w:r>
    </w:p>
    <w:p>
      <w:pPr>
        <w:pStyle w:val="BodyText"/>
        <w:spacing w:line="408" w:lineRule="auto" w:before="46"/>
        <w:ind w:right="1130" w:firstLine="423"/>
        <w:jc w:val="both"/>
      </w:pPr>
      <w:r>
        <w:rPr/>
        <w:t>（</w:t>
      </w:r>
      <w:r>
        <w:rPr>
          <w:rFonts w:ascii="宋体" w:hAnsi="宋体" w:cs="宋体" w:eastAsia="宋体" w:hint="default"/>
        </w:rPr>
        <w:t>2</w:t>
      </w:r>
      <w:r>
        <w:rPr/>
        <w:t>）将该经营分部与一个或一个以上的具有相似经济特征、满足经营分部合并条件的其他经营分部 合并，作为一个报告分部。对经营分部</w:t>
      </w:r>
      <w:r>
        <w:rPr>
          <w:spacing w:val="81"/>
        </w:rPr>
        <w:t> </w:t>
      </w:r>
      <w:r>
        <w:rPr>
          <w:rFonts w:ascii="宋体" w:hAnsi="宋体" w:cs="宋体" w:eastAsia="宋体" w:hint="default"/>
        </w:rPr>
        <w:t>10</w:t>
      </w:r>
      <w:r>
        <w:rPr/>
        <w:t>％的重要性测试可能会导致企业拥有大量未满足</w:t>
      </w:r>
      <w:r>
        <w:rPr>
          <w:rFonts w:ascii="宋体" w:hAnsi="宋体" w:cs="宋体" w:eastAsia="宋体" w:hint="default"/>
        </w:rPr>
        <w:t>10</w:t>
      </w:r>
      <w:r>
        <w:rPr/>
        <w:t>％数量临界 </w:t>
      </w:r>
      <w:r>
        <w:rPr>
          <w:spacing w:val="-1"/>
        </w:rPr>
        <w:t>线的经营分部，在这种情况下，如果企业没有直接将这些分部指定为报告分部的，可以将一个或一个以上</w:t>
      </w:r>
      <w:r>
        <w:rPr>
          <w:spacing w:val="-83"/>
        </w:rPr>
        <w:t> </w:t>
      </w:r>
      <w:r>
        <w:rPr>
          <w:spacing w:val="-83"/>
        </w:rPr>
      </w:r>
      <w:r>
        <w:rPr/>
        <w:t>具有相似经济特征、满足经营分部合并条件的一个以上的经营分部合并成一个报告分部。</w:t>
      </w:r>
    </w:p>
    <w:p>
      <w:pPr>
        <w:pStyle w:val="BodyText"/>
        <w:spacing w:line="408" w:lineRule="auto" w:before="46"/>
        <w:ind w:left="1134" w:right="1131" w:firstLine="423"/>
        <w:jc w:val="both"/>
      </w:pPr>
      <w:r>
        <w:rPr/>
        <w:t>（</w:t>
      </w:r>
      <w:r>
        <w:rPr>
          <w:rFonts w:ascii="宋体" w:hAnsi="宋体" w:cs="宋体" w:eastAsia="宋体" w:hint="default"/>
        </w:rPr>
        <w:t>3</w:t>
      </w:r>
      <w:r>
        <w:rPr/>
        <w:t>）不将该经营分部指定为报告分部，也不将该经营分部与其他未作为报告分部的经营分部合并为 </w:t>
      </w:r>
      <w:r>
        <w:rPr>
          <w:spacing w:val="-1"/>
        </w:rPr>
        <w:t>一个报告分部的，企业在披露分部信息时，应当将该经营分部的信息与其他组成部分的信息合并，作为其</w:t>
      </w:r>
      <w:r>
        <w:rPr>
          <w:spacing w:val="-83"/>
        </w:rPr>
        <w:t> </w:t>
      </w:r>
      <w:r>
        <w:rPr>
          <w:spacing w:val="-83"/>
        </w:rPr>
      </w:r>
      <w:r>
        <w:rPr/>
        <w:t>他项目单独披露。</w:t>
      </w:r>
    </w:p>
    <w:p>
      <w:pPr>
        <w:pStyle w:val="BodyText"/>
        <w:spacing w:line="408" w:lineRule="auto" w:before="46"/>
        <w:ind w:left="1557" w:right="0"/>
        <w:jc w:val="left"/>
      </w:pPr>
      <w:r>
        <w:rPr>
          <w:rFonts w:ascii="宋体" w:hAnsi="宋体" w:cs="宋体" w:eastAsia="宋体" w:hint="default"/>
        </w:rPr>
        <w:t>2</w:t>
      </w:r>
      <w:r>
        <w:rPr/>
        <w:t>、报告分部的确定 </w:t>
      </w:r>
      <w:r>
        <w:rPr>
          <w:spacing w:val="-1"/>
        </w:rPr>
        <w:t>根据本公司内部组织结构、管理要求、内部报告制度为依据确定将索瑞及其子公司作为一个经营分部</w:t>
      </w:r>
    </w:p>
    <w:p>
      <w:pPr>
        <w:pStyle w:val="BodyText"/>
        <w:spacing w:line="240" w:lineRule="auto" w:before="46"/>
        <w:ind w:right="0"/>
        <w:jc w:val="left"/>
      </w:pPr>
      <w:r>
        <w:rPr/>
        <w:t>（简称湖北分部），除索瑞分部以外的公司作为一个经营分部（简称南京分部）。</w:t>
      </w:r>
    </w:p>
    <w:p>
      <w:pPr>
        <w:spacing w:line="240" w:lineRule="auto" w:before="7"/>
        <w:rPr>
          <w:rFonts w:ascii="宋体" w:hAnsi="宋体" w:cs="宋体" w:eastAsia="宋体" w:hint="default"/>
          <w:sz w:val="15"/>
          <w:szCs w:val="15"/>
        </w:rPr>
      </w:pPr>
    </w:p>
    <w:p>
      <w:pPr>
        <w:spacing w:before="0"/>
        <w:ind w:left="1133" w:right="0" w:firstLine="0"/>
        <w:jc w:val="left"/>
        <w:rPr>
          <w:rFonts w:ascii="宋体" w:hAnsi="宋体" w:cs="宋体" w:eastAsia="宋体" w:hint="default"/>
          <w:sz w:val="20"/>
          <w:szCs w:val="20"/>
        </w:rPr>
      </w:pPr>
      <w:bookmarkStart w:name="（2）报告分部的财务信息" w:id="463"/>
      <w:bookmarkEnd w:id="463"/>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）报告分部的财务信息</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1898"/>
        <w:gridCol w:w="1925"/>
        <w:gridCol w:w="1914"/>
        <w:gridCol w:w="1914"/>
        <w:gridCol w:w="1913"/>
      </w:tblGrid>
      <w:tr>
        <w:trPr>
          <w:trHeight w:val="413" w:hRule="exact"/>
        </w:trPr>
        <w:tc>
          <w:tcPr>
            <w:tcW w:w="1898" w:type="dxa"/>
            <w:tcBorders>
              <w:top w:val="single" w:sz="12" w:space="0" w:color="000000"/>
              <w:left w:val="single" w:sz="12" w:space="0" w:color="000000"/>
              <w:bottom w:val="single" w:sz="6" w:space="0" w:color="000000"/>
              <w:right w:val="single" w:sz="14" w:space="0" w:color="D9D9D9"/>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12" w:space="0" w:color="000000"/>
              <w:left w:val="single" w:sz="14" w:space="0" w:color="D2D2D2"/>
              <w:bottom w:val="single" w:sz="6" w:space="0" w:color="000000"/>
              <w:right w:val="single" w:sz="6" w:space="0" w:color="000000"/>
            </w:tcBorders>
            <w:shd w:val="clear" w:color="auto" w:fill="D9D9D9"/>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湖北分部</w:t>
            </w:r>
          </w:p>
        </w:tc>
        <w:tc>
          <w:tcPr>
            <w:tcW w:w="1914" w:type="dxa"/>
            <w:tcBorders>
              <w:top w:val="single" w:sz="12" w:space="0" w:color="000000"/>
              <w:left w:val="single" w:sz="6" w:space="0" w:color="000000"/>
              <w:bottom w:val="single" w:sz="6" w:space="0" w:color="000000"/>
              <w:right w:val="single" w:sz="8" w:space="0" w:color="D2D2D2"/>
            </w:tcBorders>
            <w:shd w:val="clear" w:color="auto" w:fill="D9D9D9"/>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南京分部</w:t>
            </w:r>
          </w:p>
        </w:tc>
        <w:tc>
          <w:tcPr>
            <w:tcW w:w="1914" w:type="dxa"/>
            <w:tcBorders>
              <w:top w:val="single" w:sz="12" w:space="0" w:color="000000"/>
              <w:left w:val="single" w:sz="14" w:space="0" w:color="D9D9D9"/>
              <w:bottom w:val="single" w:sz="6" w:space="0" w:color="000000"/>
              <w:right w:val="single" w:sz="6" w:space="0" w:color="000000"/>
            </w:tcBorders>
            <w:shd w:val="clear" w:color="auto" w:fill="D2D2D2"/>
          </w:tcPr>
          <w:p>
            <w:pPr>
              <w:pStyle w:val="TableParagraph"/>
              <w:spacing w:line="240" w:lineRule="auto" w:before="51"/>
              <w:ind w:left="488"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18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5"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538,440,312.82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169,503,140.68</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-269,750.00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707,673,703.50</w:t>
            </w:r>
          </w:p>
        </w:tc>
      </w:tr>
      <w:tr>
        <w:trPr>
          <w:trHeight w:val="408" w:hRule="exact"/>
        </w:trPr>
        <w:tc>
          <w:tcPr>
            <w:tcW w:w="18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其中：对外交易</w:t>
            </w:r>
          </w:p>
        </w:tc>
        <w:tc>
          <w:tcPr>
            <w:tcW w:w="1925"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538,170,562.82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169,503,140.68</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707,673,703.50</w:t>
            </w:r>
          </w:p>
        </w:tc>
      </w:tr>
      <w:tr>
        <w:trPr>
          <w:trHeight w:val="407" w:hRule="exact"/>
        </w:trPr>
        <w:tc>
          <w:tcPr>
            <w:tcW w:w="18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分部间交易</w:t>
            </w:r>
          </w:p>
        </w:tc>
        <w:tc>
          <w:tcPr>
            <w:tcW w:w="1925"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269,750.00</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-269,750.00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719" w:hRule="exact"/>
        </w:trPr>
        <w:tc>
          <w:tcPr>
            <w:tcW w:w="18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9" w:lineRule="auto" w:before="51"/>
              <w:ind w:left="6" w:right="67"/>
              <w:jc w:val="left"/>
              <w:rPr>
                <w:rFonts w:ascii="宋体" w:hAnsi="宋体" w:cs="宋体" w:eastAsia="宋体" w:hint="default"/>
                <w:sz w:val="18"/>
                <w:szCs w:val="18"/>
              </w:rPr>
            </w:pPr>
            <w:r>
              <w:rPr>
                <w:rFonts w:ascii="宋体" w:hAnsi="宋体" w:cs="宋体" w:eastAsia="宋体" w:hint="default"/>
                <w:sz w:val="18"/>
                <w:szCs w:val="18"/>
              </w:rPr>
              <w:t>对外交易收入占分部收 入总额百分比</w:t>
            </w:r>
          </w:p>
        </w:tc>
        <w:tc>
          <w:tcPr>
            <w:tcW w:w="1925"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99.95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1.00</w:t>
            </w:r>
          </w:p>
        </w:tc>
      </w:tr>
      <w:tr>
        <w:trPr>
          <w:trHeight w:val="407" w:hRule="exact"/>
        </w:trPr>
        <w:tc>
          <w:tcPr>
            <w:tcW w:w="18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25"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14,731,771.17</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1,669,830.64</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16,401,601.81</w:t>
            </w:r>
          </w:p>
        </w:tc>
      </w:tr>
      <w:tr>
        <w:trPr>
          <w:trHeight w:val="407" w:hRule="exact"/>
        </w:trPr>
        <w:tc>
          <w:tcPr>
            <w:tcW w:w="18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1925"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17,486,359.91</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9,718,165.39</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27,204,525.30</w:t>
            </w:r>
          </w:p>
        </w:tc>
      </w:tr>
      <w:tr>
        <w:trPr>
          <w:trHeight w:val="407" w:hRule="exact"/>
        </w:trPr>
        <w:tc>
          <w:tcPr>
            <w:tcW w:w="18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25"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89,634,163.75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-26,543,041.11</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-78,227.50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63,012,895.14</w:t>
            </w:r>
          </w:p>
        </w:tc>
      </w:tr>
      <w:tr>
        <w:trPr>
          <w:trHeight w:val="408" w:hRule="exact"/>
        </w:trPr>
        <w:tc>
          <w:tcPr>
            <w:tcW w:w="18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25"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13,052,974.28</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558,048.90</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13,611,023.18</w:t>
            </w:r>
          </w:p>
        </w:tc>
      </w:tr>
      <w:tr>
        <w:trPr>
          <w:trHeight w:val="407" w:hRule="exact"/>
        </w:trPr>
        <w:tc>
          <w:tcPr>
            <w:tcW w:w="18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5"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76,581,189.47</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-27,101,090.00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-78,227.50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49,401,871.97</w:t>
            </w:r>
          </w:p>
        </w:tc>
      </w:tr>
      <w:tr>
        <w:trPr>
          <w:trHeight w:val="407" w:hRule="exact"/>
        </w:trPr>
        <w:tc>
          <w:tcPr>
            <w:tcW w:w="189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5"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991,694,902.72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1,186,852,196.79</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-573,442.71</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2,177,973,656.80</w:t>
            </w:r>
          </w:p>
        </w:tc>
      </w:tr>
      <w:tr>
        <w:trPr>
          <w:trHeight w:val="415" w:hRule="exact"/>
        </w:trPr>
        <w:tc>
          <w:tcPr>
            <w:tcW w:w="189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5" w:type="dxa"/>
            <w:tcBorders>
              <w:top w:val="single" w:sz="6" w:space="0" w:color="000000"/>
              <w:left w:val="single" w:sz="14" w:space="0" w:color="D9D9D9"/>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438,157,944.79</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322,227,562.59</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-573,442.71</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759,812,064.67</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3" w:right="0" w:firstLine="0"/>
        <w:jc w:val="left"/>
        <w:rPr>
          <w:rFonts w:ascii="宋体" w:hAnsi="宋体" w:cs="宋体" w:eastAsia="宋体" w:hint="default"/>
          <w:sz w:val="20"/>
          <w:szCs w:val="20"/>
        </w:rPr>
      </w:pPr>
      <w:bookmarkStart w:name="（3）公司无报告分部的，或者不能披露各报告分部的资产总额和负债总额的，应说明原因" w:id="464"/>
      <w:bookmarkEnd w:id="464"/>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）公司无报告分部的，或者不能披露各报告分部的资产总额和负债总额的，应说明原因</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line="429" w:lineRule="auto" w:before="0"/>
        <w:ind w:left="1134" w:right="6636" w:firstLine="0"/>
        <w:jc w:val="left"/>
        <w:rPr>
          <w:rFonts w:ascii="宋体" w:hAnsi="宋体" w:cs="宋体" w:eastAsia="宋体" w:hint="default"/>
          <w:sz w:val="20"/>
          <w:szCs w:val="20"/>
        </w:rPr>
      </w:pPr>
      <w:bookmarkStart w:name="（4）其他说明" w:id="465"/>
      <w:bookmarkEnd w:id="465"/>
      <w:r>
        <w:rPr/>
      </w: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）其他说明</w:t>
      </w:r>
      <w:r>
        <w:rPr>
          <w:rFonts w:ascii="宋体" w:hAnsi="宋体" w:cs="宋体" w:eastAsia="宋体" w:hint="default"/>
          <w:b/>
          <w:bCs/>
          <w:w w:val="99"/>
          <w:sz w:val="20"/>
          <w:szCs w:val="20"/>
        </w:rPr>
        <w:t> </w:t>
      </w:r>
      <w:bookmarkStart w:name="7、其他对投资者决策有影响的重要交易和事项" w:id="466"/>
      <w:bookmarkEnd w:id="466"/>
      <w:r>
        <w:rPr>
          <w:rFonts w:ascii="宋体" w:hAnsi="宋体" w:cs="宋体" w:eastAsia="宋体" w:hint="default"/>
          <w:b/>
          <w:bCs/>
          <w:w w:val="99"/>
          <w:sz w:val="20"/>
          <w:szCs w:val="20"/>
        </w:rPr>
      </w:r>
      <w:r>
        <w:rPr>
          <w:rFonts w:ascii="宋体" w:hAnsi="宋体" w:cs="宋体" w:eastAsia="宋体" w:hint="default"/>
          <w:b/>
          <w:bCs/>
          <w:sz w:val="20"/>
          <w:szCs w:val="20"/>
        </w:rPr>
        <w:t>7</w:t>
      </w:r>
      <w:r>
        <w:rPr>
          <w:rFonts w:ascii="宋体" w:hAnsi="宋体" w:cs="宋体" w:eastAsia="宋体" w:hint="default"/>
          <w:b/>
          <w:bCs/>
          <w:sz w:val="20"/>
          <w:szCs w:val="20"/>
        </w:rPr>
        <w:t>、其他对投资者决策有影响的重要交易和事项</w:t>
      </w:r>
      <w:r>
        <w:rPr>
          <w:rFonts w:ascii="宋体" w:hAnsi="宋体" w:cs="宋体" w:eastAsia="宋体" w:hint="default"/>
          <w:sz w:val="20"/>
          <w:szCs w:val="20"/>
        </w:rPr>
      </w:r>
    </w:p>
    <w:p>
      <w:pPr>
        <w:spacing w:before="48"/>
        <w:ind w:left="1134" w:right="0" w:firstLine="0"/>
        <w:jc w:val="left"/>
        <w:rPr>
          <w:rFonts w:ascii="宋体" w:hAnsi="宋体" w:cs="宋体" w:eastAsia="宋体" w:hint="default"/>
          <w:sz w:val="20"/>
          <w:szCs w:val="20"/>
        </w:rPr>
      </w:pPr>
      <w:bookmarkStart w:name="8、其他" w:id="467"/>
      <w:bookmarkEnd w:id="467"/>
      <w:r>
        <w:rPr/>
      </w:r>
      <w:r>
        <w:rPr>
          <w:rFonts w:ascii="宋体" w:hAnsi="宋体" w:cs="宋体" w:eastAsia="宋体" w:hint="default"/>
          <w:b/>
          <w:bCs/>
          <w:sz w:val="20"/>
          <w:szCs w:val="20"/>
        </w:rPr>
        <w:t>8</w:t>
      </w:r>
      <w:r>
        <w:rPr>
          <w:rFonts w:ascii="宋体" w:hAnsi="宋体" w:cs="宋体" w:eastAsia="宋体" w:hint="default"/>
          <w:b/>
          <w:bCs/>
          <w:sz w:val="20"/>
          <w:szCs w:val="20"/>
        </w:rPr>
        <w:t>、其他</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right="0" w:firstLine="420"/>
        <w:jc w:val="left"/>
      </w:pPr>
      <w:r>
        <w:rPr/>
        <w:t>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日，控股股东江苏光一投资管理有限公司持有公司股份</w:t>
      </w:r>
      <w:r>
        <w:rPr>
          <w:rFonts w:ascii="宋体" w:hAnsi="宋体" w:cs="宋体" w:eastAsia="宋体" w:hint="default"/>
        </w:rPr>
        <w:t>4,260</w:t>
      </w:r>
      <w:r>
        <w:rPr/>
        <w:t>万股，占公司股份总 </w:t>
      </w:r>
      <w:r>
        <w:rPr>
          <w:spacing w:val="-3"/>
        </w:rPr>
        <w:t>数的</w:t>
      </w:r>
      <w:r>
        <w:rPr>
          <w:rFonts w:ascii="宋体" w:hAnsi="宋体" w:cs="宋体" w:eastAsia="宋体" w:hint="default"/>
          <w:spacing w:val="-3"/>
        </w:rPr>
        <w:t>26.42%</w:t>
      </w:r>
      <w:r>
        <w:rPr>
          <w:spacing w:val="-3"/>
        </w:rPr>
        <w:t>，累计质押股份数量为</w:t>
      </w:r>
      <w:r>
        <w:rPr>
          <w:rFonts w:ascii="宋体" w:hAnsi="宋体" w:cs="宋体" w:eastAsia="宋体" w:hint="default"/>
          <w:spacing w:val="-3"/>
        </w:rPr>
        <w:t>2,508.25</w:t>
      </w:r>
      <w:r>
        <w:rPr>
          <w:spacing w:val="-3"/>
        </w:rPr>
        <w:t>万股，占其所持股份比例的</w:t>
      </w:r>
      <w:r>
        <w:rPr>
          <w:rFonts w:ascii="宋体" w:hAnsi="宋体" w:cs="宋体" w:eastAsia="宋体" w:hint="default"/>
          <w:spacing w:val="-3"/>
        </w:rPr>
        <w:t>58.88%</w:t>
      </w:r>
      <w:r>
        <w:rPr>
          <w:spacing w:val="-3"/>
        </w:rPr>
        <w:t>，占公司股份总数的</w:t>
      </w:r>
      <w:r>
        <w:rPr>
          <w:rFonts w:ascii="宋体" w:hAnsi="宋体" w:cs="宋体" w:eastAsia="宋体" w:hint="default"/>
          <w:spacing w:val="-3"/>
        </w:rPr>
        <w:t>15.56%</w:t>
      </w:r>
      <w:r>
        <w:rPr>
          <w:spacing w:val="-3"/>
        </w:rPr>
        <w:t>；</w:t>
      </w:r>
      <w:r>
        <w:rPr>
          <w:spacing w:val="-55"/>
        </w:rPr>
        <w:t> </w:t>
      </w:r>
      <w:r>
        <w:rPr/>
        <w:t>尚余</w:t>
      </w:r>
      <w:r>
        <w:rPr>
          <w:rFonts w:ascii="宋体" w:hAnsi="宋体" w:cs="宋体" w:eastAsia="宋体" w:hint="default"/>
        </w:rPr>
        <w:t>1751.75</w:t>
      </w:r>
      <w:r>
        <w:rPr/>
        <w:t>万股未质押。</w:t>
      </w:r>
    </w:p>
    <w:p>
      <w:pPr>
        <w:pStyle w:val="Heading4"/>
        <w:spacing w:line="240" w:lineRule="auto"/>
        <w:ind w:left="1134" w:right="0"/>
        <w:jc w:val="left"/>
        <w:rPr>
          <w:b w:val="0"/>
          <w:bCs w:val="0"/>
        </w:rPr>
      </w:pPr>
      <w:bookmarkStart w:name="十七、母公司财务报表主要项目注释" w:id="468"/>
      <w:bookmarkEnd w:id="468"/>
      <w:r>
        <w:rPr>
          <w:b w:val="0"/>
          <w:bCs w:val="0"/>
        </w:rPr>
      </w:r>
      <w:r>
        <w:rPr/>
        <w:t>十七、母公司财务报表主要项目注释</w:t>
      </w:r>
      <w:r>
        <w:rPr>
          <w:b w:val="0"/>
          <w:bCs w:val="0"/>
        </w:rPr>
      </w:r>
    </w:p>
    <w:p>
      <w:pPr>
        <w:spacing w:line="240" w:lineRule="auto" w:before="6"/>
        <w:rPr>
          <w:rFonts w:ascii="宋体" w:hAnsi="宋体" w:cs="宋体" w:eastAsia="宋体" w:hint="default"/>
          <w:b/>
          <w:bCs/>
          <w:sz w:val="15"/>
          <w:szCs w:val="15"/>
        </w:rPr>
      </w:pPr>
    </w:p>
    <w:p>
      <w:pPr>
        <w:spacing w:before="0"/>
        <w:ind w:left="1133" w:right="0" w:firstLine="0"/>
        <w:jc w:val="left"/>
        <w:rPr>
          <w:rFonts w:ascii="宋体" w:hAnsi="宋体" w:cs="宋体" w:eastAsia="宋体" w:hint="default"/>
          <w:sz w:val="20"/>
          <w:szCs w:val="20"/>
        </w:rPr>
      </w:pPr>
      <w:bookmarkStart w:name="1、应收账款" w:id="469"/>
      <w:bookmarkEnd w:id="469"/>
      <w:r>
        <w:rPr/>
      </w:r>
      <w:r>
        <w:rPr>
          <w:rFonts w:ascii="宋体" w:hAnsi="宋体" w:cs="宋体" w:eastAsia="宋体" w:hint="default"/>
          <w:b/>
          <w:bCs/>
          <w:sz w:val="20"/>
          <w:szCs w:val="20"/>
        </w:rPr>
        <w:t>1</w:t>
      </w:r>
      <w:r>
        <w:rPr>
          <w:rFonts w:ascii="宋体" w:hAnsi="宋体" w:cs="宋体" w:eastAsia="宋体" w:hint="default"/>
          <w:b/>
          <w:bCs/>
          <w:sz w:val="20"/>
          <w:szCs w:val="20"/>
        </w:rPr>
        <w:t>、应收账款</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3" w:right="0" w:firstLine="0"/>
        <w:jc w:val="left"/>
        <w:rPr>
          <w:rFonts w:ascii="宋体" w:hAnsi="宋体" w:cs="宋体" w:eastAsia="宋体" w:hint="default"/>
          <w:sz w:val="20"/>
          <w:szCs w:val="20"/>
        </w:rPr>
      </w:pPr>
      <w:bookmarkStart w:name="（1）应收账款分类披露" w:id="470"/>
      <w:bookmarkEnd w:id="470"/>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）应收账款分类披露</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1629"/>
        <w:gridCol w:w="763"/>
        <w:gridCol w:w="762"/>
        <w:gridCol w:w="762"/>
        <w:gridCol w:w="762"/>
        <w:gridCol w:w="790"/>
        <w:gridCol w:w="654"/>
        <w:gridCol w:w="762"/>
        <w:gridCol w:w="813"/>
        <w:gridCol w:w="932"/>
        <w:gridCol w:w="932"/>
      </w:tblGrid>
      <w:tr>
        <w:trPr>
          <w:trHeight w:val="414" w:hRule="exact"/>
        </w:trPr>
        <w:tc>
          <w:tcPr>
            <w:tcW w:w="1629" w:type="dxa"/>
            <w:vMerge w:val="restart"/>
            <w:tcBorders>
              <w:top w:val="single" w:sz="12" w:space="0" w:color="000000"/>
              <w:left w:val="single" w:sz="12" w:space="0" w:color="000000"/>
              <w:right w:val="single" w:sz="6" w:space="0" w:color="000000"/>
            </w:tcBorders>
            <w:shd w:val="clear" w:color="auto" w:fill="D2D2D2"/>
          </w:tcPr>
          <w:p>
            <w:pPr/>
          </w:p>
        </w:tc>
        <w:tc>
          <w:tcPr>
            <w:tcW w:w="3839" w:type="dxa"/>
            <w:gridSpan w:val="5"/>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4" w:hRule="exact"/>
        </w:trPr>
        <w:tc>
          <w:tcPr>
            <w:tcW w:w="1629" w:type="dxa"/>
            <w:vMerge/>
            <w:tcBorders>
              <w:left w:val="single" w:sz="12" w:space="0" w:color="000000"/>
              <w:bottom w:val="nil" w:sz="6" w:space="0" w:color="auto"/>
              <w:right w:val="single" w:sz="6" w:space="0" w:color="000000"/>
            </w:tcBorders>
            <w:shd w:val="clear" w:color="auto" w:fill="D2D2D2"/>
          </w:tcPr>
          <w:p>
            <w:pPr/>
          </w:p>
        </w:tc>
        <w:tc>
          <w:tcPr>
            <w:tcW w:w="1525"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9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9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6" w:space="0" w:color="000000"/>
              <w:left w:val="single" w:sz="6" w:space="0" w:color="000000"/>
              <w:right w:val="single" w:sz="6" w:space="0" w:color="000000"/>
            </w:tcBorders>
            <w:shd w:val="clear" w:color="auto" w:fill="D2D2D2"/>
          </w:tcPr>
          <w:p>
            <w:pPr/>
          </w:p>
        </w:tc>
        <w:tc>
          <w:tcPr>
            <w:tcW w:w="141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6" w:space="0" w:color="000000"/>
              <w:left w:val="single" w:sz="6" w:space="0" w:color="000000"/>
              <w:right w:val="single" w:sz="12" w:space="0" w:color="000000"/>
            </w:tcBorders>
            <w:shd w:val="clear" w:color="auto" w:fill="D2D2D2"/>
          </w:tcPr>
          <w:p>
            <w:pPr/>
          </w:p>
        </w:tc>
      </w:tr>
      <w:tr>
        <w:trPr>
          <w:trHeight w:val="243" w:hRule="exact"/>
        </w:trPr>
        <w:tc>
          <w:tcPr>
            <w:tcW w:w="1629"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6" w:space="0" w:color="000000"/>
              <w:bottom w:val="single" w:sz="6" w:space="0" w:color="000000"/>
              <w:right w:val="single" w:sz="6" w:space="0" w:color="000000"/>
            </w:tcBorders>
            <w:shd w:val="clear" w:color="auto" w:fill="D2D2D2"/>
          </w:tcPr>
          <w:p>
            <w:pPr/>
          </w:p>
        </w:tc>
        <w:tc>
          <w:tcPr>
            <w:tcW w:w="1524" w:type="dxa"/>
            <w:gridSpan w:val="2"/>
            <w:vMerge/>
            <w:tcBorders>
              <w:left w:val="single" w:sz="6" w:space="0" w:color="000000"/>
              <w:bottom w:val="single" w:sz="6" w:space="0" w:color="000000"/>
              <w:right w:val="single" w:sz="6" w:space="0" w:color="000000"/>
            </w:tcBorders>
            <w:shd w:val="clear" w:color="auto" w:fill="D2D2D2"/>
          </w:tcPr>
          <w:p>
            <w:pPr/>
          </w:p>
        </w:tc>
        <w:tc>
          <w:tcPr>
            <w:tcW w:w="790" w:type="dxa"/>
            <w:vMerge/>
            <w:tcBorders>
              <w:left w:val="single" w:sz="6" w:space="0" w:color="000000"/>
              <w:bottom w:val="nil" w:sz="6" w:space="0" w:color="auto"/>
              <w:right w:val="single" w:sz="6" w:space="0" w:color="000000"/>
            </w:tcBorders>
            <w:shd w:val="clear" w:color="auto" w:fill="D2D2D2"/>
          </w:tcPr>
          <w:p>
            <w:pPr/>
          </w:p>
        </w:tc>
        <w:tc>
          <w:tcPr>
            <w:tcW w:w="1416" w:type="dxa"/>
            <w:gridSpan w:val="2"/>
            <w:vMerge/>
            <w:tcBorders>
              <w:left w:val="single" w:sz="6" w:space="0" w:color="000000"/>
              <w:bottom w:val="single" w:sz="6" w:space="0" w:color="000000"/>
              <w:right w:val="single" w:sz="6" w:space="0" w:color="000000"/>
            </w:tcBorders>
            <w:shd w:val="clear" w:color="auto" w:fill="D2D2D2"/>
          </w:tcPr>
          <w:p>
            <w:pPr/>
          </w:p>
        </w:tc>
        <w:tc>
          <w:tcPr>
            <w:tcW w:w="1745" w:type="dxa"/>
            <w:gridSpan w:val="2"/>
            <w:vMerge/>
            <w:tcBorders>
              <w:left w:val="single" w:sz="6" w:space="0" w:color="000000"/>
              <w:bottom w:val="single" w:sz="6" w:space="0" w:color="000000"/>
              <w:right w:val="single" w:sz="6" w:space="0" w:color="000000"/>
            </w:tcBorders>
            <w:shd w:val="clear" w:color="auto" w:fill="D2D2D2"/>
          </w:tcPr>
          <w:p>
            <w:pPr/>
          </w:p>
        </w:tc>
        <w:tc>
          <w:tcPr>
            <w:tcW w:w="932" w:type="dxa"/>
            <w:vMerge/>
            <w:tcBorders>
              <w:left w:val="single" w:sz="6" w:space="0" w:color="000000"/>
              <w:bottom w:val="nil" w:sz="6" w:space="0" w:color="auto"/>
              <w:right w:val="single" w:sz="12" w:space="0" w:color="000000"/>
            </w:tcBorders>
            <w:shd w:val="clear" w:color="auto" w:fill="D2D2D2"/>
          </w:tcPr>
          <w:p>
            <w:pPr/>
          </w:p>
        </w:tc>
      </w:tr>
      <w:tr>
        <w:trPr>
          <w:trHeight w:val="160" w:hRule="exact"/>
        </w:trPr>
        <w:tc>
          <w:tcPr>
            <w:tcW w:w="1629" w:type="dxa"/>
            <w:vMerge/>
            <w:tcBorders>
              <w:left w:val="single" w:sz="12" w:space="0" w:color="000000"/>
              <w:bottom w:val="single" w:sz="6" w:space="0" w:color="FFFFFF"/>
              <w:right w:val="single" w:sz="6" w:space="0" w:color="000000"/>
            </w:tcBorders>
            <w:shd w:val="clear" w:color="auto" w:fill="D2D2D2"/>
          </w:tcPr>
          <w:p>
            <w:pPr/>
          </w:p>
        </w:tc>
        <w:tc>
          <w:tcPr>
            <w:tcW w:w="763" w:type="dxa"/>
            <w:tcBorders>
              <w:top w:val="single" w:sz="6" w:space="0" w:color="000000"/>
              <w:left w:val="single" w:sz="6" w:space="0" w:color="000000"/>
              <w:bottom w:val="single" w:sz="6" w:space="0" w:color="FFFFFF"/>
              <w:right w:val="single" w:sz="6" w:space="0" w:color="000000"/>
            </w:tcBorders>
            <w:shd w:val="clear" w:color="auto" w:fill="D2D2D2"/>
          </w:tcPr>
          <w:p>
            <w:pPr/>
          </w:p>
        </w:tc>
        <w:tc>
          <w:tcPr>
            <w:tcW w:w="762" w:type="dxa"/>
            <w:tcBorders>
              <w:top w:val="single" w:sz="6" w:space="0" w:color="000000"/>
              <w:left w:val="single" w:sz="6" w:space="0" w:color="000000"/>
              <w:bottom w:val="single" w:sz="6" w:space="0" w:color="FFFFFF"/>
              <w:right w:val="single" w:sz="6" w:space="0" w:color="000000"/>
            </w:tcBorders>
            <w:shd w:val="clear" w:color="auto" w:fill="D2D2D2"/>
          </w:tcPr>
          <w:p>
            <w:pPr/>
          </w:p>
        </w:tc>
        <w:tc>
          <w:tcPr>
            <w:tcW w:w="762" w:type="dxa"/>
            <w:tcBorders>
              <w:top w:val="single" w:sz="6" w:space="0" w:color="000000"/>
              <w:left w:val="single" w:sz="6" w:space="0" w:color="000000"/>
              <w:bottom w:val="single" w:sz="6" w:space="0" w:color="FFFFFF"/>
              <w:right w:val="single" w:sz="6" w:space="0" w:color="000000"/>
            </w:tcBorders>
            <w:shd w:val="clear" w:color="auto" w:fill="D2D2D2"/>
          </w:tcPr>
          <w:p>
            <w:pPr/>
          </w:p>
        </w:tc>
        <w:tc>
          <w:tcPr>
            <w:tcW w:w="762"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52"/>
              <w:ind w:left="283" w:right="10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6" w:space="0" w:color="000000"/>
              <w:left w:val="single" w:sz="6" w:space="0" w:color="000000"/>
              <w:bottom w:val="nil" w:sz="6" w:space="0" w:color="auto"/>
              <w:right w:val="single" w:sz="6" w:space="0" w:color="000000"/>
            </w:tcBorders>
            <w:shd w:val="clear" w:color="auto" w:fill="D2D2D2"/>
          </w:tcPr>
          <w:p>
            <w:pPr/>
          </w:p>
        </w:tc>
        <w:tc>
          <w:tcPr>
            <w:tcW w:w="76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3" w:type="dxa"/>
            <w:tcBorders>
              <w:top w:val="single" w:sz="6" w:space="0" w:color="000000"/>
              <w:left w:val="single" w:sz="6" w:space="0" w:color="000000"/>
              <w:bottom w:val="nil" w:sz="6" w:space="0" w:color="auto"/>
              <w:right w:val="single" w:sz="6" w:space="0" w:color="000000"/>
            </w:tcBorders>
            <w:shd w:val="clear" w:color="auto" w:fill="D2D2D2"/>
          </w:tcPr>
          <w:p>
            <w:pPr/>
          </w:p>
        </w:tc>
        <w:tc>
          <w:tcPr>
            <w:tcW w:w="932" w:type="dxa"/>
            <w:tcBorders>
              <w:top w:val="single" w:sz="6" w:space="0" w:color="000000"/>
              <w:left w:val="single" w:sz="6" w:space="0" w:color="000000"/>
              <w:bottom w:val="nil" w:sz="6" w:space="0" w:color="auto"/>
              <w:right w:val="single" w:sz="6" w:space="0" w:color="000000"/>
            </w:tcBorders>
            <w:shd w:val="clear" w:color="auto" w:fill="D2D2D2"/>
          </w:tcPr>
          <w:p>
            <w:pPr/>
          </w:p>
        </w:tc>
        <w:tc>
          <w:tcPr>
            <w:tcW w:w="932"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9" w:type="dxa"/>
            <w:vMerge w:val="restart"/>
            <w:tcBorders>
              <w:top w:val="single" w:sz="6" w:space="0" w:color="FFFFFF"/>
              <w:left w:val="single" w:sz="12" w:space="0" w:color="000000"/>
              <w:right w:val="single" w:sz="6" w:space="0" w:color="000000"/>
            </w:tcBorders>
            <w:shd w:val="clear" w:color="auto" w:fill="D2D2D2"/>
          </w:tcPr>
          <w:p>
            <w:pPr/>
          </w:p>
        </w:tc>
        <w:tc>
          <w:tcPr>
            <w:tcW w:w="763" w:type="dxa"/>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before="47"/>
              <w:ind w:left="19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before="47"/>
              <w:ind w:left="19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before="47"/>
              <w:ind w:left="19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6" w:space="0" w:color="000000"/>
              <w:right w:val="single" w:sz="6" w:space="0" w:color="000000"/>
            </w:tcBorders>
            <w:shd w:val="clear" w:color="auto" w:fill="D2D2D2"/>
          </w:tcPr>
          <w:p>
            <w:pPr/>
          </w:p>
        </w:tc>
        <w:tc>
          <w:tcPr>
            <w:tcW w:w="790" w:type="dxa"/>
            <w:vMerge/>
            <w:tcBorders>
              <w:left w:val="single" w:sz="6" w:space="0" w:color="000000"/>
              <w:bottom w:val="nil" w:sz="6" w:space="0" w:color="auto"/>
              <w:right w:val="single" w:sz="6" w:space="0" w:color="000000"/>
            </w:tcBorders>
            <w:shd w:val="clear" w:color="auto" w:fill="D2D2D2"/>
          </w:tcPr>
          <w:p>
            <w:pPr/>
          </w:p>
        </w:tc>
        <w:tc>
          <w:tcPr>
            <w:tcW w:w="65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5"/>
              <w:ind w:left="1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5"/>
              <w:ind w:left="19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5"/>
              <w:ind w:left="21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5"/>
              <w:ind w:left="9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6" w:space="0" w:color="000000"/>
              <w:bottom w:val="nil" w:sz="6" w:space="0" w:color="auto"/>
              <w:right w:val="single" w:sz="12" w:space="0" w:color="000000"/>
            </w:tcBorders>
            <w:shd w:val="clear" w:color="auto" w:fill="D2D2D2"/>
          </w:tcPr>
          <w:p>
            <w:pPr/>
          </w:p>
        </w:tc>
      </w:tr>
      <w:tr>
        <w:trPr>
          <w:trHeight w:val="204" w:hRule="exact"/>
        </w:trPr>
        <w:tc>
          <w:tcPr>
            <w:tcW w:w="1629" w:type="dxa"/>
            <w:vMerge/>
            <w:tcBorders>
              <w:left w:val="single" w:sz="12" w:space="0" w:color="000000"/>
              <w:right w:val="single" w:sz="6" w:space="0" w:color="000000"/>
            </w:tcBorders>
            <w:shd w:val="clear" w:color="auto" w:fill="D2D2D2"/>
          </w:tcPr>
          <w:p>
            <w:pPr/>
          </w:p>
        </w:tc>
        <w:tc>
          <w:tcPr>
            <w:tcW w:w="763" w:type="dxa"/>
            <w:vMerge/>
            <w:tcBorders>
              <w:left w:val="single" w:sz="6" w:space="0" w:color="000000"/>
              <w:bottom w:val="nil" w:sz="6" w:space="0" w:color="auto"/>
              <w:right w:val="single" w:sz="6" w:space="0" w:color="000000"/>
            </w:tcBorders>
            <w:shd w:val="clear" w:color="auto" w:fill="D2D2D2"/>
          </w:tcPr>
          <w:p>
            <w:pPr/>
          </w:p>
        </w:tc>
        <w:tc>
          <w:tcPr>
            <w:tcW w:w="762" w:type="dxa"/>
            <w:vMerge/>
            <w:tcBorders>
              <w:left w:val="single" w:sz="6" w:space="0" w:color="000000"/>
              <w:bottom w:val="nil" w:sz="6" w:space="0" w:color="auto"/>
              <w:right w:val="single" w:sz="6" w:space="0" w:color="000000"/>
            </w:tcBorders>
            <w:shd w:val="clear" w:color="auto" w:fill="D2D2D2"/>
          </w:tcPr>
          <w:p>
            <w:pPr/>
          </w:p>
        </w:tc>
        <w:tc>
          <w:tcPr>
            <w:tcW w:w="762" w:type="dxa"/>
            <w:vMerge/>
            <w:tcBorders>
              <w:left w:val="single" w:sz="6" w:space="0" w:color="000000"/>
              <w:bottom w:val="nil" w:sz="6" w:space="0" w:color="auto"/>
              <w:right w:val="single" w:sz="6" w:space="0" w:color="000000"/>
            </w:tcBorders>
            <w:shd w:val="clear" w:color="auto" w:fill="D2D2D2"/>
          </w:tcPr>
          <w:p>
            <w:pPr/>
          </w:p>
        </w:tc>
        <w:tc>
          <w:tcPr>
            <w:tcW w:w="762" w:type="dxa"/>
            <w:vMerge/>
            <w:tcBorders>
              <w:left w:val="single" w:sz="6" w:space="0" w:color="000000"/>
              <w:right w:val="single" w:sz="6" w:space="0" w:color="000000"/>
            </w:tcBorders>
            <w:shd w:val="clear" w:color="auto" w:fill="D2D2D2"/>
          </w:tcPr>
          <w:p>
            <w:pPr/>
          </w:p>
        </w:tc>
        <w:tc>
          <w:tcPr>
            <w:tcW w:w="790" w:type="dxa"/>
            <w:vMerge w:val="restart"/>
            <w:tcBorders>
              <w:top w:val="nil" w:sz="6" w:space="0" w:color="auto"/>
              <w:left w:val="single" w:sz="6" w:space="0" w:color="000000"/>
              <w:right w:val="single" w:sz="6" w:space="0" w:color="000000"/>
            </w:tcBorders>
            <w:shd w:val="clear" w:color="auto" w:fill="D2D2D2"/>
          </w:tcPr>
          <w:p>
            <w:pPr/>
          </w:p>
        </w:tc>
        <w:tc>
          <w:tcPr>
            <w:tcW w:w="654" w:type="dxa"/>
            <w:vMerge/>
            <w:tcBorders>
              <w:left w:val="single" w:sz="6" w:space="0" w:color="000000"/>
              <w:bottom w:val="nil" w:sz="6" w:space="0" w:color="auto"/>
              <w:right w:val="single" w:sz="6" w:space="0" w:color="000000"/>
            </w:tcBorders>
            <w:shd w:val="clear" w:color="auto" w:fill="D2D2D2"/>
          </w:tcPr>
          <w:p>
            <w:pPr/>
          </w:p>
        </w:tc>
        <w:tc>
          <w:tcPr>
            <w:tcW w:w="762" w:type="dxa"/>
            <w:vMerge/>
            <w:tcBorders>
              <w:left w:val="single" w:sz="6" w:space="0" w:color="000000"/>
              <w:bottom w:val="nil" w:sz="6" w:space="0" w:color="auto"/>
              <w:right w:val="single" w:sz="6" w:space="0" w:color="000000"/>
            </w:tcBorders>
            <w:shd w:val="clear" w:color="auto" w:fill="D2D2D2"/>
          </w:tcPr>
          <w:p>
            <w:pPr/>
          </w:p>
        </w:tc>
        <w:tc>
          <w:tcPr>
            <w:tcW w:w="813" w:type="dxa"/>
            <w:vMerge/>
            <w:tcBorders>
              <w:left w:val="single" w:sz="6" w:space="0" w:color="000000"/>
              <w:bottom w:val="nil" w:sz="6" w:space="0" w:color="auto"/>
              <w:right w:val="single" w:sz="6" w:space="0" w:color="000000"/>
            </w:tcBorders>
            <w:shd w:val="clear" w:color="auto" w:fill="D2D2D2"/>
          </w:tcPr>
          <w:p>
            <w:pPr/>
          </w:p>
        </w:tc>
        <w:tc>
          <w:tcPr>
            <w:tcW w:w="932" w:type="dxa"/>
            <w:vMerge/>
            <w:tcBorders>
              <w:left w:val="single" w:sz="6" w:space="0" w:color="000000"/>
              <w:bottom w:val="nil" w:sz="6" w:space="0" w:color="auto"/>
              <w:right w:val="single" w:sz="6" w:space="0" w:color="000000"/>
            </w:tcBorders>
            <w:shd w:val="clear" w:color="auto" w:fill="D2D2D2"/>
          </w:tcPr>
          <w:p>
            <w:pPr/>
          </w:p>
        </w:tc>
        <w:tc>
          <w:tcPr>
            <w:tcW w:w="932" w:type="dxa"/>
            <w:vMerge w:val="restart"/>
            <w:tcBorders>
              <w:top w:val="nil" w:sz="6" w:space="0" w:color="auto"/>
              <w:left w:val="single" w:sz="6" w:space="0" w:color="000000"/>
              <w:right w:val="single" w:sz="12" w:space="0" w:color="000000"/>
            </w:tcBorders>
            <w:shd w:val="clear" w:color="auto" w:fill="D2D2D2"/>
          </w:tcPr>
          <w:p>
            <w:pPr/>
          </w:p>
        </w:tc>
      </w:tr>
      <w:tr>
        <w:trPr>
          <w:trHeight w:val="163" w:hRule="exact"/>
        </w:trPr>
        <w:tc>
          <w:tcPr>
            <w:tcW w:w="1629" w:type="dxa"/>
            <w:vMerge/>
            <w:tcBorders>
              <w:left w:val="single" w:sz="12" w:space="0" w:color="000000"/>
              <w:bottom w:val="single" w:sz="6" w:space="0" w:color="000000"/>
              <w:right w:val="single" w:sz="6" w:space="0" w:color="000000"/>
            </w:tcBorders>
            <w:shd w:val="clear" w:color="auto" w:fill="D2D2D2"/>
          </w:tcPr>
          <w:p>
            <w:pPr/>
          </w:p>
        </w:tc>
        <w:tc>
          <w:tcPr>
            <w:tcW w:w="763" w:type="dxa"/>
            <w:tcBorders>
              <w:top w:val="nil" w:sz="6" w:space="0" w:color="auto"/>
              <w:left w:val="single" w:sz="6" w:space="0" w:color="000000"/>
              <w:bottom w:val="single" w:sz="6" w:space="0" w:color="000000"/>
              <w:right w:val="single" w:sz="6" w:space="0" w:color="000000"/>
            </w:tcBorders>
            <w:shd w:val="clear" w:color="auto" w:fill="D2D2D2"/>
          </w:tcPr>
          <w:p>
            <w:pPr/>
          </w:p>
        </w:tc>
        <w:tc>
          <w:tcPr>
            <w:tcW w:w="762" w:type="dxa"/>
            <w:tcBorders>
              <w:top w:val="nil" w:sz="6" w:space="0" w:color="auto"/>
              <w:left w:val="single" w:sz="6" w:space="0" w:color="000000"/>
              <w:bottom w:val="single" w:sz="6" w:space="0" w:color="000000"/>
              <w:right w:val="single" w:sz="6" w:space="0" w:color="000000"/>
            </w:tcBorders>
            <w:shd w:val="clear" w:color="auto" w:fill="D2D2D2"/>
          </w:tcPr>
          <w:p>
            <w:pPr/>
          </w:p>
        </w:tc>
        <w:tc>
          <w:tcPr>
            <w:tcW w:w="762" w:type="dxa"/>
            <w:tcBorders>
              <w:top w:val="nil" w:sz="6" w:space="0" w:color="auto"/>
              <w:left w:val="single" w:sz="6" w:space="0" w:color="000000"/>
              <w:bottom w:val="single" w:sz="6" w:space="0" w:color="000000"/>
              <w:right w:val="single" w:sz="6" w:space="0" w:color="000000"/>
            </w:tcBorders>
            <w:shd w:val="clear" w:color="auto" w:fill="D2D2D2"/>
          </w:tcPr>
          <w:p>
            <w:pPr/>
          </w:p>
        </w:tc>
        <w:tc>
          <w:tcPr>
            <w:tcW w:w="762" w:type="dxa"/>
            <w:vMerge/>
            <w:tcBorders>
              <w:left w:val="single" w:sz="6" w:space="0" w:color="000000"/>
              <w:bottom w:val="single" w:sz="6" w:space="0" w:color="000000"/>
              <w:right w:val="single" w:sz="6" w:space="0" w:color="000000"/>
            </w:tcBorders>
            <w:shd w:val="clear" w:color="auto" w:fill="D2D2D2"/>
          </w:tcPr>
          <w:p>
            <w:pPr/>
          </w:p>
        </w:tc>
        <w:tc>
          <w:tcPr>
            <w:tcW w:w="790" w:type="dxa"/>
            <w:vMerge/>
            <w:tcBorders>
              <w:left w:val="single" w:sz="6" w:space="0" w:color="000000"/>
              <w:bottom w:val="single" w:sz="6" w:space="0" w:color="000000"/>
              <w:right w:val="single" w:sz="6" w:space="0" w:color="000000"/>
            </w:tcBorders>
            <w:shd w:val="clear" w:color="auto" w:fill="D2D2D2"/>
          </w:tcPr>
          <w:p>
            <w:pPr/>
          </w:p>
        </w:tc>
        <w:tc>
          <w:tcPr>
            <w:tcW w:w="654" w:type="dxa"/>
            <w:tcBorders>
              <w:top w:val="nil" w:sz="6" w:space="0" w:color="auto"/>
              <w:left w:val="single" w:sz="6" w:space="0" w:color="000000"/>
              <w:bottom w:val="single" w:sz="6" w:space="0" w:color="000000"/>
              <w:right w:val="single" w:sz="6" w:space="0" w:color="000000"/>
            </w:tcBorders>
            <w:shd w:val="clear" w:color="auto" w:fill="D2D2D2"/>
          </w:tcPr>
          <w:p>
            <w:pPr/>
          </w:p>
        </w:tc>
        <w:tc>
          <w:tcPr>
            <w:tcW w:w="76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3" w:type="dxa"/>
            <w:tcBorders>
              <w:top w:val="nil" w:sz="6" w:space="0" w:color="auto"/>
              <w:left w:val="single" w:sz="6" w:space="0" w:color="000000"/>
              <w:bottom w:val="single" w:sz="6" w:space="0" w:color="000000"/>
              <w:right w:val="single" w:sz="6" w:space="0" w:color="000000"/>
            </w:tcBorders>
            <w:shd w:val="clear" w:color="auto" w:fill="D2D2D2"/>
          </w:tcPr>
          <w:p>
            <w:pPr/>
          </w:p>
        </w:tc>
        <w:tc>
          <w:tcPr>
            <w:tcW w:w="932" w:type="dxa"/>
            <w:tcBorders>
              <w:top w:val="nil" w:sz="6" w:space="0" w:color="auto"/>
              <w:left w:val="single" w:sz="6" w:space="0" w:color="000000"/>
              <w:bottom w:val="single" w:sz="6" w:space="0" w:color="000000"/>
              <w:right w:val="single" w:sz="6" w:space="0" w:color="000000"/>
            </w:tcBorders>
            <w:shd w:val="clear" w:color="auto" w:fill="D2D2D2"/>
          </w:tcPr>
          <w:p>
            <w:pPr/>
          </w:p>
        </w:tc>
        <w:tc>
          <w:tcPr>
            <w:tcW w:w="932" w:type="dxa"/>
            <w:vMerge/>
            <w:tcBorders>
              <w:left w:val="single" w:sz="6" w:space="0" w:color="000000"/>
              <w:bottom w:val="single" w:sz="6" w:space="0" w:color="000000"/>
              <w:right w:val="single" w:sz="12" w:space="0" w:color="000000"/>
            </w:tcBorders>
            <w:shd w:val="clear" w:color="auto" w:fill="D2D2D2"/>
          </w:tcPr>
          <w:p>
            <w:pPr/>
          </w:p>
        </w:tc>
      </w:tr>
      <w:tr>
        <w:trPr>
          <w:trHeight w:val="1031" w:hRule="exact"/>
        </w:trPr>
        <w:tc>
          <w:tcPr>
            <w:tcW w:w="16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6"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213,766</w:t>
            </w:r>
          </w:p>
          <w:p>
            <w:pPr>
              <w:pStyle w:val="TableParagraph"/>
              <w:spacing w:line="240" w:lineRule="auto" w:before="76"/>
              <w:ind w:left="93" w:right="0"/>
              <w:jc w:val="left"/>
              <w:rPr>
                <w:rFonts w:ascii="宋体" w:hAnsi="宋体" w:cs="宋体" w:eastAsia="宋体" w:hint="default"/>
                <w:sz w:val="18"/>
                <w:szCs w:val="18"/>
              </w:rPr>
            </w:pPr>
            <w:r>
              <w:rPr>
                <w:rFonts w:ascii="宋体"/>
                <w:sz w:val="18"/>
              </w:rPr>
              <w:t>,839.31</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5" w:right="0"/>
              <w:jc w:val="left"/>
              <w:rPr>
                <w:rFonts w:ascii="宋体" w:hAnsi="宋体" w:cs="宋体" w:eastAsia="宋体" w:hint="default"/>
                <w:sz w:val="18"/>
                <w:szCs w:val="18"/>
              </w:rPr>
            </w:pPr>
            <w:r>
              <w:rPr>
                <w:rFonts w:ascii="宋体"/>
                <w:sz w:val="18"/>
              </w:rPr>
              <w:t>100.00%</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sz w:val="18"/>
              </w:rPr>
              <w:t>17,173,</w:t>
            </w:r>
          </w:p>
          <w:p>
            <w:pPr>
              <w:pStyle w:val="TableParagraph"/>
              <w:spacing w:line="240" w:lineRule="auto" w:before="76"/>
              <w:ind w:left="186" w:right="0"/>
              <w:jc w:val="left"/>
              <w:rPr>
                <w:rFonts w:ascii="宋体" w:hAnsi="宋体" w:cs="宋体" w:eastAsia="宋体" w:hint="default"/>
                <w:sz w:val="18"/>
                <w:szCs w:val="18"/>
              </w:rPr>
            </w:pPr>
            <w:r>
              <w:rPr>
                <w:rFonts w:ascii="宋体"/>
                <w:sz w:val="18"/>
              </w:rPr>
              <w:t>822.28</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7" w:right="0"/>
              <w:jc w:val="left"/>
              <w:rPr>
                <w:rFonts w:ascii="宋体" w:hAnsi="宋体" w:cs="宋体" w:eastAsia="宋体" w:hint="default"/>
                <w:sz w:val="18"/>
                <w:szCs w:val="18"/>
              </w:rPr>
            </w:pPr>
            <w:r>
              <w:rPr>
                <w:rFonts w:ascii="宋体"/>
                <w:sz w:val="18"/>
              </w:rPr>
              <w:t>8.03%</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196,593,</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017.03</w:t>
            </w:r>
          </w:p>
        </w:tc>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290,09</w:t>
            </w:r>
          </w:p>
          <w:p>
            <w:pPr>
              <w:pStyle w:val="TableParagraph"/>
              <w:spacing w:line="240" w:lineRule="auto" w:before="75"/>
              <w:ind w:right="19"/>
              <w:jc w:val="right"/>
              <w:rPr>
                <w:rFonts w:ascii="宋体" w:hAnsi="宋体" w:cs="宋体" w:eastAsia="宋体" w:hint="default"/>
                <w:sz w:val="18"/>
                <w:szCs w:val="18"/>
              </w:rPr>
            </w:pPr>
            <w:r>
              <w:rPr>
                <w:rFonts w:ascii="宋体"/>
                <w:sz w:val="18"/>
              </w:rPr>
              <w:t>0,558.</w:t>
            </w:r>
          </w:p>
          <w:p>
            <w:pPr>
              <w:pStyle w:val="TableParagraph"/>
              <w:spacing w:line="240" w:lineRule="auto" w:before="77"/>
              <w:ind w:right="19"/>
              <w:jc w:val="right"/>
              <w:rPr>
                <w:rFonts w:ascii="宋体" w:hAnsi="宋体" w:cs="宋体" w:eastAsia="宋体" w:hint="default"/>
                <w:sz w:val="18"/>
                <w:szCs w:val="18"/>
              </w:rPr>
            </w:pPr>
            <w:r>
              <w:rPr>
                <w:rFonts w:ascii="宋体"/>
                <w:sz w:val="18"/>
              </w:rPr>
              <w:t>13</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5" w:right="0"/>
              <w:jc w:val="left"/>
              <w:rPr>
                <w:rFonts w:ascii="宋体" w:hAnsi="宋体" w:cs="宋体" w:eastAsia="宋体" w:hint="default"/>
                <w:sz w:val="18"/>
                <w:szCs w:val="18"/>
              </w:rPr>
            </w:pPr>
            <w:r>
              <w:rPr>
                <w:rFonts w:ascii="宋体"/>
                <w:sz w:val="18"/>
              </w:rPr>
              <w:t>100.00%</w:t>
            </w:r>
          </w:p>
        </w:tc>
        <w:tc>
          <w:tcPr>
            <w:tcW w:w="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sz w:val="18"/>
              </w:rPr>
              <w:t>15,727,9</w:t>
            </w:r>
          </w:p>
          <w:p>
            <w:pPr>
              <w:pStyle w:val="TableParagraph"/>
              <w:spacing w:line="240" w:lineRule="auto" w:before="76"/>
              <w:ind w:left="327" w:right="0"/>
              <w:jc w:val="left"/>
              <w:rPr>
                <w:rFonts w:ascii="宋体" w:hAnsi="宋体" w:cs="宋体" w:eastAsia="宋体" w:hint="default"/>
                <w:sz w:val="18"/>
                <w:szCs w:val="18"/>
              </w:rPr>
            </w:pPr>
            <w:r>
              <w:rPr>
                <w:rFonts w:ascii="宋体"/>
                <w:sz w:val="18"/>
              </w:rPr>
              <w:t>85.26</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7" w:right="0"/>
              <w:jc w:val="left"/>
              <w:rPr>
                <w:rFonts w:ascii="宋体" w:hAnsi="宋体" w:cs="宋体" w:eastAsia="宋体" w:hint="default"/>
                <w:sz w:val="18"/>
                <w:szCs w:val="18"/>
              </w:rPr>
            </w:pPr>
            <w:r>
              <w:rPr>
                <w:rFonts w:ascii="宋体"/>
                <w:sz w:val="18"/>
              </w:rPr>
              <w:t>5.42%</w:t>
            </w:r>
          </w:p>
        </w:tc>
        <w:tc>
          <w:tcPr>
            <w:tcW w:w="9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sz w:val="18"/>
              </w:rPr>
              <w:t>274,362,5</w:t>
            </w:r>
          </w:p>
          <w:p>
            <w:pPr>
              <w:pStyle w:val="TableParagraph"/>
              <w:spacing w:line="240" w:lineRule="auto" w:before="76"/>
              <w:ind w:left="446" w:right="0"/>
              <w:jc w:val="left"/>
              <w:rPr>
                <w:rFonts w:ascii="宋体" w:hAnsi="宋体" w:cs="宋体" w:eastAsia="宋体" w:hint="default"/>
                <w:sz w:val="18"/>
                <w:szCs w:val="18"/>
              </w:rPr>
            </w:pPr>
            <w:r>
              <w:rPr>
                <w:rFonts w:ascii="宋体"/>
                <w:sz w:val="18"/>
              </w:rPr>
              <w:t>72.87</w:t>
            </w:r>
          </w:p>
        </w:tc>
      </w:tr>
      <w:tr>
        <w:trPr>
          <w:trHeight w:val="319" w:hRule="exact"/>
        </w:trPr>
        <w:tc>
          <w:tcPr>
            <w:tcW w:w="1629" w:type="dxa"/>
            <w:tcBorders>
              <w:top w:val="single" w:sz="6" w:space="0" w:color="000000"/>
              <w:left w:val="single" w:sz="12" w:space="0" w:color="000000"/>
              <w:bottom w:val="nil" w:sz="6" w:space="0" w:color="auto"/>
              <w:right w:val="single" w:sz="6" w:space="0" w:color="000000"/>
            </w:tcBorders>
            <w:shd w:val="clear" w:color="auto" w:fill="D2D2D2"/>
          </w:tcPr>
          <w:p>
            <w:pPr/>
          </w:p>
        </w:tc>
        <w:tc>
          <w:tcPr>
            <w:tcW w:w="763" w:type="dxa"/>
            <w:vMerge w:val="restart"/>
            <w:tcBorders>
              <w:top w:val="single" w:sz="6" w:space="0" w:color="000000"/>
              <w:left w:val="single" w:sz="9" w:space="0" w:color="D2D2D2"/>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213,766</w:t>
            </w:r>
          </w:p>
          <w:p>
            <w:pPr>
              <w:pStyle w:val="TableParagraph"/>
              <w:spacing w:line="240" w:lineRule="auto" w:before="77"/>
              <w:ind w:left="93" w:right="0"/>
              <w:jc w:val="left"/>
              <w:rPr>
                <w:rFonts w:ascii="宋体" w:hAnsi="宋体" w:cs="宋体" w:eastAsia="宋体" w:hint="default"/>
                <w:sz w:val="18"/>
                <w:szCs w:val="18"/>
              </w:rPr>
            </w:pPr>
            <w:r>
              <w:rPr>
                <w:rFonts w:ascii="宋体"/>
                <w:sz w:val="18"/>
              </w:rPr>
              <w:t>,839.31</w:t>
            </w:r>
          </w:p>
        </w:tc>
        <w:tc>
          <w:tcPr>
            <w:tcW w:w="76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5" w:right="0"/>
              <w:jc w:val="left"/>
              <w:rPr>
                <w:rFonts w:ascii="宋体" w:hAnsi="宋体" w:cs="宋体" w:eastAsia="宋体" w:hint="default"/>
                <w:sz w:val="18"/>
                <w:szCs w:val="18"/>
              </w:rPr>
            </w:pPr>
            <w:r>
              <w:rPr>
                <w:rFonts w:ascii="宋体"/>
                <w:sz w:val="18"/>
              </w:rPr>
              <w:t>100.00%</w:t>
            </w:r>
          </w:p>
        </w:tc>
        <w:tc>
          <w:tcPr>
            <w:tcW w:w="762"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sz w:val="18"/>
              </w:rPr>
              <w:t>17,173,</w:t>
            </w:r>
          </w:p>
          <w:p>
            <w:pPr>
              <w:pStyle w:val="TableParagraph"/>
              <w:spacing w:line="240" w:lineRule="auto" w:before="77"/>
              <w:ind w:left="186" w:right="0"/>
              <w:jc w:val="left"/>
              <w:rPr>
                <w:rFonts w:ascii="宋体" w:hAnsi="宋体" w:cs="宋体" w:eastAsia="宋体" w:hint="default"/>
                <w:sz w:val="18"/>
                <w:szCs w:val="18"/>
              </w:rPr>
            </w:pPr>
            <w:r>
              <w:rPr>
                <w:rFonts w:ascii="宋体"/>
                <w:sz w:val="18"/>
              </w:rPr>
              <w:t>822.28</w:t>
            </w:r>
          </w:p>
        </w:tc>
        <w:tc>
          <w:tcPr>
            <w:tcW w:w="76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7" w:right="0"/>
              <w:jc w:val="left"/>
              <w:rPr>
                <w:rFonts w:ascii="宋体" w:hAnsi="宋体" w:cs="宋体" w:eastAsia="宋体" w:hint="default"/>
                <w:sz w:val="18"/>
                <w:szCs w:val="18"/>
              </w:rPr>
            </w:pPr>
            <w:r>
              <w:rPr>
                <w:rFonts w:ascii="宋体"/>
                <w:sz w:val="18"/>
              </w:rPr>
              <w:t>8.03%</w:t>
            </w:r>
          </w:p>
        </w:tc>
        <w:tc>
          <w:tcPr>
            <w:tcW w:w="790"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196,593,</w:t>
            </w:r>
          </w:p>
          <w:p>
            <w:pPr>
              <w:pStyle w:val="TableParagraph"/>
              <w:spacing w:line="240" w:lineRule="auto" w:before="77"/>
              <w:ind w:left="194" w:right="0"/>
              <w:jc w:val="center"/>
              <w:rPr>
                <w:rFonts w:ascii="宋体" w:hAnsi="宋体" w:cs="宋体" w:eastAsia="宋体" w:hint="default"/>
                <w:sz w:val="18"/>
                <w:szCs w:val="18"/>
              </w:rPr>
            </w:pPr>
            <w:r>
              <w:rPr>
                <w:rFonts w:ascii="宋体"/>
                <w:sz w:val="18"/>
              </w:rPr>
              <w:t>017.03</w:t>
            </w:r>
          </w:p>
        </w:tc>
        <w:tc>
          <w:tcPr>
            <w:tcW w:w="654" w:type="dxa"/>
            <w:vMerge w:val="restart"/>
            <w:tcBorders>
              <w:top w:val="single" w:sz="6" w:space="0" w:color="000000"/>
              <w:left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290,09</w:t>
            </w:r>
          </w:p>
          <w:p>
            <w:pPr>
              <w:pStyle w:val="TableParagraph"/>
              <w:spacing w:line="240" w:lineRule="auto" w:before="76"/>
              <w:ind w:right="19"/>
              <w:jc w:val="right"/>
              <w:rPr>
                <w:rFonts w:ascii="宋体" w:hAnsi="宋体" w:cs="宋体" w:eastAsia="宋体" w:hint="default"/>
                <w:sz w:val="18"/>
                <w:szCs w:val="18"/>
              </w:rPr>
            </w:pPr>
            <w:r>
              <w:rPr>
                <w:rFonts w:ascii="宋体"/>
                <w:sz w:val="18"/>
              </w:rPr>
              <w:t>0,558.</w:t>
            </w:r>
          </w:p>
          <w:p>
            <w:pPr>
              <w:pStyle w:val="TableParagraph"/>
              <w:spacing w:line="240" w:lineRule="auto" w:before="77"/>
              <w:ind w:right="19"/>
              <w:jc w:val="right"/>
              <w:rPr>
                <w:rFonts w:ascii="宋体" w:hAnsi="宋体" w:cs="宋体" w:eastAsia="宋体" w:hint="default"/>
                <w:sz w:val="18"/>
                <w:szCs w:val="18"/>
              </w:rPr>
            </w:pPr>
            <w:r>
              <w:rPr>
                <w:rFonts w:ascii="宋体"/>
                <w:sz w:val="18"/>
              </w:rPr>
              <w:t>13</w:t>
            </w:r>
          </w:p>
        </w:tc>
        <w:tc>
          <w:tcPr>
            <w:tcW w:w="76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5" w:right="0"/>
              <w:jc w:val="left"/>
              <w:rPr>
                <w:rFonts w:ascii="宋体" w:hAnsi="宋体" w:cs="宋体" w:eastAsia="宋体" w:hint="default"/>
                <w:sz w:val="18"/>
                <w:szCs w:val="18"/>
              </w:rPr>
            </w:pPr>
            <w:r>
              <w:rPr>
                <w:rFonts w:ascii="宋体"/>
                <w:sz w:val="18"/>
              </w:rPr>
              <w:t>100.00%</w:t>
            </w:r>
          </w:p>
        </w:tc>
        <w:tc>
          <w:tcPr>
            <w:tcW w:w="813"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sz w:val="18"/>
              </w:rPr>
              <w:t>15,727,9</w:t>
            </w:r>
          </w:p>
          <w:p>
            <w:pPr>
              <w:pStyle w:val="TableParagraph"/>
              <w:spacing w:line="240" w:lineRule="auto" w:before="77"/>
              <w:ind w:left="327" w:right="0"/>
              <w:jc w:val="left"/>
              <w:rPr>
                <w:rFonts w:ascii="宋体" w:hAnsi="宋体" w:cs="宋体" w:eastAsia="宋体" w:hint="default"/>
                <w:sz w:val="18"/>
                <w:szCs w:val="18"/>
              </w:rPr>
            </w:pPr>
            <w:r>
              <w:rPr>
                <w:rFonts w:ascii="宋体"/>
                <w:sz w:val="18"/>
              </w:rPr>
              <w:t>85.26</w:t>
            </w:r>
          </w:p>
        </w:tc>
        <w:tc>
          <w:tcPr>
            <w:tcW w:w="9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7" w:right="0"/>
              <w:jc w:val="left"/>
              <w:rPr>
                <w:rFonts w:ascii="宋体" w:hAnsi="宋体" w:cs="宋体" w:eastAsia="宋体" w:hint="default"/>
                <w:sz w:val="18"/>
                <w:szCs w:val="18"/>
              </w:rPr>
            </w:pPr>
            <w:r>
              <w:rPr>
                <w:rFonts w:ascii="宋体"/>
                <w:sz w:val="18"/>
              </w:rPr>
              <w:t>5.42%</w:t>
            </w:r>
          </w:p>
        </w:tc>
        <w:tc>
          <w:tcPr>
            <w:tcW w:w="932" w:type="dxa"/>
            <w:vMerge w:val="restart"/>
            <w:tcBorders>
              <w:top w:val="single" w:sz="6" w:space="0" w:color="000000"/>
              <w:left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sz w:val="18"/>
              </w:rPr>
              <w:t>274,362,5</w:t>
            </w:r>
          </w:p>
          <w:p>
            <w:pPr>
              <w:pStyle w:val="TableParagraph"/>
              <w:spacing w:line="240" w:lineRule="auto" w:before="77"/>
              <w:ind w:left="446" w:right="0"/>
              <w:jc w:val="left"/>
              <w:rPr>
                <w:rFonts w:ascii="宋体" w:hAnsi="宋体" w:cs="宋体" w:eastAsia="宋体" w:hint="default"/>
                <w:sz w:val="18"/>
                <w:szCs w:val="18"/>
              </w:rPr>
            </w:pPr>
            <w:r>
              <w:rPr>
                <w:rFonts w:ascii="宋体"/>
                <w:sz w:val="18"/>
              </w:rPr>
              <w:t>72.87</w:t>
            </w:r>
          </w:p>
        </w:tc>
      </w:tr>
      <w:tr>
        <w:trPr>
          <w:trHeight w:val="392" w:hRule="exact"/>
        </w:trPr>
        <w:tc>
          <w:tcPr>
            <w:tcW w:w="1629"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13"/>
              <w:jc w:val="center"/>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6" w:space="0" w:color="000000"/>
            </w:tcBorders>
          </w:tcPr>
          <w:p>
            <w:pPr/>
          </w:p>
        </w:tc>
        <w:tc>
          <w:tcPr>
            <w:tcW w:w="762" w:type="dxa"/>
            <w:vMerge/>
            <w:tcBorders>
              <w:left w:val="single" w:sz="6" w:space="0" w:color="000000"/>
              <w:right w:val="single" w:sz="6" w:space="0" w:color="000000"/>
            </w:tcBorders>
          </w:tcPr>
          <w:p>
            <w:pPr/>
          </w:p>
        </w:tc>
        <w:tc>
          <w:tcPr>
            <w:tcW w:w="762" w:type="dxa"/>
            <w:vMerge/>
            <w:tcBorders>
              <w:left w:val="single" w:sz="6" w:space="0" w:color="000000"/>
              <w:right w:val="single" w:sz="6" w:space="0" w:color="000000"/>
            </w:tcBorders>
          </w:tcPr>
          <w:p>
            <w:pPr/>
          </w:p>
        </w:tc>
        <w:tc>
          <w:tcPr>
            <w:tcW w:w="762" w:type="dxa"/>
            <w:vMerge/>
            <w:tcBorders>
              <w:left w:val="single" w:sz="6" w:space="0" w:color="000000"/>
              <w:right w:val="single" w:sz="6" w:space="0" w:color="000000"/>
            </w:tcBorders>
          </w:tcPr>
          <w:p>
            <w:pPr/>
          </w:p>
        </w:tc>
        <w:tc>
          <w:tcPr>
            <w:tcW w:w="790" w:type="dxa"/>
            <w:vMerge/>
            <w:tcBorders>
              <w:left w:val="single" w:sz="6" w:space="0" w:color="000000"/>
              <w:right w:val="single" w:sz="6" w:space="0" w:color="000000"/>
            </w:tcBorders>
          </w:tcPr>
          <w:p>
            <w:pPr/>
          </w:p>
        </w:tc>
        <w:tc>
          <w:tcPr>
            <w:tcW w:w="654" w:type="dxa"/>
            <w:vMerge/>
            <w:tcBorders>
              <w:left w:val="single" w:sz="6" w:space="0" w:color="000000"/>
              <w:right w:val="single" w:sz="6" w:space="0" w:color="000000"/>
            </w:tcBorders>
          </w:tcPr>
          <w:p>
            <w:pPr/>
          </w:p>
        </w:tc>
        <w:tc>
          <w:tcPr>
            <w:tcW w:w="762" w:type="dxa"/>
            <w:vMerge/>
            <w:tcBorders>
              <w:left w:val="single" w:sz="6" w:space="0" w:color="000000"/>
              <w:right w:val="single" w:sz="6" w:space="0" w:color="000000"/>
            </w:tcBorders>
          </w:tcPr>
          <w:p>
            <w:pPr/>
          </w:p>
        </w:tc>
        <w:tc>
          <w:tcPr>
            <w:tcW w:w="813" w:type="dxa"/>
            <w:vMerge/>
            <w:tcBorders>
              <w:left w:val="single" w:sz="6" w:space="0" w:color="000000"/>
              <w:right w:val="single" w:sz="6" w:space="0" w:color="000000"/>
            </w:tcBorders>
          </w:tcPr>
          <w:p>
            <w:pPr/>
          </w:p>
        </w:tc>
        <w:tc>
          <w:tcPr>
            <w:tcW w:w="932" w:type="dxa"/>
            <w:vMerge/>
            <w:tcBorders>
              <w:left w:val="single" w:sz="6" w:space="0" w:color="000000"/>
              <w:right w:val="single" w:sz="6" w:space="0" w:color="000000"/>
            </w:tcBorders>
          </w:tcPr>
          <w:p>
            <w:pPr/>
          </w:p>
        </w:tc>
        <w:tc>
          <w:tcPr>
            <w:tcW w:w="932" w:type="dxa"/>
            <w:vMerge/>
            <w:tcBorders>
              <w:left w:val="single" w:sz="6" w:space="0" w:color="000000"/>
              <w:right w:val="single" w:sz="12" w:space="0" w:color="000000"/>
            </w:tcBorders>
          </w:tcPr>
          <w:p>
            <w:pPr/>
          </w:p>
        </w:tc>
      </w:tr>
      <w:tr>
        <w:trPr>
          <w:trHeight w:val="327" w:hRule="exact"/>
        </w:trPr>
        <w:tc>
          <w:tcPr>
            <w:tcW w:w="1629" w:type="dxa"/>
            <w:tcBorders>
              <w:top w:val="nil" w:sz="6" w:space="0" w:color="auto"/>
              <w:left w:val="single" w:sz="12" w:space="0" w:color="000000"/>
              <w:bottom w:val="single" w:sz="12" w:space="0" w:color="000000"/>
              <w:right w:val="single" w:sz="6" w:space="0" w:color="000000"/>
            </w:tcBorders>
            <w:shd w:val="clear" w:color="auto" w:fill="D2D2D2"/>
          </w:tcPr>
          <w:p>
            <w:pPr/>
          </w:p>
        </w:tc>
        <w:tc>
          <w:tcPr>
            <w:tcW w:w="763" w:type="dxa"/>
            <w:vMerge/>
            <w:tcBorders>
              <w:left w:val="single" w:sz="9" w:space="0" w:color="D2D2D2"/>
              <w:bottom w:val="single" w:sz="12" w:space="0" w:color="000000"/>
              <w:right w:val="single" w:sz="6" w:space="0" w:color="000000"/>
            </w:tcBorders>
          </w:tcPr>
          <w:p>
            <w:pPr/>
          </w:p>
        </w:tc>
        <w:tc>
          <w:tcPr>
            <w:tcW w:w="762" w:type="dxa"/>
            <w:vMerge/>
            <w:tcBorders>
              <w:left w:val="single" w:sz="6" w:space="0" w:color="000000"/>
              <w:bottom w:val="single" w:sz="12" w:space="0" w:color="000000"/>
              <w:right w:val="single" w:sz="6" w:space="0" w:color="000000"/>
            </w:tcBorders>
          </w:tcPr>
          <w:p>
            <w:pPr/>
          </w:p>
        </w:tc>
        <w:tc>
          <w:tcPr>
            <w:tcW w:w="762" w:type="dxa"/>
            <w:vMerge/>
            <w:tcBorders>
              <w:left w:val="single" w:sz="6" w:space="0" w:color="000000"/>
              <w:bottom w:val="single" w:sz="12" w:space="0" w:color="000000"/>
              <w:right w:val="single" w:sz="6" w:space="0" w:color="000000"/>
            </w:tcBorders>
          </w:tcPr>
          <w:p>
            <w:pPr/>
          </w:p>
        </w:tc>
        <w:tc>
          <w:tcPr>
            <w:tcW w:w="762" w:type="dxa"/>
            <w:vMerge/>
            <w:tcBorders>
              <w:left w:val="single" w:sz="6" w:space="0" w:color="000000"/>
              <w:bottom w:val="single" w:sz="12" w:space="0" w:color="000000"/>
              <w:right w:val="single" w:sz="6" w:space="0" w:color="000000"/>
            </w:tcBorders>
          </w:tcPr>
          <w:p>
            <w:pPr/>
          </w:p>
        </w:tc>
        <w:tc>
          <w:tcPr>
            <w:tcW w:w="790" w:type="dxa"/>
            <w:vMerge/>
            <w:tcBorders>
              <w:left w:val="single" w:sz="6" w:space="0" w:color="000000"/>
              <w:bottom w:val="single" w:sz="12" w:space="0" w:color="000000"/>
              <w:right w:val="single" w:sz="6" w:space="0" w:color="000000"/>
            </w:tcBorders>
          </w:tcPr>
          <w:p>
            <w:pPr/>
          </w:p>
        </w:tc>
        <w:tc>
          <w:tcPr>
            <w:tcW w:w="654" w:type="dxa"/>
            <w:vMerge/>
            <w:tcBorders>
              <w:left w:val="single" w:sz="6" w:space="0" w:color="000000"/>
              <w:bottom w:val="single" w:sz="12" w:space="0" w:color="000000"/>
              <w:right w:val="single" w:sz="6" w:space="0" w:color="000000"/>
            </w:tcBorders>
          </w:tcPr>
          <w:p>
            <w:pPr/>
          </w:p>
        </w:tc>
        <w:tc>
          <w:tcPr>
            <w:tcW w:w="762" w:type="dxa"/>
            <w:vMerge/>
            <w:tcBorders>
              <w:left w:val="single" w:sz="6" w:space="0" w:color="000000"/>
              <w:bottom w:val="single" w:sz="12" w:space="0" w:color="000000"/>
              <w:right w:val="single" w:sz="6" w:space="0" w:color="000000"/>
            </w:tcBorders>
          </w:tcPr>
          <w:p>
            <w:pPr/>
          </w:p>
        </w:tc>
        <w:tc>
          <w:tcPr>
            <w:tcW w:w="813" w:type="dxa"/>
            <w:vMerge/>
            <w:tcBorders>
              <w:left w:val="single" w:sz="6" w:space="0" w:color="000000"/>
              <w:bottom w:val="single" w:sz="12" w:space="0" w:color="000000"/>
              <w:right w:val="single" w:sz="6" w:space="0" w:color="000000"/>
            </w:tcBorders>
          </w:tcPr>
          <w:p>
            <w:pPr/>
          </w:p>
        </w:tc>
        <w:tc>
          <w:tcPr>
            <w:tcW w:w="932" w:type="dxa"/>
            <w:vMerge/>
            <w:tcBorders>
              <w:left w:val="single" w:sz="6" w:space="0" w:color="000000"/>
              <w:bottom w:val="single" w:sz="12" w:space="0" w:color="000000"/>
              <w:right w:val="single" w:sz="6" w:space="0" w:color="000000"/>
            </w:tcBorders>
          </w:tcPr>
          <w:p>
            <w:pPr/>
          </w:p>
        </w:tc>
        <w:tc>
          <w:tcPr>
            <w:tcW w:w="932" w:type="dxa"/>
            <w:vMerge/>
            <w:tcBorders>
              <w:left w:val="single" w:sz="6" w:space="0" w:color="000000"/>
              <w:bottom w:val="single" w:sz="12" w:space="0" w:color="000000"/>
              <w:right w:val="single" w:sz="12" w:space="0" w:color="000000"/>
            </w:tcBorders>
          </w:tcPr>
          <w:p>
            <w:pPr/>
          </w:p>
        </w:tc>
      </w:tr>
    </w:tbl>
    <w:p>
      <w:pPr>
        <w:pStyle w:val="BodyText"/>
        <w:spacing w:line="240" w:lineRule="auto" w:before="63"/>
        <w:ind w:left="1134" w:right="0"/>
        <w:jc w:val="left"/>
      </w:pPr>
      <w:r>
        <w:rPr/>
        <w:t>期末单项金额重大并单项计提坏账准备的应收账款：</w:t>
      </w:r>
    </w:p>
    <w:p>
      <w:pPr>
        <w:spacing w:line="240" w:lineRule="auto" w:before="10"/>
        <w:rPr>
          <w:rFonts w:ascii="宋体" w:hAnsi="宋体" w:cs="宋体" w:eastAsia="宋体" w:hint="default"/>
          <w:sz w:val="14"/>
          <w:szCs w:val="14"/>
        </w:rPr>
      </w:pPr>
    </w:p>
    <w:p>
      <w:pPr>
        <w:pStyle w:val="BodyText"/>
        <w:spacing w:line="408" w:lineRule="auto"/>
        <w:ind w:left="1134" w:right="6132"/>
        <w:jc w:val="left"/>
      </w:pPr>
      <w:r>
        <w:rPr/>
        <w:t>□ 适用 √</w:t>
      </w:r>
      <w:r>
        <w:rPr>
          <w:spacing w:val="-1"/>
        </w:rPr>
        <w:t> </w:t>
      </w:r>
      <w:r>
        <w:rPr/>
        <w:t>不适用</w:t>
      </w:r>
      <w:r>
        <w:rPr/>
        <w:t> 组合中，按账龄分析法计提坏账准备的应收账款：</w:t>
      </w:r>
    </w:p>
    <w:p>
      <w:pPr>
        <w:pStyle w:val="BodyText"/>
        <w:spacing w:line="240" w:lineRule="auto" w:before="46"/>
        <w:ind w:left="1134" w:right="0"/>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2495"/>
        <w:gridCol w:w="2295"/>
        <w:gridCol w:w="2391"/>
        <w:gridCol w:w="2389"/>
      </w:tblGrid>
      <w:tr>
        <w:trPr>
          <w:trHeight w:val="413" w:hRule="exact"/>
        </w:trPr>
        <w:tc>
          <w:tcPr>
            <w:tcW w:w="2495"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495" w:type="dxa"/>
            <w:vMerge/>
            <w:tcBorders>
              <w:left w:val="single" w:sz="12" w:space="0" w:color="000000"/>
              <w:bottom w:val="single" w:sz="6" w:space="0" w:color="000000"/>
              <w:right w:val="single" w:sz="6" w:space="0" w:color="000000"/>
            </w:tcBorders>
            <w:shd w:val="clear" w:color="auto" w:fill="D2D2D2"/>
          </w:tcPr>
          <w:p>
            <w:pPr/>
          </w:p>
        </w:tc>
        <w:tc>
          <w:tcPr>
            <w:tcW w:w="22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8" w:hRule="exact"/>
        </w:trPr>
        <w:tc>
          <w:tcPr>
            <w:tcW w:w="9569" w:type="dxa"/>
            <w:gridSpan w:val="4"/>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133,351,316.54</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3,967,268.74</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133,351,316.54</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3,967,268.74</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68,223,313.90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6,822,331.39</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w:t>
            </w:r>
          </w:p>
        </w:tc>
      </w:tr>
      <w:tr>
        <w:trPr>
          <w:trHeight w:val="415" w:hRule="exact"/>
        </w:trPr>
        <w:tc>
          <w:tcPr>
            <w:tcW w:w="24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6,679,643.82</w:t>
            </w:r>
          </w:p>
        </w:tc>
        <w:tc>
          <w:tcPr>
            <w:tcW w:w="23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2,003,893.15</w:t>
            </w:r>
          </w:p>
        </w:tc>
        <w:tc>
          <w:tcPr>
            <w:tcW w:w="23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30.00%</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2495"/>
        <w:gridCol w:w="2295"/>
        <w:gridCol w:w="2391"/>
        <w:gridCol w:w="2389"/>
      </w:tblGrid>
      <w:tr>
        <w:trPr>
          <w:trHeight w:val="415" w:hRule="exact"/>
        </w:trPr>
        <w:tc>
          <w:tcPr>
            <w:tcW w:w="24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5,512,565.05</w:t>
            </w:r>
          </w:p>
        </w:tc>
        <w:tc>
          <w:tcPr>
            <w:tcW w:w="23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4,380,329.00</w:t>
            </w:r>
          </w:p>
        </w:tc>
        <w:tc>
          <w:tcPr>
            <w:tcW w:w="238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79.46%</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1,865,829.70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932,914.85</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50.00%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664,404.00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465,082.80</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70.00%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2,982,331.35</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2,982,331.35</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r>
        <w:trPr>
          <w:trHeight w:val="415" w:hRule="exact"/>
        </w:trPr>
        <w:tc>
          <w:tcPr>
            <w:tcW w:w="24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213,766,839.31</w:t>
            </w:r>
          </w:p>
        </w:tc>
        <w:tc>
          <w:tcPr>
            <w:tcW w:w="23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17,173,822.28</w:t>
            </w:r>
          </w:p>
        </w:tc>
        <w:tc>
          <w:tcPr>
            <w:tcW w:w="23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8.03%</w:t>
            </w:r>
          </w:p>
        </w:tc>
      </w:tr>
    </w:tbl>
    <w:p>
      <w:pPr>
        <w:pStyle w:val="BodyText"/>
        <w:spacing w:line="408" w:lineRule="auto" w:before="63"/>
        <w:ind w:left="1134" w:right="5712"/>
        <w:jc w:val="left"/>
      </w:pPr>
      <w:r>
        <w:rPr/>
        <w:t>确定该组合依据的说明： 组合中，采用余额百分比法计提坏账准备的应收账款：</w:t>
      </w:r>
    </w:p>
    <w:p>
      <w:pPr>
        <w:pStyle w:val="BodyText"/>
        <w:spacing w:line="408" w:lineRule="auto" w:before="46"/>
        <w:ind w:left="1134" w:right="6132"/>
        <w:jc w:val="left"/>
      </w:pPr>
      <w:r>
        <w:rPr/>
        <w:t>□ 适用 √</w:t>
      </w:r>
      <w:r>
        <w:rPr>
          <w:spacing w:val="-1"/>
        </w:rPr>
        <w:t> </w:t>
      </w:r>
      <w:r>
        <w:rPr/>
        <w:t>不适用</w:t>
      </w:r>
      <w:r>
        <w:rPr/>
        <w:t> 组合中，采用其他方法计提坏账准备的应收账款：</w:t>
      </w:r>
    </w:p>
    <w:p>
      <w:pPr>
        <w:spacing w:before="55"/>
        <w:ind w:left="1134" w:right="0" w:firstLine="0"/>
        <w:jc w:val="left"/>
        <w:rPr>
          <w:rFonts w:ascii="宋体" w:hAnsi="宋体" w:cs="宋体" w:eastAsia="宋体" w:hint="default"/>
          <w:sz w:val="20"/>
          <w:szCs w:val="20"/>
        </w:rPr>
      </w:pPr>
      <w:bookmarkStart w:name="（2）本期计提、收回或转回的坏账准备情况" w:id="471"/>
      <w:bookmarkEnd w:id="471"/>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）本期计提、收回或转回的坏账准备情况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本期计提坏账准备金额</w:t>
      </w:r>
      <w:r>
        <w:rPr>
          <w:spacing w:val="-52"/>
        </w:rPr>
        <w:t> </w:t>
      </w:r>
      <w:r>
        <w:rPr>
          <w:rFonts w:ascii="宋体" w:hAnsi="宋体" w:cs="宋体" w:eastAsia="宋体" w:hint="default"/>
        </w:rPr>
        <w:t>1,445,837.02</w:t>
      </w:r>
      <w:r>
        <w:rPr>
          <w:rFonts w:ascii="宋体" w:hAnsi="宋体" w:cs="宋体" w:eastAsia="宋体" w:hint="default"/>
          <w:spacing w:val="-54"/>
        </w:rPr>
        <w:t> </w:t>
      </w:r>
      <w:r>
        <w:rPr/>
        <w:t>元；本期收回或转回坏账准备金额</w:t>
      </w:r>
      <w:r>
        <w:rPr>
          <w:spacing w:val="-52"/>
        </w:rPr>
        <w:t> </w:t>
      </w:r>
      <w:r>
        <w:rPr>
          <w:rFonts w:ascii="宋体" w:hAnsi="宋体" w:cs="宋体" w:eastAsia="宋体" w:hint="default"/>
        </w:rPr>
        <w:t>0.00</w:t>
      </w:r>
      <w:r>
        <w:rPr>
          <w:rFonts w:ascii="宋体" w:hAnsi="宋体" w:cs="宋体" w:eastAsia="宋体" w:hint="default"/>
          <w:spacing w:val="-52"/>
        </w:rPr>
        <w:t> </w:t>
      </w:r>
      <w:r>
        <w:rPr/>
        <w:t>元。</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3）本期实际核销的应收账款情况" w:id="472"/>
      <w:bookmarkEnd w:id="472"/>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）本期实际核销的应收账款情况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4）按欠款方归集的期末余额前五名的应收账款情况" w:id="473"/>
      <w:bookmarkEnd w:id="473"/>
      <w:r>
        <w:rPr/>
      </w: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）按欠款方归集的期末余额前五名的应收账款情况</w:t>
      </w:r>
      <w:r>
        <w:rPr>
          <w:rFonts w:ascii="宋体" w:hAnsi="宋体" w:cs="宋体" w:eastAsia="宋体" w:hint="default"/>
          <w:sz w:val="20"/>
          <w:szCs w:val="20"/>
        </w:rPr>
      </w:r>
    </w:p>
    <w:p>
      <w:pPr>
        <w:spacing w:line="240" w:lineRule="auto" w:before="3"/>
        <w:rPr>
          <w:rFonts w:ascii="宋体" w:hAnsi="宋体" w:cs="宋体" w:eastAsia="宋体" w:hint="default"/>
          <w:b/>
          <w:bCs/>
          <w:sz w:val="10"/>
          <w:szCs w:val="10"/>
        </w:rPr>
      </w:pPr>
    </w:p>
    <w:tbl>
      <w:tblPr>
        <w:tblW w:w="0" w:type="auto"/>
        <w:jc w:val="left"/>
        <w:tblInd w:w="1113" w:type="dxa"/>
        <w:tblLayout w:type="fixed"/>
        <w:tblCellMar>
          <w:top w:w="0" w:type="dxa"/>
          <w:left w:w="0" w:type="dxa"/>
          <w:bottom w:w="0" w:type="dxa"/>
          <w:right w:w="0" w:type="dxa"/>
        </w:tblCellMar>
        <w:tblLook w:val="01E0"/>
      </w:tblPr>
      <w:tblGrid>
        <w:gridCol w:w="3117"/>
        <w:gridCol w:w="1134"/>
        <w:gridCol w:w="1560"/>
        <w:gridCol w:w="1566"/>
        <w:gridCol w:w="2267"/>
      </w:tblGrid>
      <w:tr>
        <w:trPr>
          <w:trHeight w:val="440" w:hRule="exact"/>
        </w:trPr>
        <w:tc>
          <w:tcPr>
            <w:tcW w:w="311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3"/>
              <w:ind w:right="103"/>
              <w:jc w:val="center"/>
              <w:rPr>
                <w:rFonts w:ascii="宋体" w:hAnsi="宋体" w:cs="宋体" w:eastAsia="宋体" w:hint="default"/>
                <w:sz w:val="18"/>
                <w:szCs w:val="18"/>
              </w:rPr>
            </w:pPr>
            <w:r>
              <w:rPr>
                <w:rFonts w:ascii="宋体" w:hAnsi="宋体" w:cs="宋体" w:eastAsia="宋体" w:hint="default"/>
                <w:sz w:val="18"/>
                <w:szCs w:val="18"/>
              </w:rPr>
              <w:t>金额</w:t>
            </w:r>
          </w:p>
        </w:tc>
        <w:tc>
          <w:tcPr>
            <w:tcW w:w="15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226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3"/>
              <w:ind w:left="89" w:right="0"/>
              <w:jc w:val="left"/>
              <w:rPr>
                <w:rFonts w:ascii="宋体" w:hAnsi="宋体" w:cs="宋体" w:eastAsia="宋体" w:hint="default"/>
                <w:sz w:val="18"/>
                <w:szCs w:val="18"/>
              </w:rPr>
            </w:pPr>
            <w:r>
              <w:rPr>
                <w:rFonts w:ascii="宋体" w:hAnsi="宋体" w:cs="宋体" w:eastAsia="宋体" w:hint="default"/>
                <w:sz w:val="18"/>
                <w:szCs w:val="18"/>
              </w:rPr>
              <w:t>占应收账款总额比例（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32" w:hRule="exact"/>
        </w:trPr>
        <w:tc>
          <w:tcPr>
            <w:tcW w:w="31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江苏省电力公司物资供应公司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宋体" w:hAnsi="宋体" w:cs="宋体" w:eastAsia="宋体" w:hint="default"/>
                <w:sz w:val="18"/>
                <w:szCs w:val="18"/>
              </w:rPr>
            </w:pPr>
            <w:r>
              <w:rPr>
                <w:rFonts w:ascii="宋体"/>
                <w:sz w:val="18"/>
              </w:rPr>
              <w:t>36,026,449.96</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22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right="-4"/>
              <w:jc w:val="right"/>
              <w:rPr>
                <w:rFonts w:ascii="宋体" w:hAnsi="宋体" w:cs="宋体" w:eastAsia="宋体" w:hint="default"/>
                <w:sz w:val="18"/>
                <w:szCs w:val="18"/>
              </w:rPr>
            </w:pPr>
            <w:r>
              <w:rPr>
                <w:rFonts w:ascii="宋体"/>
                <w:sz w:val="18"/>
              </w:rPr>
              <w:t>16.85</w:t>
            </w:r>
          </w:p>
        </w:tc>
      </w:tr>
      <w:tr>
        <w:trPr>
          <w:trHeight w:val="432" w:hRule="exact"/>
        </w:trPr>
        <w:tc>
          <w:tcPr>
            <w:tcW w:w="31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国网山东省电力公司物资公司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宋体" w:hAnsi="宋体" w:cs="宋体" w:eastAsia="宋体" w:hint="default"/>
                <w:sz w:val="18"/>
                <w:szCs w:val="18"/>
              </w:rPr>
            </w:pPr>
            <w:r>
              <w:rPr>
                <w:rFonts w:ascii="宋体"/>
                <w:sz w:val="18"/>
              </w:rPr>
              <w:t>22,608,760.46</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r>
              <w:rPr>
                <w:rFonts w:ascii="宋体" w:hAnsi="宋体" w:cs="宋体" w:eastAsia="宋体" w:hint="default"/>
                <w:sz w:val="18"/>
                <w:szCs w:val="18"/>
              </w:rPr>
              <w:t>1-2</w:t>
            </w:r>
            <w:r>
              <w:rPr>
                <w:rFonts w:ascii="宋体" w:hAnsi="宋体" w:cs="宋体" w:eastAsia="宋体" w:hint="default"/>
                <w:sz w:val="18"/>
                <w:szCs w:val="18"/>
              </w:rPr>
              <w:t>年</w:t>
            </w:r>
          </w:p>
        </w:tc>
        <w:tc>
          <w:tcPr>
            <w:tcW w:w="22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right="-4"/>
              <w:jc w:val="right"/>
              <w:rPr>
                <w:rFonts w:ascii="宋体" w:hAnsi="宋体" w:cs="宋体" w:eastAsia="宋体" w:hint="default"/>
                <w:sz w:val="18"/>
                <w:szCs w:val="18"/>
              </w:rPr>
            </w:pPr>
            <w:r>
              <w:rPr>
                <w:rFonts w:ascii="宋体"/>
                <w:sz w:val="18"/>
              </w:rPr>
              <w:t>10.58</w:t>
            </w:r>
          </w:p>
        </w:tc>
      </w:tr>
      <w:tr>
        <w:trPr>
          <w:trHeight w:val="432" w:hRule="exact"/>
        </w:trPr>
        <w:tc>
          <w:tcPr>
            <w:tcW w:w="31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上海宏力达信息技术有限公司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宋体" w:hAnsi="宋体" w:cs="宋体" w:eastAsia="宋体" w:hint="default"/>
                <w:sz w:val="18"/>
                <w:szCs w:val="18"/>
              </w:rPr>
            </w:pPr>
            <w:r>
              <w:rPr>
                <w:rFonts w:ascii="宋体"/>
                <w:sz w:val="18"/>
              </w:rPr>
              <w:t>10,413,926.00</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22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right="-4"/>
              <w:jc w:val="right"/>
              <w:rPr>
                <w:rFonts w:ascii="宋体" w:hAnsi="宋体" w:cs="宋体" w:eastAsia="宋体" w:hint="default"/>
                <w:sz w:val="18"/>
                <w:szCs w:val="18"/>
              </w:rPr>
            </w:pPr>
            <w:r>
              <w:rPr>
                <w:rFonts w:ascii="宋体"/>
                <w:sz w:val="18"/>
              </w:rPr>
              <w:t>4.87</w:t>
            </w:r>
          </w:p>
        </w:tc>
      </w:tr>
      <w:tr>
        <w:trPr>
          <w:trHeight w:val="432" w:hRule="exact"/>
        </w:trPr>
        <w:tc>
          <w:tcPr>
            <w:tcW w:w="31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国网河南省电力公司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宋体" w:hAnsi="宋体" w:cs="宋体" w:eastAsia="宋体" w:hint="default"/>
                <w:sz w:val="18"/>
                <w:szCs w:val="18"/>
              </w:rPr>
            </w:pPr>
            <w:r>
              <w:rPr>
                <w:rFonts w:ascii="宋体"/>
                <w:sz w:val="18"/>
              </w:rPr>
              <w:t>9,001,252.67</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至</w:t>
            </w:r>
            <w:r>
              <w:rPr>
                <w:rFonts w:ascii="宋体" w:hAnsi="宋体" w:cs="宋体" w:eastAsia="宋体" w:hint="default"/>
                <w:sz w:val="18"/>
                <w:szCs w:val="18"/>
              </w:rPr>
              <w:t>2</w:t>
            </w:r>
            <w:r>
              <w:rPr>
                <w:rFonts w:ascii="宋体" w:hAnsi="宋体" w:cs="宋体" w:eastAsia="宋体" w:hint="default"/>
                <w:sz w:val="18"/>
                <w:szCs w:val="18"/>
              </w:rPr>
              <w:t>年</w:t>
            </w:r>
          </w:p>
        </w:tc>
        <w:tc>
          <w:tcPr>
            <w:tcW w:w="22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right="-4"/>
              <w:jc w:val="right"/>
              <w:rPr>
                <w:rFonts w:ascii="宋体" w:hAnsi="宋体" w:cs="宋体" w:eastAsia="宋体" w:hint="default"/>
                <w:sz w:val="18"/>
                <w:szCs w:val="18"/>
              </w:rPr>
            </w:pPr>
            <w:r>
              <w:rPr>
                <w:rFonts w:ascii="宋体"/>
                <w:sz w:val="18"/>
              </w:rPr>
              <w:t>4.21</w:t>
            </w:r>
          </w:p>
        </w:tc>
      </w:tr>
      <w:tr>
        <w:trPr>
          <w:trHeight w:val="432" w:hRule="exact"/>
        </w:trPr>
        <w:tc>
          <w:tcPr>
            <w:tcW w:w="31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湖南威科电力仪表有限司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宋体" w:hAnsi="宋体" w:cs="宋体" w:eastAsia="宋体" w:hint="default"/>
                <w:sz w:val="18"/>
                <w:szCs w:val="18"/>
              </w:rPr>
            </w:pPr>
            <w:r>
              <w:rPr>
                <w:rFonts w:ascii="宋体"/>
                <w:sz w:val="18"/>
              </w:rPr>
              <w:t>6,946,747.42</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22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right="-4"/>
              <w:jc w:val="right"/>
              <w:rPr>
                <w:rFonts w:ascii="宋体" w:hAnsi="宋体" w:cs="宋体" w:eastAsia="宋体" w:hint="default"/>
                <w:sz w:val="18"/>
                <w:szCs w:val="18"/>
              </w:rPr>
            </w:pPr>
            <w:r>
              <w:rPr>
                <w:rFonts w:ascii="宋体"/>
                <w:sz w:val="18"/>
              </w:rPr>
              <w:t>3.25</w:t>
            </w:r>
          </w:p>
        </w:tc>
      </w:tr>
      <w:tr>
        <w:trPr>
          <w:trHeight w:val="440" w:hRule="exact"/>
        </w:trPr>
        <w:tc>
          <w:tcPr>
            <w:tcW w:w="311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宋体" w:hAnsi="宋体" w:cs="宋体" w:eastAsia="宋体" w:hint="default"/>
                <w:sz w:val="18"/>
                <w:szCs w:val="18"/>
              </w:rPr>
            </w:pPr>
            <w:r>
              <w:rPr>
                <w:rFonts w:ascii="宋体"/>
                <w:sz w:val="18"/>
              </w:rPr>
              <w:t>84,997,136.51</w:t>
            </w:r>
          </w:p>
        </w:tc>
        <w:tc>
          <w:tcPr>
            <w:tcW w:w="1566" w:type="dxa"/>
            <w:tcBorders>
              <w:top w:val="single" w:sz="6" w:space="0" w:color="000000"/>
              <w:left w:val="single" w:sz="6" w:space="0" w:color="000000"/>
              <w:bottom w:val="single" w:sz="12" w:space="0" w:color="000000"/>
              <w:right w:val="single" w:sz="6" w:space="0" w:color="000000"/>
            </w:tcBorders>
          </w:tcPr>
          <w:p>
            <w:pPr/>
          </w:p>
        </w:tc>
        <w:tc>
          <w:tcPr>
            <w:tcW w:w="226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3"/>
              <w:ind w:right="-4"/>
              <w:jc w:val="right"/>
              <w:rPr>
                <w:rFonts w:ascii="宋体" w:hAnsi="宋体" w:cs="宋体" w:eastAsia="宋体" w:hint="default"/>
                <w:sz w:val="18"/>
                <w:szCs w:val="18"/>
              </w:rPr>
            </w:pPr>
            <w:r>
              <w:rPr>
                <w:rFonts w:ascii="宋体"/>
                <w:sz w:val="18"/>
              </w:rPr>
              <w:t>39.76</w:t>
            </w:r>
          </w:p>
        </w:tc>
      </w:tr>
    </w:tbl>
    <w:p>
      <w:pPr>
        <w:spacing w:before="72"/>
        <w:ind w:left="1134" w:right="0" w:firstLine="0"/>
        <w:jc w:val="left"/>
        <w:rPr>
          <w:rFonts w:ascii="宋体" w:hAnsi="宋体" w:cs="宋体" w:eastAsia="宋体" w:hint="default"/>
          <w:sz w:val="20"/>
          <w:szCs w:val="20"/>
        </w:rPr>
      </w:pPr>
      <w:bookmarkStart w:name="（5）因金融资产转移而终止确认的应收账款" w:id="474"/>
      <w:bookmarkEnd w:id="474"/>
      <w:r>
        <w:rPr/>
      </w:r>
      <w:r>
        <w:rPr>
          <w:rFonts w:ascii="宋体" w:hAnsi="宋体" w:cs="宋体" w:eastAsia="宋体" w:hint="default"/>
          <w:b/>
          <w:bCs/>
          <w:sz w:val="20"/>
          <w:szCs w:val="20"/>
        </w:rPr>
        <w:t>（</w:t>
      </w:r>
      <w:r>
        <w:rPr>
          <w:rFonts w:ascii="宋体" w:hAnsi="宋体" w:cs="宋体" w:eastAsia="宋体" w:hint="default"/>
          <w:b/>
          <w:bCs/>
          <w:sz w:val="20"/>
          <w:szCs w:val="20"/>
        </w:rPr>
        <w:t>5</w:t>
      </w:r>
      <w:r>
        <w:rPr>
          <w:rFonts w:ascii="宋体" w:hAnsi="宋体" w:cs="宋体" w:eastAsia="宋体" w:hint="default"/>
          <w:b/>
          <w:bCs/>
          <w:sz w:val="20"/>
          <w:szCs w:val="20"/>
        </w:rPr>
        <w:t>）因金融资产转移而终止确认的应收账款</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3" w:right="0" w:firstLine="0"/>
        <w:jc w:val="left"/>
        <w:rPr>
          <w:rFonts w:ascii="宋体" w:hAnsi="宋体" w:cs="宋体" w:eastAsia="宋体" w:hint="default"/>
          <w:sz w:val="20"/>
          <w:szCs w:val="20"/>
        </w:rPr>
      </w:pPr>
      <w:bookmarkStart w:name="（6）转移应收账款且继续涉入形成的资产、负债金额" w:id="475"/>
      <w:bookmarkEnd w:id="475"/>
      <w:r>
        <w:rPr/>
      </w:r>
      <w:r>
        <w:rPr>
          <w:rFonts w:ascii="宋体" w:hAnsi="宋体" w:cs="宋体" w:eastAsia="宋体" w:hint="default"/>
          <w:b/>
          <w:bCs/>
          <w:sz w:val="20"/>
          <w:szCs w:val="20"/>
        </w:rPr>
        <w:t>（</w:t>
      </w:r>
      <w:r>
        <w:rPr>
          <w:rFonts w:ascii="宋体" w:hAnsi="宋体" w:cs="宋体" w:eastAsia="宋体" w:hint="default"/>
          <w:b/>
          <w:bCs/>
          <w:sz w:val="20"/>
          <w:szCs w:val="20"/>
        </w:rPr>
        <w:t>6</w:t>
      </w:r>
      <w:r>
        <w:rPr>
          <w:rFonts w:ascii="宋体" w:hAnsi="宋体" w:cs="宋体" w:eastAsia="宋体" w:hint="default"/>
          <w:b/>
          <w:bCs/>
          <w:sz w:val="20"/>
          <w:szCs w:val="20"/>
        </w:rPr>
        <w:t>）转移应收账款且继续涉入形成的资产、负债金额</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08" w:lineRule="auto"/>
        <w:ind w:right="1198"/>
        <w:jc w:val="left"/>
      </w:pPr>
      <w:r>
        <w:rPr/>
        <w:t>其他说明： 应收账款年末余额数比年初数减少</w:t>
      </w:r>
      <w:r>
        <w:rPr>
          <w:rFonts w:ascii="宋体" w:hAnsi="宋体" w:cs="宋体" w:eastAsia="宋体" w:hint="default"/>
        </w:rPr>
        <w:t>76,323,718.82</w:t>
      </w:r>
      <w:r>
        <w:rPr/>
        <w:t>元，减少比例为</w:t>
      </w:r>
      <w:r>
        <w:rPr>
          <w:rFonts w:ascii="宋体" w:hAnsi="宋体" w:cs="宋体" w:eastAsia="宋体" w:hint="default"/>
        </w:rPr>
        <w:t>26.31%</w:t>
      </w:r>
      <w:r>
        <w:rPr/>
        <w:t>，减少原因为：上市公司业务量 本期较上期有所减少，及本期积极回款所致。</w:t>
      </w:r>
    </w:p>
    <w:p>
      <w:pPr>
        <w:spacing w:before="55"/>
        <w:ind w:left="1134" w:right="0" w:firstLine="0"/>
        <w:jc w:val="left"/>
        <w:rPr>
          <w:rFonts w:ascii="宋体" w:hAnsi="宋体" w:cs="宋体" w:eastAsia="宋体" w:hint="default"/>
          <w:sz w:val="20"/>
          <w:szCs w:val="20"/>
        </w:rPr>
      </w:pPr>
      <w:bookmarkStart w:name="2、其他应收款" w:id="476"/>
      <w:bookmarkEnd w:id="476"/>
      <w:r>
        <w:rPr/>
      </w:r>
      <w:r>
        <w:rPr>
          <w:rFonts w:ascii="宋体" w:hAnsi="宋体" w:cs="宋体" w:eastAsia="宋体" w:hint="default"/>
          <w:b/>
          <w:bCs/>
          <w:sz w:val="20"/>
          <w:szCs w:val="20"/>
        </w:rPr>
        <w:t>2</w:t>
      </w:r>
      <w:r>
        <w:rPr>
          <w:rFonts w:ascii="宋体" w:hAnsi="宋体" w:cs="宋体" w:eastAsia="宋体" w:hint="default"/>
          <w:b/>
          <w:bCs/>
          <w:sz w:val="20"/>
          <w:szCs w:val="20"/>
        </w:rPr>
        <w:t>、其他应收款</w:t>
      </w:r>
      <w:r>
        <w:rPr>
          <w:rFonts w:ascii="宋体" w:hAnsi="宋体" w:cs="宋体" w:eastAsia="宋体" w:hint="default"/>
          <w:sz w:val="20"/>
          <w:szCs w:val="20"/>
        </w:rPr>
      </w:r>
    </w:p>
    <w:p>
      <w:pPr>
        <w:spacing w:line="240" w:lineRule="auto" w:before="10"/>
        <w:rPr>
          <w:rFonts w:ascii="宋体" w:hAnsi="宋体" w:cs="宋体" w:eastAsia="宋体" w:hint="default"/>
          <w:b/>
          <w:bCs/>
          <w:sz w:val="15"/>
          <w:szCs w:val="15"/>
        </w:rPr>
      </w:pPr>
    </w:p>
    <w:p>
      <w:pPr>
        <w:spacing w:before="0"/>
        <w:ind w:left="1134" w:right="0" w:firstLine="0"/>
        <w:jc w:val="left"/>
        <w:rPr>
          <w:rFonts w:ascii="宋体" w:hAnsi="宋体" w:cs="宋体" w:eastAsia="宋体" w:hint="default"/>
          <w:sz w:val="20"/>
          <w:szCs w:val="20"/>
        </w:rPr>
      </w:pPr>
      <w:bookmarkStart w:name="（1）其他应收款分类披露" w:id="477"/>
      <w:bookmarkEnd w:id="477"/>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）其他应收款分类披露</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5" w:type="dxa"/>
        <w:tblLayout w:type="fixed"/>
        <w:tblCellMar>
          <w:top w:w="0" w:type="dxa"/>
          <w:left w:w="0" w:type="dxa"/>
          <w:bottom w:w="0" w:type="dxa"/>
          <w:right w:w="0" w:type="dxa"/>
        </w:tblCellMar>
        <w:tblLook w:val="01E0"/>
      </w:tblPr>
      <w:tblGrid>
        <w:gridCol w:w="1278"/>
        <w:gridCol w:w="1984"/>
        <w:gridCol w:w="1985"/>
        <w:gridCol w:w="1277"/>
        <w:gridCol w:w="1984"/>
        <w:gridCol w:w="1843"/>
        <w:gridCol w:w="1275"/>
      </w:tblGrid>
      <w:tr>
        <w:trPr>
          <w:trHeight w:val="415" w:hRule="exact"/>
        </w:trPr>
        <w:tc>
          <w:tcPr>
            <w:tcW w:w="1278"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类别</w:t>
            </w:r>
          </w:p>
        </w:tc>
        <w:tc>
          <w:tcPr>
            <w:tcW w:w="5246" w:type="dxa"/>
            <w:gridSpan w:val="3"/>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103" w:type="dxa"/>
            <w:gridSpan w:val="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1278" w:type="dxa"/>
            <w:vMerge/>
            <w:tcBorders>
              <w:left w:val="single" w:sz="12" w:space="0" w:color="000000"/>
              <w:bottom w:val="single" w:sz="12" w:space="0" w:color="000000"/>
              <w:right w:val="single" w:sz="6" w:space="0" w:color="000000"/>
            </w:tcBorders>
            <w:shd w:val="clear" w:color="auto" w:fill="D2D2D2"/>
          </w:tcPr>
          <w:p>
            <w:pPr/>
          </w:p>
        </w:tc>
        <w:tc>
          <w:tcPr>
            <w:tcW w:w="198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62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5"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8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6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5"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31" w:type="dxa"/>
        <w:tblLayout w:type="fixed"/>
        <w:tblCellMar>
          <w:top w:w="0" w:type="dxa"/>
          <w:left w:w="0" w:type="dxa"/>
          <w:bottom w:w="0" w:type="dxa"/>
          <w:right w:w="0" w:type="dxa"/>
        </w:tblCellMar>
        <w:tblLook w:val="01E0"/>
      </w:tblPr>
      <w:tblGrid>
        <w:gridCol w:w="1261"/>
        <w:gridCol w:w="1287"/>
        <w:gridCol w:w="708"/>
        <w:gridCol w:w="1276"/>
        <w:gridCol w:w="710"/>
        <w:gridCol w:w="1277"/>
        <w:gridCol w:w="1274"/>
        <w:gridCol w:w="710"/>
        <w:gridCol w:w="1276"/>
        <w:gridCol w:w="568"/>
        <w:gridCol w:w="1275"/>
      </w:tblGrid>
      <w:tr>
        <w:trPr>
          <w:trHeight w:val="191" w:hRule="exact"/>
        </w:trPr>
        <w:tc>
          <w:tcPr>
            <w:tcW w:w="1261" w:type="dxa"/>
            <w:vMerge w:val="restart"/>
            <w:tcBorders>
              <w:top w:val="single" w:sz="12" w:space="0" w:color="000000"/>
              <w:left w:val="single" w:sz="12" w:space="0" w:color="000000"/>
              <w:right w:val="single" w:sz="6" w:space="0" w:color="000000"/>
            </w:tcBorders>
            <w:shd w:val="clear" w:color="auto" w:fill="D2D2D2"/>
          </w:tcPr>
          <w:p>
            <w:pPr/>
          </w:p>
        </w:tc>
        <w:tc>
          <w:tcPr>
            <w:tcW w:w="1287" w:type="dxa"/>
            <w:tcBorders>
              <w:top w:val="single" w:sz="12" w:space="0" w:color="000000"/>
              <w:left w:val="single" w:sz="6" w:space="0" w:color="000000"/>
              <w:bottom w:val="nil" w:sz="6" w:space="0" w:color="auto"/>
              <w:right w:val="single" w:sz="6" w:space="0" w:color="000000"/>
            </w:tcBorders>
            <w:shd w:val="clear" w:color="auto" w:fill="D2D2D2"/>
          </w:tcPr>
          <w:p>
            <w:pPr/>
          </w:p>
        </w:tc>
        <w:tc>
          <w:tcPr>
            <w:tcW w:w="708" w:type="dxa"/>
            <w:tcBorders>
              <w:top w:val="single" w:sz="12" w:space="0" w:color="000000"/>
              <w:left w:val="single" w:sz="6" w:space="0" w:color="000000"/>
              <w:bottom w:val="nil" w:sz="6" w:space="0" w:color="auto"/>
              <w:right w:val="single" w:sz="6" w:space="0" w:color="000000"/>
            </w:tcBorders>
            <w:shd w:val="clear" w:color="auto" w:fill="D2D2D2"/>
          </w:tcPr>
          <w:p>
            <w:pPr/>
          </w:p>
        </w:tc>
        <w:tc>
          <w:tcPr>
            <w:tcW w:w="1276" w:type="dxa"/>
            <w:tcBorders>
              <w:top w:val="single" w:sz="12" w:space="0" w:color="000000"/>
              <w:left w:val="single" w:sz="6" w:space="0" w:color="000000"/>
              <w:bottom w:val="nil" w:sz="6" w:space="0" w:color="auto"/>
              <w:right w:val="single" w:sz="6" w:space="0" w:color="000000"/>
            </w:tcBorders>
            <w:shd w:val="clear" w:color="auto" w:fill="D2D2D2"/>
          </w:tcPr>
          <w:p>
            <w:pPr/>
          </w:p>
        </w:tc>
        <w:tc>
          <w:tcPr>
            <w:tcW w:w="710"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71"/>
              <w:ind w:left="258" w:right="7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77" w:type="dxa"/>
            <w:vMerge w:val="restart"/>
            <w:tcBorders>
              <w:top w:val="single" w:sz="12" w:space="0" w:color="000000"/>
              <w:left w:val="single" w:sz="6" w:space="0" w:color="000000"/>
              <w:right w:val="single" w:sz="6" w:space="0" w:color="000000"/>
            </w:tcBorders>
            <w:shd w:val="clear" w:color="auto" w:fill="D2D2D2"/>
          </w:tcPr>
          <w:p>
            <w:pPr/>
          </w:p>
        </w:tc>
        <w:tc>
          <w:tcPr>
            <w:tcW w:w="1274" w:type="dxa"/>
            <w:tcBorders>
              <w:top w:val="single" w:sz="12" w:space="0" w:color="000000"/>
              <w:left w:val="single" w:sz="6" w:space="0" w:color="000000"/>
              <w:bottom w:val="nil" w:sz="6" w:space="0" w:color="auto"/>
              <w:right w:val="single" w:sz="6" w:space="0" w:color="000000"/>
            </w:tcBorders>
            <w:shd w:val="clear" w:color="auto" w:fill="D2D2D2"/>
          </w:tcPr>
          <w:p>
            <w:pPr/>
          </w:p>
        </w:tc>
        <w:tc>
          <w:tcPr>
            <w:tcW w:w="710" w:type="dxa"/>
            <w:tcBorders>
              <w:top w:val="single" w:sz="12" w:space="0" w:color="000000"/>
              <w:left w:val="single" w:sz="6" w:space="0" w:color="000000"/>
              <w:bottom w:val="nil" w:sz="6" w:space="0" w:color="auto"/>
              <w:right w:val="single" w:sz="6" w:space="0" w:color="000000"/>
            </w:tcBorders>
            <w:shd w:val="clear" w:color="auto" w:fill="D2D2D2"/>
          </w:tcPr>
          <w:p>
            <w:pPr/>
          </w:p>
        </w:tc>
        <w:tc>
          <w:tcPr>
            <w:tcW w:w="1276" w:type="dxa"/>
            <w:tcBorders>
              <w:top w:val="single" w:sz="12" w:space="0" w:color="000000"/>
              <w:left w:val="single" w:sz="6" w:space="0" w:color="000000"/>
              <w:bottom w:val="nil" w:sz="6" w:space="0" w:color="auto"/>
              <w:right w:val="single" w:sz="6" w:space="0" w:color="000000"/>
            </w:tcBorders>
            <w:shd w:val="clear" w:color="auto" w:fill="D2D2D2"/>
          </w:tcPr>
          <w:p>
            <w:pPr/>
          </w:p>
        </w:tc>
        <w:tc>
          <w:tcPr>
            <w:tcW w:w="568" w:type="dxa"/>
            <w:vMerge w:val="restart"/>
            <w:tcBorders>
              <w:top w:val="single" w:sz="12" w:space="0" w:color="000000"/>
              <w:left w:val="single" w:sz="6" w:space="0" w:color="000000"/>
              <w:right w:val="single" w:sz="6" w:space="0" w:color="000000"/>
            </w:tcBorders>
            <w:shd w:val="clear" w:color="auto" w:fill="D2D2D2"/>
          </w:tcPr>
          <w:p>
            <w:pPr>
              <w:pStyle w:val="TableParagraph"/>
              <w:spacing w:line="360" w:lineRule="auto" w:before="51"/>
              <w:ind w:left="97" w:right="95"/>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75" w:type="dxa"/>
            <w:vMerge w:val="restart"/>
            <w:tcBorders>
              <w:top w:val="single" w:sz="12" w:space="0" w:color="000000"/>
              <w:left w:val="single" w:sz="6" w:space="0" w:color="000000"/>
              <w:right w:val="single" w:sz="12" w:space="0" w:color="000000"/>
            </w:tcBorders>
            <w:shd w:val="clear" w:color="auto" w:fill="D2D2D2"/>
          </w:tcPr>
          <w:p>
            <w:pPr/>
          </w:p>
        </w:tc>
      </w:tr>
      <w:tr>
        <w:trPr>
          <w:trHeight w:val="391" w:hRule="exact"/>
        </w:trPr>
        <w:tc>
          <w:tcPr>
            <w:tcW w:w="1261" w:type="dxa"/>
            <w:vMerge/>
            <w:tcBorders>
              <w:left w:val="single" w:sz="12" w:space="0" w:color="000000"/>
              <w:right w:val="single" w:sz="6" w:space="0" w:color="000000"/>
            </w:tcBorders>
            <w:shd w:val="clear" w:color="auto" w:fill="D2D2D2"/>
          </w:tcPr>
          <w:p>
            <w:pPr/>
          </w:p>
        </w:tc>
        <w:tc>
          <w:tcPr>
            <w:tcW w:w="128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c>
          <w:tcPr>
            <w:tcW w:w="127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vMerge/>
            <w:tcBorders>
              <w:left w:val="single" w:sz="6" w:space="0" w:color="000000"/>
              <w:right w:val="single" w:sz="6" w:space="0" w:color="000000"/>
            </w:tcBorders>
            <w:shd w:val="clear" w:color="auto" w:fill="D2D2D2"/>
          </w:tcPr>
          <w:p>
            <w:pPr/>
          </w:p>
        </w:tc>
        <w:tc>
          <w:tcPr>
            <w:tcW w:w="1275" w:type="dxa"/>
            <w:vMerge/>
            <w:tcBorders>
              <w:left w:val="single" w:sz="6" w:space="0" w:color="000000"/>
              <w:right w:val="single" w:sz="12" w:space="0" w:color="000000"/>
            </w:tcBorders>
            <w:shd w:val="clear" w:color="auto" w:fill="D2D2D2"/>
          </w:tcPr>
          <w:p>
            <w:pPr/>
          </w:p>
        </w:tc>
      </w:tr>
      <w:tr>
        <w:trPr>
          <w:trHeight w:val="184" w:hRule="exact"/>
        </w:trPr>
        <w:tc>
          <w:tcPr>
            <w:tcW w:w="1261" w:type="dxa"/>
            <w:vMerge/>
            <w:tcBorders>
              <w:left w:val="single" w:sz="12" w:space="0" w:color="000000"/>
              <w:bottom w:val="single" w:sz="6" w:space="0" w:color="000000"/>
              <w:right w:val="single" w:sz="6" w:space="0" w:color="000000"/>
            </w:tcBorders>
            <w:shd w:val="clear" w:color="auto" w:fill="D2D2D2"/>
          </w:tcPr>
          <w:p>
            <w:pPr/>
          </w:p>
        </w:tc>
        <w:tc>
          <w:tcPr>
            <w:tcW w:w="1287" w:type="dxa"/>
            <w:tcBorders>
              <w:top w:val="nil" w:sz="6" w:space="0" w:color="auto"/>
              <w:left w:val="single" w:sz="6" w:space="0" w:color="000000"/>
              <w:bottom w:val="single" w:sz="6" w:space="0" w:color="000000"/>
              <w:right w:val="single" w:sz="6" w:space="0" w:color="000000"/>
            </w:tcBorders>
            <w:shd w:val="clear" w:color="auto" w:fill="D2D2D2"/>
          </w:tcPr>
          <w:p>
            <w:pPr/>
          </w:p>
        </w:tc>
        <w:tc>
          <w:tcPr>
            <w:tcW w:w="708"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c>
          <w:tcPr>
            <w:tcW w:w="710" w:type="dxa"/>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1274" w:type="dxa"/>
            <w:tcBorders>
              <w:top w:val="nil" w:sz="6" w:space="0" w:color="auto"/>
              <w:left w:val="single" w:sz="6" w:space="0" w:color="000000"/>
              <w:bottom w:val="single" w:sz="6" w:space="0" w:color="000000"/>
              <w:right w:val="single" w:sz="6" w:space="0" w:color="000000"/>
            </w:tcBorders>
            <w:shd w:val="clear" w:color="auto" w:fill="D2D2D2"/>
          </w:tcPr>
          <w:p>
            <w:pPr/>
          </w:p>
        </w:tc>
        <w:tc>
          <w:tcPr>
            <w:tcW w:w="710"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c>
          <w:tcPr>
            <w:tcW w:w="568" w:type="dxa"/>
            <w:vMerge/>
            <w:tcBorders>
              <w:left w:val="single" w:sz="6" w:space="0" w:color="000000"/>
              <w:bottom w:val="single" w:sz="6" w:space="0" w:color="000000"/>
              <w:right w:val="single" w:sz="6" w:space="0" w:color="000000"/>
            </w:tcBorders>
            <w:shd w:val="clear" w:color="auto" w:fill="D2D2D2"/>
          </w:tcPr>
          <w:p>
            <w:pPr/>
          </w:p>
        </w:tc>
        <w:tc>
          <w:tcPr>
            <w:tcW w:w="1275" w:type="dxa"/>
            <w:vMerge/>
            <w:tcBorders>
              <w:left w:val="single" w:sz="6" w:space="0" w:color="000000"/>
              <w:bottom w:val="single" w:sz="6" w:space="0" w:color="000000"/>
              <w:right w:val="single" w:sz="12" w:space="0" w:color="000000"/>
            </w:tcBorders>
            <w:shd w:val="clear" w:color="auto" w:fill="D2D2D2"/>
          </w:tcPr>
          <w:p>
            <w:pPr/>
          </w:p>
        </w:tc>
      </w:tr>
      <w:tr>
        <w:trPr>
          <w:trHeight w:val="1343" w:hRule="exact"/>
        </w:trPr>
        <w:tc>
          <w:tcPr>
            <w:tcW w:w="12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7" w:right="149"/>
              <w:jc w:val="both"/>
              <w:rPr>
                <w:rFonts w:ascii="宋体" w:hAnsi="宋体" w:cs="宋体" w:eastAsia="宋体" w:hint="default"/>
                <w:sz w:val="18"/>
                <w:szCs w:val="18"/>
              </w:rPr>
            </w:pPr>
            <w:r>
              <w:rPr>
                <w:rFonts w:ascii="宋体" w:hAnsi="宋体" w:cs="宋体" w:eastAsia="宋体" w:hint="default"/>
                <w:sz w:val="18"/>
                <w:szCs w:val="18"/>
              </w:rPr>
              <w:t>单项金额重大 并单独计提坏 账准备的其他 应收款</w:t>
            </w:r>
          </w:p>
        </w:tc>
        <w:tc>
          <w:tcPr>
            <w:tcW w:w="128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0" w:right="0"/>
              <w:jc w:val="center"/>
              <w:rPr>
                <w:rFonts w:ascii="宋体" w:hAnsi="宋体" w:cs="宋体" w:eastAsia="宋体" w:hint="default"/>
                <w:sz w:val="18"/>
                <w:szCs w:val="18"/>
              </w:rPr>
            </w:pPr>
            <w:r>
              <w:rPr>
                <w:rFonts w:ascii="宋体"/>
                <w:sz w:val="18"/>
              </w:rPr>
              <w:t>73,911,000.00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90.27%</w:t>
            </w:r>
          </w:p>
        </w:tc>
        <w:tc>
          <w:tcPr>
            <w:tcW w:w="127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14" w:space="0" w:color="D2D2D2"/>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73,911,000.00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9" w:right="0"/>
              <w:jc w:val="center"/>
              <w:rPr>
                <w:rFonts w:ascii="宋体" w:hAnsi="宋体" w:cs="宋体" w:eastAsia="宋体" w:hint="default"/>
                <w:sz w:val="18"/>
                <w:szCs w:val="18"/>
              </w:rPr>
            </w:pPr>
            <w:r>
              <w:rPr>
                <w:rFonts w:ascii="宋体"/>
                <w:sz w:val="18"/>
              </w:rPr>
              <w:t>78,750,000.00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85.32%</w:t>
            </w:r>
          </w:p>
        </w:tc>
        <w:tc>
          <w:tcPr>
            <w:tcW w:w="127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
              <w:jc w:val="right"/>
              <w:rPr>
                <w:rFonts w:ascii="宋体" w:hAnsi="宋体" w:cs="宋体" w:eastAsia="宋体" w:hint="default"/>
                <w:sz w:val="18"/>
                <w:szCs w:val="18"/>
              </w:rPr>
            </w:pPr>
            <w:r>
              <w:rPr>
                <w:rFonts w:ascii="宋体"/>
                <w:sz w:val="18"/>
              </w:rPr>
              <w:t>78,750,000.00</w:t>
            </w:r>
          </w:p>
        </w:tc>
      </w:tr>
      <w:tr>
        <w:trPr>
          <w:trHeight w:val="1343" w:hRule="exact"/>
        </w:trPr>
        <w:tc>
          <w:tcPr>
            <w:tcW w:w="12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7" w:right="149"/>
              <w:jc w:val="both"/>
              <w:rPr>
                <w:rFonts w:ascii="宋体" w:hAnsi="宋体" w:cs="宋体" w:eastAsia="宋体" w:hint="default"/>
                <w:sz w:val="18"/>
                <w:szCs w:val="18"/>
              </w:rPr>
            </w:pPr>
            <w:r>
              <w:rPr>
                <w:rFonts w:ascii="宋体" w:hAnsi="宋体" w:cs="宋体" w:eastAsia="宋体" w:hint="default"/>
                <w:sz w:val="18"/>
                <w:szCs w:val="18"/>
              </w:rPr>
              <w:t>按信用风险特 征组合计提坏 账准备的其他 应收款</w:t>
            </w:r>
          </w:p>
        </w:tc>
        <w:tc>
          <w:tcPr>
            <w:tcW w:w="128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40" w:right="0"/>
              <w:jc w:val="center"/>
              <w:rPr>
                <w:rFonts w:ascii="宋体" w:hAnsi="宋体" w:cs="宋体" w:eastAsia="宋体" w:hint="default"/>
                <w:sz w:val="18"/>
                <w:szCs w:val="18"/>
              </w:rPr>
            </w:pPr>
            <w:r>
              <w:rPr>
                <w:rFonts w:ascii="宋体"/>
                <w:sz w:val="18"/>
              </w:rPr>
              <w:t>7,970,662.52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9.73%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1,276,726.40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16.02%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6,693,936.12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9" w:right="0"/>
              <w:jc w:val="center"/>
              <w:rPr>
                <w:rFonts w:ascii="宋体" w:hAnsi="宋体" w:cs="宋体" w:eastAsia="宋体" w:hint="default"/>
                <w:sz w:val="18"/>
                <w:szCs w:val="18"/>
              </w:rPr>
            </w:pPr>
            <w:r>
              <w:rPr>
                <w:rFonts w:ascii="宋体"/>
                <w:sz w:val="18"/>
              </w:rPr>
              <w:t>13,545,005.47</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14.68%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40" w:right="0"/>
              <w:jc w:val="center"/>
              <w:rPr>
                <w:rFonts w:ascii="宋体" w:hAnsi="宋体" w:cs="宋体" w:eastAsia="宋体" w:hint="default"/>
                <w:sz w:val="18"/>
                <w:szCs w:val="18"/>
              </w:rPr>
            </w:pPr>
            <w:r>
              <w:rPr>
                <w:rFonts w:ascii="宋体"/>
                <w:sz w:val="18"/>
              </w:rPr>
              <w:t>1,217,323.89</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8.99%</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
              <w:jc w:val="right"/>
              <w:rPr>
                <w:rFonts w:ascii="宋体" w:hAnsi="宋体" w:cs="宋体" w:eastAsia="宋体" w:hint="default"/>
                <w:sz w:val="18"/>
                <w:szCs w:val="18"/>
              </w:rPr>
            </w:pPr>
            <w:r>
              <w:rPr>
                <w:rFonts w:ascii="宋体"/>
                <w:sz w:val="18"/>
              </w:rPr>
              <w:t>12,327,681.58</w:t>
            </w:r>
          </w:p>
        </w:tc>
      </w:tr>
      <w:tr>
        <w:trPr>
          <w:trHeight w:val="415" w:hRule="exact"/>
        </w:trPr>
        <w:tc>
          <w:tcPr>
            <w:tcW w:w="126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left="50" w:right="0"/>
              <w:jc w:val="center"/>
              <w:rPr>
                <w:rFonts w:ascii="宋体" w:hAnsi="宋体" w:cs="宋体" w:eastAsia="宋体" w:hint="default"/>
                <w:sz w:val="18"/>
                <w:szCs w:val="18"/>
              </w:rPr>
            </w:pPr>
            <w:r>
              <w:rPr>
                <w:rFonts w:ascii="宋体"/>
                <w:sz w:val="18"/>
              </w:rPr>
              <w:t>81,881,662.52</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1,276,726.40</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1.56%</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80,604,936.12</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49" w:right="0"/>
              <w:jc w:val="center"/>
              <w:rPr>
                <w:rFonts w:ascii="宋体" w:hAnsi="宋体" w:cs="宋体" w:eastAsia="宋体" w:hint="default"/>
                <w:sz w:val="18"/>
                <w:szCs w:val="18"/>
              </w:rPr>
            </w:pPr>
            <w:r>
              <w:rPr>
                <w:rFonts w:ascii="宋体"/>
                <w:sz w:val="18"/>
              </w:rPr>
              <w:t>92,295,005.47</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40" w:right="0"/>
              <w:jc w:val="center"/>
              <w:rPr>
                <w:rFonts w:ascii="宋体" w:hAnsi="宋体" w:cs="宋体" w:eastAsia="宋体" w:hint="default"/>
                <w:sz w:val="18"/>
                <w:szCs w:val="18"/>
              </w:rPr>
            </w:pPr>
            <w:r>
              <w:rPr>
                <w:rFonts w:ascii="宋体"/>
                <w:sz w:val="18"/>
              </w:rPr>
              <w:t>1,217,323.89</w:t>
            </w:r>
          </w:p>
        </w:tc>
        <w:tc>
          <w:tcPr>
            <w:tcW w:w="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1.32%</w:t>
            </w:r>
          </w:p>
        </w:tc>
        <w:tc>
          <w:tcPr>
            <w:tcW w:w="12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91,077,681.58</w:t>
            </w:r>
          </w:p>
        </w:tc>
      </w:tr>
    </w:tbl>
    <w:p>
      <w:pPr>
        <w:pStyle w:val="BodyText"/>
        <w:spacing w:line="240" w:lineRule="auto" w:before="63"/>
        <w:ind w:left="1134" w:right="0"/>
        <w:jc w:val="left"/>
      </w:pPr>
      <w:r>
        <w:rPr/>
        <w:t>期末单项金额重大并单项计提坏账准备的其他应收款：</w:t>
      </w:r>
    </w:p>
    <w:p>
      <w:pPr>
        <w:spacing w:line="240" w:lineRule="auto" w:before="10"/>
        <w:rPr>
          <w:rFonts w:ascii="宋体" w:hAnsi="宋体" w:cs="宋体" w:eastAsia="宋体" w:hint="default"/>
          <w:sz w:val="14"/>
          <w:szCs w:val="14"/>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1995"/>
        <w:gridCol w:w="1838"/>
        <w:gridCol w:w="1913"/>
        <w:gridCol w:w="1913"/>
        <w:gridCol w:w="1912"/>
      </w:tblGrid>
      <w:tr>
        <w:trPr>
          <w:trHeight w:val="415" w:hRule="exact"/>
        </w:trPr>
        <w:tc>
          <w:tcPr>
            <w:tcW w:w="1995"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1995" w:type="dxa"/>
            <w:vMerge/>
            <w:tcBorders>
              <w:left w:val="single" w:sz="12" w:space="0" w:color="000000"/>
              <w:bottom w:val="single" w:sz="6" w:space="0" w:color="000000"/>
              <w:right w:val="single" w:sz="6" w:space="0" w:color="000000"/>
            </w:tcBorders>
            <w:shd w:val="clear" w:color="auto" w:fill="D2D2D2"/>
          </w:tcPr>
          <w:p>
            <w:pPr/>
          </w:p>
        </w:tc>
        <w:tc>
          <w:tcPr>
            <w:tcW w:w="18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6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2"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9" w:hRule="exact"/>
        </w:trPr>
        <w:tc>
          <w:tcPr>
            <w:tcW w:w="1995"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159"/>
              <w:jc w:val="left"/>
              <w:rPr>
                <w:rFonts w:ascii="宋体" w:hAnsi="宋体" w:cs="宋体" w:eastAsia="宋体" w:hint="default"/>
                <w:sz w:val="18"/>
                <w:szCs w:val="18"/>
              </w:rPr>
            </w:pPr>
            <w:r>
              <w:rPr>
                <w:rFonts w:ascii="宋体" w:hAnsi="宋体" w:cs="宋体" w:eastAsia="宋体" w:hint="default"/>
                <w:sz w:val="18"/>
                <w:szCs w:val="18"/>
              </w:rPr>
              <w:t>江苏光一投资管理有限 责任公司</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67,500,000.00</w:t>
            </w:r>
          </w:p>
        </w:tc>
        <w:tc>
          <w:tcPr>
            <w:tcW w:w="1913"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c>
          <w:tcPr>
            <w:tcW w:w="1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预期全部按计划收回</w:t>
            </w:r>
          </w:p>
        </w:tc>
      </w:tr>
      <w:tr>
        <w:trPr>
          <w:trHeight w:val="719" w:hRule="exact"/>
        </w:trPr>
        <w:tc>
          <w:tcPr>
            <w:tcW w:w="199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3"/>
              <w:ind w:left="13" w:right="159"/>
              <w:jc w:val="left"/>
              <w:rPr>
                <w:rFonts w:ascii="宋体" w:hAnsi="宋体" w:cs="宋体" w:eastAsia="宋体" w:hint="default"/>
                <w:sz w:val="18"/>
                <w:szCs w:val="18"/>
              </w:rPr>
            </w:pPr>
            <w:r>
              <w:rPr>
                <w:rFonts w:ascii="宋体" w:hAnsi="宋体" w:cs="宋体" w:eastAsia="宋体" w:hint="default"/>
                <w:sz w:val="18"/>
                <w:szCs w:val="18"/>
              </w:rPr>
              <w:t>江苏德能电力设计咨询 有限公司</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5,000,000.00</w:t>
            </w:r>
          </w:p>
        </w:tc>
        <w:tc>
          <w:tcPr>
            <w:tcW w:w="1913"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c>
          <w:tcPr>
            <w:tcW w:w="1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预期全部按计划收回</w:t>
            </w:r>
          </w:p>
        </w:tc>
      </w:tr>
      <w:tr>
        <w:trPr>
          <w:trHeight w:val="719" w:hRule="exact"/>
        </w:trPr>
        <w:tc>
          <w:tcPr>
            <w:tcW w:w="199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159"/>
              <w:jc w:val="left"/>
              <w:rPr>
                <w:rFonts w:ascii="宋体" w:hAnsi="宋体" w:cs="宋体" w:eastAsia="宋体" w:hint="default"/>
                <w:sz w:val="18"/>
                <w:szCs w:val="18"/>
              </w:rPr>
            </w:pPr>
            <w:r>
              <w:rPr>
                <w:rFonts w:ascii="宋体" w:hAnsi="宋体" w:cs="宋体" w:eastAsia="宋体" w:hint="default"/>
                <w:sz w:val="18"/>
                <w:szCs w:val="18"/>
              </w:rPr>
              <w:t>南京智友尚云信息技术 有限公司</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1,411,000.00</w:t>
            </w:r>
          </w:p>
        </w:tc>
        <w:tc>
          <w:tcPr>
            <w:tcW w:w="1913"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c>
          <w:tcPr>
            <w:tcW w:w="1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预期全部按计划收回</w:t>
            </w:r>
          </w:p>
        </w:tc>
      </w:tr>
      <w:tr>
        <w:trPr>
          <w:trHeight w:val="416" w:hRule="exact"/>
        </w:trPr>
        <w:tc>
          <w:tcPr>
            <w:tcW w:w="19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73,911,000.00</w:t>
            </w:r>
          </w:p>
        </w:tc>
        <w:tc>
          <w:tcPr>
            <w:tcW w:w="1913" w:type="dxa"/>
            <w:tcBorders>
              <w:top w:val="single" w:sz="6" w:space="0" w:color="000000"/>
              <w:left w:val="single" w:sz="6" w:space="0" w:color="000000"/>
              <w:bottom w:val="single" w:sz="12" w:space="0" w:color="000000"/>
              <w:right w:val="single" w:sz="6" w:space="0" w:color="000000"/>
            </w:tcBorders>
          </w:tcPr>
          <w:p>
            <w:pPr/>
          </w:p>
        </w:tc>
        <w:tc>
          <w:tcPr>
            <w:tcW w:w="191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912"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sz w:val="18"/>
              </w:rPr>
              <w:t>--</w:t>
            </w:r>
          </w:p>
        </w:tc>
      </w:tr>
    </w:tbl>
    <w:p>
      <w:pPr>
        <w:pStyle w:val="BodyText"/>
        <w:spacing w:line="240" w:lineRule="auto" w:before="63"/>
        <w:ind w:left="1134" w:right="0"/>
        <w:jc w:val="left"/>
      </w:pPr>
      <w:r>
        <w:rPr/>
        <w:t>组合中，按账龄分析法计提坏账准备的其他应收款：</w:t>
      </w:r>
    </w:p>
    <w:p>
      <w:pPr>
        <w:spacing w:line="240" w:lineRule="auto" w:before="10"/>
        <w:rPr>
          <w:rFonts w:ascii="宋体" w:hAnsi="宋体" w:cs="宋体" w:eastAsia="宋体" w:hint="default"/>
          <w:sz w:val="14"/>
          <w:szCs w:val="14"/>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2495"/>
        <w:gridCol w:w="2295"/>
        <w:gridCol w:w="2391"/>
        <w:gridCol w:w="2389"/>
      </w:tblGrid>
      <w:tr>
        <w:trPr>
          <w:trHeight w:val="415" w:hRule="exact"/>
        </w:trPr>
        <w:tc>
          <w:tcPr>
            <w:tcW w:w="2495"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495" w:type="dxa"/>
            <w:vMerge/>
            <w:tcBorders>
              <w:left w:val="single" w:sz="12" w:space="0" w:color="000000"/>
              <w:bottom w:val="single" w:sz="6" w:space="0" w:color="000000"/>
              <w:right w:val="single" w:sz="6" w:space="0" w:color="000000"/>
            </w:tcBorders>
            <w:shd w:val="clear" w:color="auto" w:fill="D2D2D2"/>
          </w:tcPr>
          <w:p>
            <w:pPr/>
          </w:p>
        </w:tc>
        <w:tc>
          <w:tcPr>
            <w:tcW w:w="22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7" w:hRule="exact"/>
        </w:trPr>
        <w:tc>
          <w:tcPr>
            <w:tcW w:w="9569" w:type="dxa"/>
            <w:gridSpan w:val="4"/>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5,195,685.24</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155,830.06</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w:t>
            </w:r>
          </w:p>
        </w:tc>
      </w:tr>
      <w:tr>
        <w:trPr>
          <w:trHeight w:val="408"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5,195,685.24</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155,830.06</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1,799,837.38</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179,983.74</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45,039.00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13,511.70</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930,100.90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927,400.90</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99.70%</w:t>
            </w:r>
          </w:p>
        </w:tc>
      </w:tr>
      <w:tr>
        <w:trPr>
          <w:trHeight w:val="415" w:hRule="exact"/>
        </w:trPr>
        <w:tc>
          <w:tcPr>
            <w:tcW w:w="24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9,000.00</w:t>
            </w:r>
          </w:p>
        </w:tc>
        <w:tc>
          <w:tcPr>
            <w:tcW w:w="23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6,300.00</w:t>
            </w:r>
          </w:p>
        </w:tc>
        <w:tc>
          <w:tcPr>
            <w:tcW w:w="23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70.00%</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2495"/>
        <w:gridCol w:w="2295"/>
        <w:gridCol w:w="2391"/>
        <w:gridCol w:w="2389"/>
      </w:tblGrid>
      <w:tr>
        <w:trPr>
          <w:trHeight w:val="415" w:hRule="exact"/>
        </w:trPr>
        <w:tc>
          <w:tcPr>
            <w:tcW w:w="24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921,100.90</w:t>
            </w:r>
          </w:p>
        </w:tc>
        <w:tc>
          <w:tcPr>
            <w:tcW w:w="23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921,100.90</w:t>
            </w:r>
          </w:p>
        </w:tc>
        <w:tc>
          <w:tcPr>
            <w:tcW w:w="238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r>
        <w:trPr>
          <w:trHeight w:val="415" w:hRule="exact"/>
        </w:trPr>
        <w:tc>
          <w:tcPr>
            <w:tcW w:w="24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7,970,662.52</w:t>
            </w:r>
          </w:p>
        </w:tc>
        <w:tc>
          <w:tcPr>
            <w:tcW w:w="23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1,276,726.40</w:t>
            </w:r>
          </w:p>
        </w:tc>
        <w:tc>
          <w:tcPr>
            <w:tcW w:w="23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16.01%</w:t>
            </w:r>
          </w:p>
        </w:tc>
      </w:tr>
    </w:tbl>
    <w:p>
      <w:pPr>
        <w:pStyle w:val="BodyText"/>
        <w:spacing w:line="408" w:lineRule="auto" w:before="63"/>
        <w:ind w:left="1134" w:right="5502"/>
        <w:jc w:val="left"/>
      </w:pPr>
      <w:r>
        <w:rPr/>
        <w:t>确定该组合依据的说明： 组合中，采用余额百分比法计提坏账准备的其他应收款：</w:t>
      </w:r>
    </w:p>
    <w:p>
      <w:pPr>
        <w:pStyle w:val="BodyText"/>
        <w:spacing w:line="408" w:lineRule="auto" w:before="46"/>
        <w:ind w:left="1134" w:right="5922"/>
        <w:jc w:val="left"/>
      </w:pPr>
      <w:r>
        <w:rPr/>
        <w:t>□ 适用 √</w:t>
      </w:r>
      <w:r>
        <w:rPr>
          <w:spacing w:val="-1"/>
        </w:rPr>
        <w:t> </w:t>
      </w:r>
      <w:r>
        <w:rPr/>
        <w:t>不适用</w:t>
      </w:r>
      <w:r>
        <w:rPr/>
        <w:t> 组合中，采用其他方法计提坏账准备的其他应收款：</w:t>
      </w:r>
    </w:p>
    <w:p>
      <w:pPr>
        <w:pStyle w:val="BodyText"/>
        <w:spacing w:line="240" w:lineRule="auto" w:before="46"/>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2）本期计提、收回或转回的坏账准备情况" w:id="478"/>
      <w:bookmarkEnd w:id="478"/>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）本期计提、收回或转回的坏账准备情况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本期计提坏账准备金额</w:t>
      </w:r>
      <w:r>
        <w:rPr>
          <w:spacing w:val="-54"/>
        </w:rPr>
        <w:t> </w:t>
      </w:r>
      <w:r>
        <w:rPr>
          <w:rFonts w:ascii="宋体" w:hAnsi="宋体" w:cs="宋体" w:eastAsia="宋体" w:hint="default"/>
        </w:rPr>
        <w:t>59,402.51</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6"/>
        <w:rPr>
          <w:rFonts w:ascii="宋体" w:hAnsi="宋体" w:cs="宋体" w:eastAsia="宋体" w:hint="default"/>
          <w:sz w:val="15"/>
          <w:szCs w:val="15"/>
        </w:rPr>
      </w:pPr>
    </w:p>
    <w:p>
      <w:pPr>
        <w:spacing w:before="0"/>
        <w:ind w:left="1133" w:right="0" w:firstLine="0"/>
        <w:jc w:val="left"/>
        <w:rPr>
          <w:rFonts w:ascii="宋体" w:hAnsi="宋体" w:cs="宋体" w:eastAsia="宋体" w:hint="default"/>
          <w:sz w:val="20"/>
          <w:szCs w:val="20"/>
        </w:rPr>
      </w:pPr>
      <w:bookmarkStart w:name="（3）本期实际核销的其他应收款情况" w:id="479"/>
      <w:bookmarkEnd w:id="479"/>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）本期实际核销的其他应收款情况</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4）其他应收款按款项性质分类情况" w:id="480"/>
      <w:bookmarkEnd w:id="480"/>
      <w:r>
        <w:rPr/>
      </w: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）其他应收款按款项性质分类情况</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3369"/>
        <w:gridCol w:w="3100"/>
        <w:gridCol w:w="3099"/>
      </w:tblGrid>
      <w:tr>
        <w:trPr>
          <w:trHeight w:val="415" w:hRule="exact"/>
        </w:trPr>
        <w:tc>
          <w:tcPr>
            <w:tcW w:w="33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7" w:hRule="exact"/>
        </w:trPr>
        <w:tc>
          <w:tcPr>
            <w:tcW w:w="3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股权债权转让款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67,500,000.00</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78,750,000.00</w:t>
            </w:r>
          </w:p>
        </w:tc>
      </w:tr>
      <w:tr>
        <w:trPr>
          <w:trHeight w:val="407" w:hRule="exact"/>
        </w:trPr>
        <w:tc>
          <w:tcPr>
            <w:tcW w:w="3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3,549,827.00</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9,386,300.00</w:t>
            </w:r>
          </w:p>
        </w:tc>
      </w:tr>
      <w:tr>
        <w:trPr>
          <w:trHeight w:val="408" w:hRule="exact"/>
        </w:trPr>
        <w:tc>
          <w:tcPr>
            <w:tcW w:w="3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应收租金及保证金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1,131,500.00</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915,010.50</w:t>
            </w:r>
          </w:p>
        </w:tc>
      </w:tr>
      <w:tr>
        <w:trPr>
          <w:trHeight w:val="407" w:hRule="exact"/>
        </w:trPr>
        <w:tc>
          <w:tcPr>
            <w:tcW w:w="3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2,139,015.69</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1,675,739.49</w:t>
            </w:r>
          </w:p>
        </w:tc>
      </w:tr>
      <w:tr>
        <w:trPr>
          <w:trHeight w:val="407" w:hRule="exact"/>
        </w:trPr>
        <w:tc>
          <w:tcPr>
            <w:tcW w:w="3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75,150.00</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422,305.52</w:t>
            </w:r>
          </w:p>
        </w:tc>
      </w:tr>
      <w:tr>
        <w:trPr>
          <w:trHeight w:val="407" w:hRule="exact"/>
        </w:trPr>
        <w:tc>
          <w:tcPr>
            <w:tcW w:w="3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内部关联方往来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6,411,000.00</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7,840.00</w:t>
            </w:r>
          </w:p>
        </w:tc>
      </w:tr>
      <w:tr>
        <w:trPr>
          <w:trHeight w:val="407" w:hRule="exact"/>
        </w:trPr>
        <w:tc>
          <w:tcPr>
            <w:tcW w:w="3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1,075,169.83</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1,137,809.96</w:t>
            </w:r>
          </w:p>
        </w:tc>
      </w:tr>
      <w:tr>
        <w:trPr>
          <w:trHeight w:val="415" w:hRule="exact"/>
        </w:trPr>
        <w:tc>
          <w:tcPr>
            <w:tcW w:w="33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81,881,662.52</w:t>
            </w:r>
          </w:p>
        </w:tc>
        <w:tc>
          <w:tcPr>
            <w:tcW w:w="30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92,295,005.47</w:t>
            </w:r>
          </w:p>
        </w:tc>
      </w:tr>
    </w:tbl>
    <w:p>
      <w:pPr>
        <w:spacing w:line="240" w:lineRule="auto" w:before="8"/>
        <w:rPr>
          <w:rFonts w:ascii="宋体" w:hAnsi="宋体" w:cs="宋体" w:eastAsia="宋体" w:hint="default"/>
          <w:sz w:val="19"/>
          <w:szCs w:val="19"/>
        </w:rPr>
      </w:pPr>
    </w:p>
    <w:p>
      <w:pPr>
        <w:spacing w:before="38"/>
        <w:ind w:left="1134" w:right="0" w:firstLine="0"/>
        <w:jc w:val="left"/>
        <w:rPr>
          <w:rFonts w:ascii="宋体" w:hAnsi="宋体" w:cs="宋体" w:eastAsia="宋体" w:hint="default"/>
          <w:sz w:val="20"/>
          <w:szCs w:val="20"/>
        </w:rPr>
      </w:pPr>
      <w:bookmarkStart w:name="（5）按欠款方归集的期末余额前五名的其他应收款情况" w:id="481"/>
      <w:bookmarkEnd w:id="481"/>
      <w:r>
        <w:rPr/>
      </w:r>
      <w:r>
        <w:rPr>
          <w:rFonts w:ascii="宋体" w:hAnsi="宋体" w:cs="宋体" w:eastAsia="宋体" w:hint="default"/>
          <w:b/>
          <w:bCs/>
          <w:sz w:val="20"/>
          <w:szCs w:val="20"/>
        </w:rPr>
        <w:t>（</w:t>
      </w:r>
      <w:r>
        <w:rPr>
          <w:rFonts w:ascii="宋体" w:hAnsi="宋体" w:cs="宋体" w:eastAsia="宋体" w:hint="default"/>
          <w:b/>
          <w:bCs/>
          <w:sz w:val="20"/>
          <w:szCs w:val="20"/>
        </w:rPr>
        <w:t>5</w:t>
      </w:r>
      <w:r>
        <w:rPr>
          <w:rFonts w:ascii="宋体" w:hAnsi="宋体" w:cs="宋体" w:eastAsia="宋体" w:hint="default"/>
          <w:b/>
          <w:bCs/>
          <w:sz w:val="20"/>
          <w:szCs w:val="20"/>
        </w:rPr>
        <w:t>）按欠款方归集的期末余额前五名的其他应收款情况</w:t>
      </w:r>
      <w:r>
        <w:rPr>
          <w:rFonts w:ascii="宋体" w:hAnsi="宋体" w:cs="宋体" w:eastAsia="宋体" w:hint="default"/>
          <w:sz w:val="20"/>
          <w:szCs w:val="20"/>
        </w:rPr>
      </w:r>
    </w:p>
    <w:p>
      <w:pPr>
        <w:spacing w:line="240" w:lineRule="auto" w:before="9"/>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2837"/>
        <w:gridCol w:w="1134"/>
        <w:gridCol w:w="1417"/>
        <w:gridCol w:w="953"/>
        <w:gridCol w:w="1614"/>
        <w:gridCol w:w="1615"/>
      </w:tblGrid>
      <w:tr>
        <w:trPr>
          <w:trHeight w:val="725" w:hRule="exact"/>
        </w:trPr>
        <w:tc>
          <w:tcPr>
            <w:tcW w:w="28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5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79" w:right="78"/>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20"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光一投资管理有限责任公司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197"/>
              <w:jc w:val="left"/>
              <w:rPr>
                <w:rFonts w:ascii="宋体" w:hAnsi="宋体" w:cs="宋体" w:eastAsia="宋体" w:hint="default"/>
                <w:sz w:val="18"/>
                <w:szCs w:val="18"/>
              </w:rPr>
            </w:pPr>
            <w:r>
              <w:rPr>
                <w:rFonts w:ascii="宋体" w:hAnsi="宋体" w:cs="宋体" w:eastAsia="宋体" w:hint="default"/>
                <w:sz w:val="18"/>
                <w:szCs w:val="18"/>
              </w:rPr>
              <w:t>股权债权转 让款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67,500,000.00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82.44%</w:t>
            </w:r>
          </w:p>
        </w:tc>
        <w:tc>
          <w:tcPr>
            <w:tcW w:w="161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5,000,000.00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6.11%</w:t>
            </w:r>
          </w:p>
        </w:tc>
        <w:tc>
          <w:tcPr>
            <w:tcW w:w="161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2,000,000.00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2.44%</w:t>
            </w:r>
          </w:p>
        </w:tc>
        <w:tc>
          <w:tcPr>
            <w:tcW w:w="16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60,000.00</w:t>
            </w:r>
          </w:p>
        </w:tc>
      </w:tr>
      <w:tr>
        <w:trPr>
          <w:trHeight w:val="415" w:hRule="exact"/>
        </w:trPr>
        <w:tc>
          <w:tcPr>
            <w:tcW w:w="283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南京智友尚云信息技术有限公司</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1,411,000.00</w:t>
            </w:r>
          </w:p>
        </w:tc>
        <w:tc>
          <w:tcPr>
            <w:tcW w:w="9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1.72%</w:t>
            </w:r>
          </w:p>
        </w:tc>
        <w:tc>
          <w:tcPr>
            <w:tcW w:w="1615"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2837"/>
        <w:gridCol w:w="1134"/>
        <w:gridCol w:w="1417"/>
        <w:gridCol w:w="953"/>
        <w:gridCol w:w="1614"/>
        <w:gridCol w:w="1615"/>
      </w:tblGrid>
      <w:tr>
        <w:trPr>
          <w:trHeight w:val="415" w:hRule="exact"/>
        </w:trPr>
        <w:tc>
          <w:tcPr>
            <w:tcW w:w="283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江苏凯斯奇能源科技有限公司</w:t>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应收房租</w:t>
            </w:r>
          </w:p>
        </w:tc>
        <w:tc>
          <w:tcPr>
            <w:tcW w:w="14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892,500.00</w:t>
            </w:r>
          </w:p>
        </w:tc>
        <w:tc>
          <w:tcPr>
            <w:tcW w:w="9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1.09%</w:t>
            </w:r>
          </w:p>
        </w:tc>
        <w:tc>
          <w:tcPr>
            <w:tcW w:w="161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26,775.00</w:t>
            </w:r>
          </w:p>
        </w:tc>
      </w:tr>
      <w:tr>
        <w:trPr>
          <w:trHeight w:val="414" w:hRule="exact"/>
        </w:trPr>
        <w:tc>
          <w:tcPr>
            <w:tcW w:w="283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76,803,500.00</w:t>
            </w:r>
          </w:p>
        </w:tc>
        <w:tc>
          <w:tcPr>
            <w:tcW w:w="95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16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93.80%</w:t>
            </w:r>
          </w:p>
        </w:tc>
        <w:tc>
          <w:tcPr>
            <w:tcW w:w="16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86,775.00</w:t>
            </w:r>
          </w:p>
        </w:tc>
      </w:tr>
    </w:tbl>
    <w:p>
      <w:pPr>
        <w:spacing w:before="72"/>
        <w:ind w:left="1134" w:right="0" w:firstLine="0"/>
        <w:jc w:val="left"/>
        <w:rPr>
          <w:rFonts w:ascii="宋体" w:hAnsi="宋体" w:cs="宋体" w:eastAsia="宋体" w:hint="default"/>
          <w:sz w:val="20"/>
          <w:szCs w:val="20"/>
        </w:rPr>
      </w:pPr>
      <w:bookmarkStart w:name="（6）涉及政府补助的应收款项" w:id="482"/>
      <w:bookmarkEnd w:id="482"/>
      <w:r>
        <w:rPr/>
      </w:r>
      <w:r>
        <w:rPr>
          <w:rFonts w:ascii="宋体" w:hAnsi="宋体" w:cs="宋体" w:eastAsia="宋体" w:hint="default"/>
          <w:b/>
          <w:bCs/>
          <w:sz w:val="20"/>
          <w:szCs w:val="20"/>
        </w:rPr>
        <w:t>（</w:t>
      </w:r>
      <w:r>
        <w:rPr>
          <w:rFonts w:ascii="宋体" w:hAnsi="宋体" w:cs="宋体" w:eastAsia="宋体" w:hint="default"/>
          <w:b/>
          <w:bCs/>
          <w:sz w:val="20"/>
          <w:szCs w:val="20"/>
        </w:rPr>
        <w:t>6</w:t>
      </w:r>
      <w:r>
        <w:rPr>
          <w:rFonts w:ascii="宋体" w:hAnsi="宋体" w:cs="宋体" w:eastAsia="宋体" w:hint="default"/>
          <w:b/>
          <w:bCs/>
          <w:sz w:val="20"/>
          <w:szCs w:val="20"/>
        </w:rPr>
        <w:t>）涉及政府补助的应收款项</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7）因金融资产转移而终止确认的其他应收款" w:id="483"/>
      <w:bookmarkEnd w:id="483"/>
      <w:r>
        <w:rPr/>
      </w:r>
      <w:r>
        <w:rPr>
          <w:rFonts w:ascii="宋体" w:hAnsi="宋体" w:cs="宋体" w:eastAsia="宋体" w:hint="default"/>
          <w:b/>
          <w:bCs/>
          <w:sz w:val="20"/>
          <w:szCs w:val="20"/>
        </w:rPr>
        <w:t>（</w:t>
      </w:r>
      <w:r>
        <w:rPr>
          <w:rFonts w:ascii="宋体" w:hAnsi="宋体" w:cs="宋体" w:eastAsia="宋体" w:hint="default"/>
          <w:b/>
          <w:bCs/>
          <w:sz w:val="20"/>
          <w:szCs w:val="20"/>
        </w:rPr>
        <w:t>7</w:t>
      </w:r>
      <w:r>
        <w:rPr>
          <w:rFonts w:ascii="宋体" w:hAnsi="宋体" w:cs="宋体" w:eastAsia="宋体" w:hint="default"/>
          <w:b/>
          <w:bCs/>
          <w:sz w:val="20"/>
          <w:szCs w:val="20"/>
        </w:rPr>
        <w:t>）因金融资产转移而终止确认的其他应收款</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8）转移其他应收款且继续涉入形成的资产、负债金额" w:id="484"/>
      <w:bookmarkEnd w:id="484"/>
      <w:r>
        <w:rPr/>
      </w:r>
      <w:r>
        <w:rPr>
          <w:rFonts w:ascii="宋体" w:hAnsi="宋体" w:cs="宋体" w:eastAsia="宋体" w:hint="default"/>
          <w:b/>
          <w:bCs/>
          <w:sz w:val="20"/>
          <w:szCs w:val="20"/>
        </w:rPr>
        <w:t>（</w:t>
      </w:r>
      <w:r>
        <w:rPr>
          <w:rFonts w:ascii="宋体" w:hAnsi="宋体" w:cs="宋体" w:eastAsia="宋体" w:hint="default"/>
          <w:b/>
          <w:bCs/>
          <w:sz w:val="20"/>
          <w:szCs w:val="20"/>
        </w:rPr>
        <w:t>8</w:t>
      </w:r>
      <w:r>
        <w:rPr>
          <w:rFonts w:ascii="宋体" w:hAnsi="宋体" w:cs="宋体" w:eastAsia="宋体" w:hint="default"/>
          <w:b/>
          <w:bCs/>
          <w:sz w:val="20"/>
          <w:szCs w:val="20"/>
        </w:rPr>
        <w:t>）转移其他应收款且继续涉入形成的资产、负债金额</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3、长期股权投资" w:id="485"/>
      <w:bookmarkEnd w:id="485"/>
      <w:r>
        <w:rPr/>
      </w:r>
      <w:r>
        <w:rPr>
          <w:rFonts w:ascii="宋体" w:hAnsi="宋体" w:cs="宋体" w:eastAsia="宋体" w:hint="default"/>
          <w:b/>
          <w:bCs/>
          <w:sz w:val="20"/>
          <w:szCs w:val="20"/>
        </w:rPr>
        <w:t>3</w:t>
      </w:r>
      <w:r>
        <w:rPr>
          <w:rFonts w:ascii="宋体" w:hAnsi="宋体" w:cs="宋体" w:eastAsia="宋体" w:hint="default"/>
          <w:b/>
          <w:bCs/>
          <w:sz w:val="20"/>
          <w:szCs w:val="20"/>
        </w:rPr>
        <w:t>、长期股权投资</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1352"/>
        <w:gridCol w:w="1378"/>
        <w:gridCol w:w="1367"/>
        <w:gridCol w:w="1367"/>
        <w:gridCol w:w="1368"/>
        <w:gridCol w:w="1367"/>
        <w:gridCol w:w="1366"/>
      </w:tblGrid>
      <w:tr>
        <w:trPr>
          <w:trHeight w:val="219" w:hRule="exact"/>
        </w:trPr>
        <w:tc>
          <w:tcPr>
            <w:tcW w:w="135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4112" w:type="dxa"/>
            <w:gridSpan w:val="3"/>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2"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vMerge/>
            <w:tcBorders>
              <w:left w:val="single" w:sz="6" w:space="0" w:color="000000"/>
              <w:bottom w:val="single" w:sz="6" w:space="0" w:color="000000"/>
              <w:right w:val="single" w:sz="6" w:space="0" w:color="000000"/>
            </w:tcBorders>
            <w:shd w:val="clear" w:color="auto" w:fill="D2D2D2"/>
          </w:tcPr>
          <w:p>
            <w:pPr/>
          </w:p>
        </w:tc>
        <w:tc>
          <w:tcPr>
            <w:tcW w:w="4101" w:type="dxa"/>
            <w:gridSpan w:val="3"/>
            <w:vMerge/>
            <w:tcBorders>
              <w:left w:val="single" w:sz="6" w:space="0" w:color="000000"/>
              <w:bottom w:val="single" w:sz="6" w:space="0" w:color="000000"/>
              <w:right w:val="single" w:sz="12" w:space="0" w:color="000000"/>
            </w:tcBorders>
            <w:shd w:val="clear" w:color="auto" w:fill="D2D2D2"/>
          </w:tcPr>
          <w:p>
            <w:pPr/>
          </w:p>
        </w:tc>
      </w:tr>
      <w:tr>
        <w:trPr>
          <w:trHeight w:val="196" w:hRule="exact"/>
        </w:trPr>
        <w:tc>
          <w:tcPr>
            <w:tcW w:w="1352" w:type="dxa"/>
            <w:vMerge/>
            <w:tcBorders>
              <w:left w:val="single" w:sz="12" w:space="0" w:color="000000"/>
              <w:bottom w:val="nil" w:sz="6" w:space="0" w:color="auto"/>
              <w:right w:val="single" w:sz="6" w:space="0" w:color="000000"/>
            </w:tcBorders>
            <w:shd w:val="clear" w:color="auto" w:fill="D2D2D2"/>
          </w:tcPr>
          <w:p>
            <w:pPr/>
          </w:p>
        </w:tc>
        <w:tc>
          <w:tcPr>
            <w:tcW w:w="137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0" w:hRule="exact"/>
        </w:trPr>
        <w:tc>
          <w:tcPr>
            <w:tcW w:w="1352" w:type="dxa"/>
            <w:tcBorders>
              <w:top w:val="nil" w:sz="6" w:space="0" w:color="auto"/>
              <w:left w:val="single" w:sz="12" w:space="0" w:color="000000"/>
              <w:bottom w:val="single" w:sz="6" w:space="0" w:color="000000"/>
              <w:right w:val="single" w:sz="6" w:space="0" w:color="000000"/>
            </w:tcBorders>
            <w:shd w:val="clear" w:color="auto" w:fill="D2D2D2"/>
          </w:tcPr>
          <w:p>
            <w:pPr/>
          </w:p>
        </w:tc>
        <w:tc>
          <w:tcPr>
            <w:tcW w:w="1378"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8"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809,209,976.16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54" w:right="0"/>
              <w:jc w:val="center"/>
              <w:rPr>
                <w:rFonts w:ascii="宋体" w:hAnsi="宋体" w:cs="宋体" w:eastAsia="宋体" w:hint="default"/>
                <w:sz w:val="18"/>
                <w:szCs w:val="18"/>
              </w:rPr>
            </w:pPr>
            <w:r>
              <w:rPr>
                <w:rFonts w:ascii="宋体"/>
                <w:sz w:val="18"/>
              </w:rPr>
              <w:t>809,209,976.16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52" w:right="0"/>
              <w:jc w:val="center"/>
              <w:rPr>
                <w:rFonts w:ascii="宋体" w:hAnsi="宋体" w:cs="宋体" w:eastAsia="宋体" w:hint="default"/>
                <w:sz w:val="18"/>
                <w:szCs w:val="18"/>
              </w:rPr>
            </w:pPr>
            <w:r>
              <w:rPr>
                <w:rFonts w:ascii="宋体"/>
                <w:sz w:val="18"/>
              </w:rPr>
              <w:t>768,109,976.16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60" w:right="0"/>
              <w:jc w:val="center"/>
              <w:rPr>
                <w:rFonts w:ascii="宋体" w:hAnsi="宋体" w:cs="宋体" w:eastAsia="宋体" w:hint="default"/>
                <w:sz w:val="18"/>
                <w:szCs w:val="18"/>
              </w:rPr>
            </w:pPr>
            <w:r>
              <w:rPr>
                <w:rFonts w:ascii="宋体"/>
                <w:sz w:val="18"/>
              </w:rPr>
              <w:t>768,109,976.16</w:t>
            </w:r>
          </w:p>
        </w:tc>
      </w:tr>
      <w:tr>
        <w:trPr>
          <w:trHeight w:val="720"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61"/>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21,953,574.83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4" w:right="0"/>
              <w:jc w:val="center"/>
              <w:rPr>
                <w:rFonts w:ascii="宋体" w:hAnsi="宋体" w:cs="宋体" w:eastAsia="宋体" w:hint="default"/>
                <w:sz w:val="18"/>
                <w:szCs w:val="18"/>
              </w:rPr>
            </w:pPr>
            <w:r>
              <w:rPr>
                <w:rFonts w:ascii="宋体"/>
                <w:sz w:val="18"/>
              </w:rPr>
              <w:t>21,953,574.83</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35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831,163,550.99</w:t>
            </w:r>
          </w:p>
        </w:tc>
        <w:tc>
          <w:tcPr>
            <w:tcW w:w="1367" w:type="dxa"/>
            <w:tcBorders>
              <w:top w:val="single" w:sz="6" w:space="0" w:color="000000"/>
              <w:left w:val="single" w:sz="6" w:space="0" w:color="000000"/>
              <w:bottom w:val="single" w:sz="12" w:space="0" w:color="000000"/>
              <w:right w:val="single" w:sz="6" w:space="0" w:color="000000"/>
            </w:tcBorders>
          </w:tcPr>
          <w:p>
            <w:pP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54" w:right="0"/>
              <w:jc w:val="center"/>
              <w:rPr>
                <w:rFonts w:ascii="宋体" w:hAnsi="宋体" w:cs="宋体" w:eastAsia="宋体" w:hint="default"/>
                <w:sz w:val="18"/>
                <w:szCs w:val="18"/>
              </w:rPr>
            </w:pPr>
            <w:r>
              <w:rPr>
                <w:rFonts w:ascii="宋体"/>
                <w:sz w:val="18"/>
              </w:rPr>
              <w:t>831,163,550.99</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768,109,976.16</w:t>
            </w:r>
          </w:p>
        </w:tc>
        <w:tc>
          <w:tcPr>
            <w:tcW w:w="1367"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60" w:right="0"/>
              <w:jc w:val="center"/>
              <w:rPr>
                <w:rFonts w:ascii="宋体" w:hAnsi="宋体" w:cs="宋体" w:eastAsia="宋体" w:hint="default"/>
                <w:sz w:val="18"/>
                <w:szCs w:val="18"/>
              </w:rPr>
            </w:pPr>
            <w:r>
              <w:rPr>
                <w:rFonts w:ascii="宋体"/>
                <w:sz w:val="18"/>
              </w:rPr>
              <w:t>768,109,976.16</w:t>
            </w:r>
          </w:p>
        </w:tc>
      </w:tr>
    </w:tbl>
    <w:p>
      <w:pPr>
        <w:spacing w:before="73"/>
        <w:ind w:left="1134" w:right="0" w:firstLine="0"/>
        <w:jc w:val="left"/>
        <w:rPr>
          <w:rFonts w:ascii="宋体" w:hAnsi="宋体" w:cs="宋体" w:eastAsia="宋体" w:hint="default"/>
          <w:sz w:val="20"/>
          <w:szCs w:val="20"/>
        </w:rPr>
      </w:pPr>
      <w:bookmarkStart w:name="（1）对子公司投资" w:id="486"/>
      <w:bookmarkEnd w:id="486"/>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）对子公司投资</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1448"/>
        <w:gridCol w:w="1336"/>
        <w:gridCol w:w="1336"/>
        <w:gridCol w:w="1334"/>
        <w:gridCol w:w="1336"/>
        <w:gridCol w:w="1389"/>
        <w:gridCol w:w="1389"/>
      </w:tblGrid>
      <w:tr>
        <w:trPr>
          <w:trHeight w:val="727" w:hRule="exact"/>
        </w:trPr>
        <w:tc>
          <w:tcPr>
            <w:tcW w:w="144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596" w:right="57"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9" w:lineRule="auto" w:before="51"/>
              <w:ind w:left="597" w:right="47"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9" w:hRule="exact"/>
        </w:trPr>
        <w:tc>
          <w:tcPr>
            <w:tcW w:w="144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150"/>
              <w:jc w:val="left"/>
              <w:rPr>
                <w:rFonts w:ascii="宋体" w:hAnsi="宋体" w:cs="宋体" w:eastAsia="宋体" w:hint="default"/>
                <w:sz w:val="18"/>
                <w:szCs w:val="18"/>
              </w:rPr>
            </w:pPr>
            <w:r>
              <w:rPr>
                <w:rFonts w:ascii="宋体" w:hAnsi="宋体" w:cs="宋体" w:eastAsia="宋体" w:hint="default"/>
                <w:sz w:val="18"/>
                <w:szCs w:val="18"/>
              </w:rPr>
              <w:t>江苏苏源光一科 技有限公司</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29,638,200.00</w:t>
            </w:r>
          </w:p>
        </w:tc>
        <w:tc>
          <w:tcPr>
            <w:tcW w:w="1336"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29,638,200.00</w:t>
            </w:r>
          </w:p>
        </w:tc>
        <w:tc>
          <w:tcPr>
            <w:tcW w:w="1389" w:type="dxa"/>
            <w:tcBorders>
              <w:top w:val="single" w:sz="6" w:space="0" w:color="000000"/>
              <w:left w:val="single" w:sz="6" w:space="0" w:color="000000"/>
              <w:bottom w:val="single" w:sz="6" w:space="0" w:color="000000"/>
              <w:right w:val="single" w:sz="6" w:space="0" w:color="000000"/>
            </w:tcBorders>
          </w:tcPr>
          <w:p>
            <w:pPr/>
          </w:p>
        </w:tc>
        <w:tc>
          <w:tcPr>
            <w:tcW w:w="1389"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44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150"/>
              <w:jc w:val="left"/>
              <w:rPr>
                <w:rFonts w:ascii="宋体" w:hAnsi="宋体" w:cs="宋体" w:eastAsia="宋体" w:hint="default"/>
                <w:sz w:val="18"/>
                <w:szCs w:val="18"/>
              </w:rPr>
            </w:pPr>
            <w:r>
              <w:rPr>
                <w:rFonts w:ascii="宋体" w:hAnsi="宋体" w:cs="宋体" w:eastAsia="宋体" w:hint="default"/>
                <w:sz w:val="18"/>
                <w:szCs w:val="18"/>
              </w:rPr>
              <w:t>湖北索瑞电气有 限公司</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724,031,776.16</w:t>
            </w:r>
          </w:p>
        </w:tc>
        <w:tc>
          <w:tcPr>
            <w:tcW w:w="1336"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724,031,776.16</w:t>
            </w:r>
          </w:p>
        </w:tc>
        <w:tc>
          <w:tcPr>
            <w:tcW w:w="1389" w:type="dxa"/>
            <w:tcBorders>
              <w:top w:val="single" w:sz="6" w:space="0" w:color="000000"/>
              <w:left w:val="single" w:sz="6" w:space="0" w:color="000000"/>
              <w:bottom w:val="single" w:sz="6" w:space="0" w:color="000000"/>
              <w:right w:val="single" w:sz="6" w:space="0" w:color="000000"/>
            </w:tcBorders>
          </w:tcPr>
          <w:p>
            <w:pPr/>
          </w:p>
        </w:tc>
        <w:tc>
          <w:tcPr>
            <w:tcW w:w="1389"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44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150"/>
              <w:jc w:val="left"/>
              <w:rPr>
                <w:rFonts w:ascii="宋体" w:hAnsi="宋体" w:cs="宋体" w:eastAsia="宋体" w:hint="default"/>
                <w:sz w:val="18"/>
                <w:szCs w:val="18"/>
              </w:rPr>
            </w:pPr>
            <w:r>
              <w:rPr>
                <w:rFonts w:ascii="宋体" w:hAnsi="宋体" w:cs="宋体" w:eastAsia="宋体" w:hint="default"/>
                <w:sz w:val="18"/>
                <w:szCs w:val="18"/>
              </w:rPr>
              <w:t>南京云商天下信 息技术有限公司</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11,440,000.00</w:t>
            </w:r>
          </w:p>
        </w:tc>
        <w:tc>
          <w:tcPr>
            <w:tcW w:w="1336"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11,440,000.00</w:t>
            </w:r>
          </w:p>
        </w:tc>
        <w:tc>
          <w:tcPr>
            <w:tcW w:w="1389" w:type="dxa"/>
            <w:tcBorders>
              <w:top w:val="single" w:sz="6" w:space="0" w:color="000000"/>
              <w:left w:val="single" w:sz="6" w:space="0" w:color="000000"/>
              <w:bottom w:val="single" w:sz="6" w:space="0" w:color="000000"/>
              <w:right w:val="single" w:sz="6" w:space="0" w:color="000000"/>
            </w:tcBorders>
          </w:tcPr>
          <w:p>
            <w:pPr/>
          </w:p>
        </w:tc>
        <w:tc>
          <w:tcPr>
            <w:tcW w:w="1389"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44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3" w:right="150"/>
              <w:jc w:val="left"/>
              <w:rPr>
                <w:rFonts w:ascii="宋体" w:hAnsi="宋体" w:cs="宋体" w:eastAsia="宋体" w:hint="default"/>
                <w:sz w:val="18"/>
                <w:szCs w:val="18"/>
              </w:rPr>
            </w:pPr>
            <w:r>
              <w:rPr>
                <w:rFonts w:ascii="宋体" w:hAnsi="宋体" w:cs="宋体" w:eastAsia="宋体" w:hint="default"/>
                <w:sz w:val="18"/>
                <w:szCs w:val="18"/>
              </w:rPr>
              <w:t>南京智友尚云信 息技术有限公司</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3,000,000.00</w:t>
            </w:r>
          </w:p>
        </w:tc>
        <w:tc>
          <w:tcPr>
            <w:tcW w:w="1336"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3,000,000.00</w:t>
            </w:r>
          </w:p>
        </w:tc>
        <w:tc>
          <w:tcPr>
            <w:tcW w:w="1389" w:type="dxa"/>
            <w:tcBorders>
              <w:top w:val="single" w:sz="6" w:space="0" w:color="000000"/>
              <w:left w:val="single" w:sz="6" w:space="0" w:color="000000"/>
              <w:bottom w:val="single" w:sz="6" w:space="0" w:color="000000"/>
              <w:right w:val="single" w:sz="6" w:space="0" w:color="000000"/>
            </w:tcBorders>
          </w:tcPr>
          <w:p>
            <w:pPr/>
          </w:p>
        </w:tc>
        <w:tc>
          <w:tcPr>
            <w:tcW w:w="1389" w:type="dxa"/>
            <w:tcBorders>
              <w:top w:val="single" w:sz="6" w:space="0" w:color="000000"/>
              <w:left w:val="single" w:sz="6" w:space="0" w:color="000000"/>
              <w:bottom w:val="single" w:sz="6" w:space="0" w:color="000000"/>
              <w:right w:val="single" w:sz="12" w:space="0" w:color="000000"/>
            </w:tcBorders>
          </w:tcPr>
          <w:p>
            <w:pPr/>
          </w:p>
        </w:tc>
      </w:tr>
      <w:tr>
        <w:trPr>
          <w:trHeight w:val="1031" w:hRule="exact"/>
        </w:trPr>
        <w:tc>
          <w:tcPr>
            <w:tcW w:w="1448"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150"/>
              <w:jc w:val="both"/>
              <w:rPr>
                <w:rFonts w:ascii="宋体" w:hAnsi="宋体" w:cs="宋体" w:eastAsia="宋体" w:hint="default"/>
                <w:sz w:val="18"/>
                <w:szCs w:val="18"/>
              </w:rPr>
            </w:pPr>
            <w:r>
              <w:rPr>
                <w:rFonts w:ascii="宋体" w:hAnsi="宋体" w:cs="宋体" w:eastAsia="宋体" w:hint="default"/>
                <w:sz w:val="18"/>
                <w:szCs w:val="18"/>
              </w:rPr>
              <w:t>江苏光一贵仁股 权投资基金管理 有限公司</w:t>
            </w:r>
          </w:p>
        </w:tc>
        <w:tc>
          <w:tcPr>
            <w:tcW w:w="1336"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100,000.00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100,000.00</w:t>
            </w:r>
          </w:p>
        </w:tc>
        <w:tc>
          <w:tcPr>
            <w:tcW w:w="1389" w:type="dxa"/>
            <w:tcBorders>
              <w:top w:val="single" w:sz="6" w:space="0" w:color="000000"/>
              <w:left w:val="single" w:sz="6" w:space="0" w:color="000000"/>
              <w:bottom w:val="single" w:sz="6" w:space="0" w:color="000000"/>
              <w:right w:val="single" w:sz="6" w:space="0" w:color="000000"/>
            </w:tcBorders>
          </w:tcPr>
          <w:p>
            <w:pPr/>
          </w:p>
        </w:tc>
        <w:tc>
          <w:tcPr>
            <w:tcW w:w="1389"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448"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150"/>
              <w:jc w:val="left"/>
              <w:rPr>
                <w:rFonts w:ascii="宋体" w:hAnsi="宋体" w:cs="宋体" w:eastAsia="宋体" w:hint="default"/>
                <w:sz w:val="18"/>
                <w:szCs w:val="18"/>
              </w:rPr>
            </w:pPr>
            <w:r>
              <w:rPr>
                <w:rFonts w:ascii="宋体" w:hAnsi="宋体" w:cs="宋体" w:eastAsia="宋体" w:hint="default"/>
                <w:sz w:val="18"/>
                <w:szCs w:val="18"/>
              </w:rPr>
              <w:t>江苏德能电气工 程有限公司</w:t>
            </w:r>
          </w:p>
        </w:tc>
        <w:tc>
          <w:tcPr>
            <w:tcW w:w="1336"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12,000,000.00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12,000,000.00</w:t>
            </w:r>
          </w:p>
        </w:tc>
        <w:tc>
          <w:tcPr>
            <w:tcW w:w="1389" w:type="dxa"/>
            <w:tcBorders>
              <w:top w:val="single" w:sz="6" w:space="0" w:color="000000"/>
              <w:left w:val="single" w:sz="6" w:space="0" w:color="000000"/>
              <w:bottom w:val="single" w:sz="6" w:space="0" w:color="000000"/>
              <w:right w:val="single" w:sz="6" w:space="0" w:color="000000"/>
            </w:tcBorders>
          </w:tcPr>
          <w:p>
            <w:pPr/>
          </w:p>
        </w:tc>
        <w:tc>
          <w:tcPr>
            <w:tcW w:w="1389" w:type="dxa"/>
            <w:tcBorders>
              <w:top w:val="single" w:sz="6" w:space="0" w:color="000000"/>
              <w:left w:val="single" w:sz="6" w:space="0" w:color="000000"/>
              <w:bottom w:val="single" w:sz="6" w:space="0" w:color="000000"/>
              <w:right w:val="single" w:sz="12" w:space="0" w:color="000000"/>
            </w:tcBorders>
          </w:tcPr>
          <w:p>
            <w:pPr/>
          </w:p>
        </w:tc>
      </w:tr>
      <w:tr>
        <w:trPr>
          <w:trHeight w:val="727" w:hRule="exact"/>
        </w:trPr>
        <w:tc>
          <w:tcPr>
            <w:tcW w:w="1448"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52"/>
              <w:ind w:left="13" w:right="150"/>
              <w:jc w:val="left"/>
              <w:rPr>
                <w:rFonts w:ascii="宋体" w:hAnsi="宋体" w:cs="宋体" w:eastAsia="宋体" w:hint="default"/>
                <w:sz w:val="18"/>
                <w:szCs w:val="18"/>
              </w:rPr>
            </w:pPr>
            <w:r>
              <w:rPr>
                <w:rFonts w:ascii="宋体" w:hAnsi="宋体" w:cs="宋体" w:eastAsia="宋体" w:hint="default"/>
                <w:sz w:val="18"/>
                <w:szCs w:val="18"/>
              </w:rPr>
              <w:t>江苏德能电力设 计咨询有限公司</w:t>
            </w:r>
          </w:p>
        </w:tc>
        <w:tc>
          <w:tcPr>
            <w:tcW w:w="1336" w:type="dxa"/>
            <w:tcBorders>
              <w:top w:val="single" w:sz="6" w:space="0" w:color="000000"/>
              <w:left w:val="single" w:sz="6" w:space="0" w:color="000000"/>
              <w:bottom w:val="single" w:sz="12" w:space="0" w:color="000000"/>
              <w:right w:val="single" w:sz="6" w:space="0" w:color="000000"/>
            </w:tcBorders>
          </w:tcPr>
          <w:p>
            <w:pPr/>
          </w:p>
        </w:tc>
        <w:tc>
          <w:tcPr>
            <w:tcW w:w="13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29,000,000.00</w:t>
            </w:r>
          </w:p>
        </w:tc>
        <w:tc>
          <w:tcPr>
            <w:tcW w:w="1334" w:type="dxa"/>
            <w:tcBorders>
              <w:top w:val="single" w:sz="6" w:space="0" w:color="000000"/>
              <w:left w:val="single" w:sz="6" w:space="0" w:color="000000"/>
              <w:bottom w:val="single" w:sz="12" w:space="0" w:color="000000"/>
              <w:right w:val="single" w:sz="6" w:space="0" w:color="000000"/>
            </w:tcBorders>
          </w:tcPr>
          <w:p>
            <w:pPr/>
          </w:p>
        </w:tc>
        <w:tc>
          <w:tcPr>
            <w:tcW w:w="13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29,000,000.00</w:t>
            </w:r>
          </w:p>
        </w:tc>
        <w:tc>
          <w:tcPr>
            <w:tcW w:w="1389" w:type="dxa"/>
            <w:tcBorders>
              <w:top w:val="single" w:sz="6" w:space="0" w:color="000000"/>
              <w:left w:val="single" w:sz="6" w:space="0" w:color="000000"/>
              <w:bottom w:val="single" w:sz="12" w:space="0" w:color="000000"/>
              <w:right w:val="single" w:sz="6" w:space="0" w:color="000000"/>
            </w:tcBorders>
          </w:tcPr>
          <w:p>
            <w:pPr/>
          </w:p>
        </w:tc>
        <w:tc>
          <w:tcPr>
            <w:tcW w:w="138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1437"/>
        <w:gridCol w:w="1346"/>
        <w:gridCol w:w="1336"/>
        <w:gridCol w:w="1334"/>
        <w:gridCol w:w="1336"/>
        <w:gridCol w:w="1389"/>
        <w:gridCol w:w="1389"/>
      </w:tblGrid>
      <w:tr>
        <w:trPr>
          <w:trHeight w:val="422" w:hRule="exact"/>
        </w:trPr>
        <w:tc>
          <w:tcPr>
            <w:tcW w:w="1437"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6" w:type="dxa"/>
            <w:tcBorders>
              <w:top w:val="single" w:sz="12" w:space="0" w:color="000000"/>
              <w:left w:val="single" w:sz="9" w:space="0" w:color="D2D2D2"/>
              <w:bottom w:val="single" w:sz="12" w:space="0" w:color="000000"/>
              <w:right w:val="single" w:sz="6" w:space="0" w:color="000000"/>
            </w:tcBorders>
          </w:tcPr>
          <w:p>
            <w:pPr>
              <w:pStyle w:val="TableParagraph"/>
              <w:spacing w:line="240" w:lineRule="auto" w:before="51"/>
              <w:ind w:left="48" w:right="0"/>
              <w:jc w:val="left"/>
              <w:rPr>
                <w:rFonts w:ascii="宋体" w:hAnsi="宋体" w:cs="宋体" w:eastAsia="宋体" w:hint="default"/>
                <w:sz w:val="18"/>
                <w:szCs w:val="18"/>
              </w:rPr>
            </w:pPr>
            <w:r>
              <w:rPr>
                <w:rFonts w:ascii="宋体"/>
                <w:sz w:val="18"/>
              </w:rPr>
              <w:t>768,109,976.16</w:t>
            </w:r>
          </w:p>
        </w:tc>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130" w:right="0"/>
              <w:jc w:val="left"/>
              <w:rPr>
                <w:rFonts w:ascii="宋体" w:hAnsi="宋体" w:cs="宋体" w:eastAsia="宋体" w:hint="default"/>
                <w:sz w:val="18"/>
                <w:szCs w:val="18"/>
              </w:rPr>
            </w:pPr>
            <w:r>
              <w:rPr>
                <w:rFonts w:ascii="宋体"/>
                <w:sz w:val="18"/>
              </w:rPr>
              <w:t>41,100,000.00</w:t>
            </w:r>
          </w:p>
        </w:tc>
        <w:tc>
          <w:tcPr>
            <w:tcW w:w="1334" w:type="dxa"/>
            <w:tcBorders>
              <w:top w:val="single" w:sz="12" w:space="0" w:color="000000"/>
              <w:left w:val="single" w:sz="6" w:space="0" w:color="000000"/>
              <w:bottom w:val="single" w:sz="12" w:space="0" w:color="000000"/>
              <w:right w:val="single" w:sz="6" w:space="0" w:color="000000"/>
            </w:tcBorders>
          </w:tcPr>
          <w:p>
            <w:pPr/>
          </w:p>
        </w:tc>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sz w:val="18"/>
              </w:rPr>
              <w:t>809,209,976.16</w:t>
            </w:r>
          </w:p>
        </w:tc>
        <w:tc>
          <w:tcPr>
            <w:tcW w:w="1389" w:type="dxa"/>
            <w:tcBorders>
              <w:top w:val="single" w:sz="12" w:space="0" w:color="000000"/>
              <w:left w:val="single" w:sz="6" w:space="0" w:color="000000"/>
              <w:bottom w:val="single" w:sz="12" w:space="0" w:color="000000"/>
              <w:right w:val="single" w:sz="6" w:space="0" w:color="000000"/>
            </w:tcBorders>
          </w:tcPr>
          <w:p>
            <w:pPr/>
          </w:p>
        </w:tc>
        <w:tc>
          <w:tcPr>
            <w:tcW w:w="1389" w:type="dxa"/>
            <w:tcBorders>
              <w:top w:val="single" w:sz="12" w:space="0" w:color="000000"/>
              <w:left w:val="single" w:sz="6" w:space="0" w:color="000000"/>
              <w:bottom w:val="single" w:sz="12" w:space="0" w:color="000000"/>
              <w:right w:val="single" w:sz="12" w:space="0" w:color="000000"/>
            </w:tcBorders>
          </w:tcPr>
          <w:p>
            <w:pPr/>
          </w:p>
        </w:tc>
      </w:tr>
    </w:tbl>
    <w:p>
      <w:pPr>
        <w:spacing w:before="72"/>
        <w:ind w:left="1134" w:right="0" w:firstLine="0"/>
        <w:jc w:val="left"/>
        <w:rPr>
          <w:rFonts w:ascii="宋体" w:hAnsi="宋体" w:cs="宋体" w:eastAsia="宋体" w:hint="default"/>
          <w:sz w:val="20"/>
          <w:szCs w:val="20"/>
        </w:rPr>
      </w:pPr>
      <w:bookmarkStart w:name="（2）对联营、合营企业投资" w:id="487"/>
      <w:bookmarkEnd w:id="487"/>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）对联营、合营企业投资</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267" w:type="dxa"/>
        <w:tblLayout w:type="fixed"/>
        <w:tblCellMar>
          <w:top w:w="0" w:type="dxa"/>
          <w:left w:w="0" w:type="dxa"/>
          <w:bottom w:w="0" w:type="dxa"/>
          <w:right w:w="0" w:type="dxa"/>
        </w:tblCellMar>
        <w:tblLook w:val="01E0"/>
      </w:tblPr>
      <w:tblGrid>
        <w:gridCol w:w="1419"/>
        <w:gridCol w:w="851"/>
        <w:gridCol w:w="1276"/>
        <w:gridCol w:w="494"/>
        <w:gridCol w:w="1348"/>
        <w:gridCol w:w="709"/>
        <w:gridCol w:w="709"/>
        <w:gridCol w:w="850"/>
        <w:gridCol w:w="780"/>
        <w:gridCol w:w="780"/>
        <w:gridCol w:w="1276"/>
        <w:gridCol w:w="851"/>
      </w:tblGrid>
      <w:tr>
        <w:trPr>
          <w:trHeight w:val="415" w:hRule="exact"/>
        </w:trPr>
        <w:tc>
          <w:tcPr>
            <w:tcW w:w="1419"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851"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946" w:type="dxa"/>
            <w:gridSpan w:val="8"/>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76"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1"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57" w:right="48"/>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31" w:hRule="exact"/>
        </w:trPr>
        <w:tc>
          <w:tcPr>
            <w:tcW w:w="1419" w:type="dxa"/>
            <w:vMerge/>
            <w:tcBorders>
              <w:left w:val="single" w:sz="12" w:space="0" w:color="000000"/>
              <w:bottom w:val="single" w:sz="6" w:space="0" w:color="000000"/>
              <w:right w:val="single" w:sz="6" w:space="0" w:color="000000"/>
            </w:tcBorders>
            <w:shd w:val="clear" w:color="auto" w:fill="D2D2D2"/>
          </w:tcPr>
          <w:p>
            <w:pPr/>
          </w:p>
        </w:tc>
        <w:tc>
          <w:tcPr>
            <w:tcW w:w="851"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4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8" w:right="59"/>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3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6" w:right="35" w:hanging="270"/>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7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76" w:right="77"/>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57" w:right="55"/>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1" w:right="22"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6" w:space="0" w:color="000000"/>
              <w:bottom w:val="single" w:sz="6" w:space="0" w:color="000000"/>
              <w:right w:val="single" w:sz="6" w:space="0" w:color="000000"/>
            </w:tcBorders>
            <w:shd w:val="clear" w:color="auto" w:fill="D2D2D2"/>
          </w:tcPr>
          <w:p>
            <w:pPr/>
          </w:p>
        </w:tc>
        <w:tc>
          <w:tcPr>
            <w:tcW w:w="851" w:type="dxa"/>
            <w:vMerge/>
            <w:tcBorders>
              <w:left w:val="single" w:sz="6" w:space="0" w:color="000000"/>
              <w:bottom w:val="single" w:sz="6" w:space="0" w:color="000000"/>
              <w:right w:val="single" w:sz="12" w:space="0" w:color="000000"/>
            </w:tcBorders>
            <w:shd w:val="clear" w:color="auto" w:fill="D2D2D2"/>
          </w:tcPr>
          <w:p>
            <w:pPr/>
          </w:p>
        </w:tc>
      </w:tr>
      <w:tr>
        <w:trPr>
          <w:trHeight w:val="406" w:hRule="exact"/>
        </w:trPr>
        <w:tc>
          <w:tcPr>
            <w:tcW w:w="11343"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7" w:hRule="exact"/>
        </w:trPr>
        <w:tc>
          <w:tcPr>
            <w:tcW w:w="11343"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20" w:hRule="exact"/>
        </w:trPr>
        <w:tc>
          <w:tcPr>
            <w:tcW w:w="14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123"/>
              <w:jc w:val="left"/>
              <w:rPr>
                <w:rFonts w:ascii="宋体" w:hAnsi="宋体" w:cs="宋体" w:eastAsia="宋体" w:hint="default"/>
                <w:sz w:val="18"/>
                <w:szCs w:val="18"/>
              </w:rPr>
            </w:pPr>
            <w:r>
              <w:rPr>
                <w:rFonts w:ascii="宋体" w:hAnsi="宋体" w:cs="宋体" w:eastAsia="宋体" w:hint="default"/>
                <w:sz w:val="18"/>
                <w:szCs w:val="18"/>
              </w:rPr>
              <w:t>中云文化大数据 科技有限公司</w:t>
            </w:r>
          </w:p>
        </w:tc>
        <w:tc>
          <w:tcPr>
            <w:tcW w:w="85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center"/>
              <w:rPr>
                <w:rFonts w:ascii="宋体" w:hAnsi="宋体" w:cs="宋体" w:eastAsia="宋体" w:hint="default"/>
                <w:sz w:val="18"/>
                <w:szCs w:val="18"/>
              </w:rPr>
            </w:pPr>
            <w:r>
              <w:rPr>
                <w:rFonts w:ascii="宋体"/>
                <w:sz w:val="18"/>
              </w:rPr>
              <w:t>12,000,000.00</w:t>
            </w:r>
          </w:p>
        </w:tc>
        <w:tc>
          <w:tcPr>
            <w:tcW w:w="494"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-227,664.77</w:t>
            </w: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 w:right="0"/>
              <w:jc w:val="center"/>
              <w:rPr>
                <w:rFonts w:ascii="宋体" w:hAnsi="宋体" w:cs="宋体" w:eastAsia="宋体" w:hint="default"/>
                <w:sz w:val="18"/>
                <w:szCs w:val="18"/>
              </w:rPr>
            </w:pPr>
            <w:r>
              <w:rPr>
                <w:rFonts w:ascii="宋体"/>
                <w:sz w:val="18"/>
              </w:rPr>
              <w:t>11,772,335.23</w:t>
            </w:r>
          </w:p>
        </w:tc>
        <w:tc>
          <w:tcPr>
            <w:tcW w:w="851"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4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3" w:right="123"/>
              <w:jc w:val="left"/>
              <w:rPr>
                <w:rFonts w:ascii="宋体" w:hAnsi="宋体" w:cs="宋体" w:eastAsia="宋体" w:hint="default"/>
                <w:sz w:val="18"/>
                <w:szCs w:val="18"/>
              </w:rPr>
            </w:pPr>
            <w:r>
              <w:rPr>
                <w:rFonts w:ascii="宋体" w:hAnsi="宋体" w:cs="宋体" w:eastAsia="宋体" w:hint="default"/>
                <w:sz w:val="18"/>
                <w:szCs w:val="18"/>
              </w:rPr>
              <w:t>北京中广格兰信 息科技有限公司</w:t>
            </w:r>
          </w:p>
        </w:tc>
        <w:tc>
          <w:tcPr>
            <w:tcW w:w="85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center"/>
              <w:rPr>
                <w:rFonts w:ascii="宋体" w:hAnsi="宋体" w:cs="宋体" w:eastAsia="宋体" w:hint="default"/>
                <w:sz w:val="18"/>
                <w:szCs w:val="18"/>
              </w:rPr>
            </w:pPr>
            <w:r>
              <w:rPr>
                <w:rFonts w:ascii="宋体"/>
                <w:sz w:val="18"/>
              </w:rPr>
              <w:t>10,714,290.00</w:t>
            </w:r>
          </w:p>
        </w:tc>
        <w:tc>
          <w:tcPr>
            <w:tcW w:w="494"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-533,050.40</w:t>
            </w: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center"/>
              <w:rPr>
                <w:rFonts w:ascii="宋体" w:hAnsi="宋体" w:cs="宋体" w:eastAsia="宋体" w:hint="default"/>
                <w:sz w:val="18"/>
                <w:szCs w:val="18"/>
              </w:rPr>
            </w:pPr>
            <w:r>
              <w:rPr>
                <w:rFonts w:ascii="宋体"/>
                <w:sz w:val="18"/>
              </w:rPr>
              <w:t>10,181,239.60</w:t>
            </w:r>
          </w:p>
        </w:tc>
        <w:tc>
          <w:tcPr>
            <w:tcW w:w="85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4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22,714,290.00</w:t>
            </w:r>
          </w:p>
        </w:tc>
        <w:tc>
          <w:tcPr>
            <w:tcW w:w="494"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-760,715.17</w:t>
            </w: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 w:right="0"/>
              <w:jc w:val="center"/>
              <w:rPr>
                <w:rFonts w:ascii="宋体" w:hAnsi="宋体" w:cs="宋体" w:eastAsia="宋体" w:hint="default"/>
                <w:sz w:val="18"/>
                <w:szCs w:val="18"/>
              </w:rPr>
            </w:pPr>
            <w:r>
              <w:rPr>
                <w:rFonts w:ascii="宋体"/>
                <w:sz w:val="18"/>
              </w:rPr>
              <w:t>21,953,574.83</w:t>
            </w:r>
          </w:p>
        </w:tc>
        <w:tc>
          <w:tcPr>
            <w:tcW w:w="851"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41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22,714,290.00</w:t>
            </w:r>
          </w:p>
        </w:tc>
        <w:tc>
          <w:tcPr>
            <w:tcW w:w="494" w:type="dxa"/>
            <w:tcBorders>
              <w:top w:val="single" w:sz="6" w:space="0" w:color="000000"/>
              <w:left w:val="single" w:sz="6" w:space="0" w:color="000000"/>
              <w:bottom w:val="single" w:sz="12" w:space="0" w:color="000000"/>
              <w:right w:val="single" w:sz="6" w:space="0" w:color="000000"/>
            </w:tcBorders>
          </w:tcPr>
          <w:p>
            <w:pPr/>
          </w:p>
        </w:tc>
        <w:tc>
          <w:tcPr>
            <w:tcW w:w="13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-760,715.17</w:t>
            </w:r>
          </w:p>
        </w:tc>
        <w:tc>
          <w:tcPr>
            <w:tcW w:w="709" w:type="dxa"/>
            <w:tcBorders>
              <w:top w:val="single" w:sz="6" w:space="0" w:color="000000"/>
              <w:left w:val="single" w:sz="6" w:space="0" w:color="000000"/>
              <w:bottom w:val="single" w:sz="12" w:space="0" w:color="000000"/>
              <w:right w:val="single" w:sz="6" w:space="0" w:color="000000"/>
            </w:tcBorders>
          </w:tcPr>
          <w:p>
            <w:pPr/>
          </w:p>
        </w:tc>
        <w:tc>
          <w:tcPr>
            <w:tcW w:w="709" w:type="dxa"/>
            <w:tcBorders>
              <w:top w:val="single" w:sz="6" w:space="0" w:color="000000"/>
              <w:left w:val="single" w:sz="6" w:space="0" w:color="000000"/>
              <w:bottom w:val="single" w:sz="12" w:space="0" w:color="000000"/>
              <w:right w:val="single" w:sz="6" w:space="0" w:color="000000"/>
            </w:tcBorders>
          </w:tcPr>
          <w:p>
            <w:pPr/>
          </w:p>
        </w:tc>
        <w:tc>
          <w:tcPr>
            <w:tcW w:w="850" w:type="dxa"/>
            <w:tcBorders>
              <w:top w:val="single" w:sz="6" w:space="0" w:color="000000"/>
              <w:left w:val="single" w:sz="6" w:space="0" w:color="000000"/>
              <w:bottom w:val="single" w:sz="12" w:space="0" w:color="000000"/>
              <w:right w:val="single" w:sz="6" w:space="0" w:color="000000"/>
            </w:tcBorders>
          </w:tcPr>
          <w:p>
            <w:pPr/>
          </w:p>
        </w:tc>
        <w:tc>
          <w:tcPr>
            <w:tcW w:w="780" w:type="dxa"/>
            <w:tcBorders>
              <w:top w:val="single" w:sz="6" w:space="0" w:color="000000"/>
              <w:left w:val="single" w:sz="6" w:space="0" w:color="000000"/>
              <w:bottom w:val="single" w:sz="12" w:space="0" w:color="000000"/>
              <w:right w:val="single" w:sz="6" w:space="0" w:color="000000"/>
            </w:tcBorders>
          </w:tcPr>
          <w:p>
            <w:pPr/>
          </w:p>
        </w:tc>
        <w:tc>
          <w:tcPr>
            <w:tcW w:w="780"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48" w:right="0"/>
              <w:jc w:val="center"/>
              <w:rPr>
                <w:rFonts w:ascii="宋体" w:hAnsi="宋体" w:cs="宋体" w:eastAsia="宋体" w:hint="default"/>
                <w:sz w:val="18"/>
                <w:szCs w:val="18"/>
              </w:rPr>
            </w:pPr>
            <w:r>
              <w:rPr>
                <w:rFonts w:ascii="宋体"/>
                <w:sz w:val="18"/>
              </w:rPr>
              <w:t>21,953,574.83</w:t>
            </w:r>
          </w:p>
        </w:tc>
        <w:tc>
          <w:tcPr>
            <w:tcW w:w="851" w:type="dxa"/>
            <w:tcBorders>
              <w:top w:val="single" w:sz="6" w:space="0" w:color="000000"/>
              <w:left w:val="single" w:sz="6" w:space="0" w:color="000000"/>
              <w:bottom w:val="single" w:sz="12" w:space="0" w:color="000000"/>
              <w:right w:val="single" w:sz="12" w:space="0" w:color="000000"/>
            </w:tcBorders>
          </w:tcPr>
          <w:p>
            <w:pPr/>
          </w:p>
        </w:tc>
      </w:tr>
    </w:tbl>
    <w:p>
      <w:pPr>
        <w:spacing w:before="72"/>
        <w:ind w:left="1134" w:right="0" w:firstLine="0"/>
        <w:jc w:val="left"/>
        <w:rPr>
          <w:rFonts w:ascii="宋体" w:hAnsi="宋体" w:cs="宋体" w:eastAsia="宋体" w:hint="default"/>
          <w:sz w:val="20"/>
          <w:szCs w:val="20"/>
        </w:rPr>
      </w:pPr>
      <w:bookmarkStart w:name="（3）其他说明" w:id="488"/>
      <w:bookmarkEnd w:id="488"/>
      <w:r>
        <w:rPr/>
      </w: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）其他说明</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410" w:lineRule="auto"/>
        <w:ind w:right="1116" w:firstLine="420"/>
        <w:jc w:val="left"/>
        <w:rPr>
          <w:rFonts w:ascii="宋体" w:hAnsi="宋体" w:cs="宋体" w:eastAsia="宋体" w:hint="default"/>
          <w:sz w:val="20"/>
          <w:szCs w:val="20"/>
        </w:rPr>
      </w:pPr>
      <w:r>
        <w:rPr>
          <w:spacing w:val="-1"/>
        </w:rPr>
        <w:t>长期股权投资年末数比年初数增加</w:t>
      </w:r>
      <w:r>
        <w:rPr>
          <w:rFonts w:ascii="宋体" w:hAnsi="宋体" w:cs="宋体" w:eastAsia="宋体" w:hint="default"/>
          <w:spacing w:val="-1"/>
        </w:rPr>
        <w:t>63,053,574.83</w:t>
      </w:r>
      <w:r>
        <w:rPr>
          <w:spacing w:val="-1"/>
        </w:rPr>
        <w:t>元，增加比例为</w:t>
      </w:r>
      <w:r>
        <w:rPr>
          <w:rFonts w:ascii="宋体" w:hAnsi="宋体" w:cs="宋体" w:eastAsia="宋体" w:hint="default"/>
          <w:spacing w:val="-1"/>
        </w:rPr>
        <w:t>8.24%</w:t>
      </w:r>
      <w:r>
        <w:rPr>
          <w:spacing w:val="-1"/>
        </w:rPr>
        <w:t>，增加原因为：①本年投资设</w:t>
      </w:r>
      <w:r>
        <w:rPr/>
        <w:t> 立江苏光一贵仁股权投资基金管理有限公司，收购德能工程</w:t>
      </w:r>
      <w:r>
        <w:rPr>
          <w:rFonts w:ascii="宋体" w:hAnsi="宋体" w:cs="宋体" w:eastAsia="宋体" w:hint="default"/>
        </w:rPr>
        <w:t>100%</w:t>
      </w:r>
      <w:r>
        <w:rPr/>
        <w:t>的股权并增资</w:t>
      </w:r>
      <w:r>
        <w:rPr>
          <w:rFonts w:ascii="宋体" w:hAnsi="宋体" w:cs="宋体" w:eastAsia="宋体" w:hint="default"/>
        </w:rPr>
        <w:t>500</w:t>
      </w:r>
      <w:r>
        <w:rPr/>
        <w:t>万、收购德能设计</w:t>
      </w:r>
      <w:r>
        <w:rPr>
          <w:rFonts w:ascii="宋体" w:hAnsi="宋体" w:cs="宋体" w:eastAsia="宋体" w:hint="default"/>
        </w:rPr>
        <w:t>100%</w:t>
      </w:r>
      <w:r>
        <w:rPr>
          <w:rFonts w:ascii="宋体" w:hAnsi="宋体" w:cs="宋体" w:eastAsia="宋体" w:hint="default"/>
          <w:spacing w:val="-28"/>
        </w:rPr>
        <w:t> </w:t>
      </w:r>
      <w:r>
        <w:rPr/>
        <w:t>股权。②出资</w:t>
      </w:r>
      <w:r>
        <w:rPr>
          <w:rFonts w:ascii="宋体" w:hAnsi="宋体" w:cs="宋体" w:eastAsia="宋体" w:hint="default"/>
        </w:rPr>
        <w:t>1,200.00</w:t>
      </w:r>
      <w:r>
        <w:rPr/>
        <w:t>万元参与中云大数据的设立，增资</w:t>
      </w:r>
      <w:r>
        <w:rPr>
          <w:rFonts w:ascii="宋体" w:hAnsi="宋体" w:cs="宋体" w:eastAsia="宋体" w:hint="default"/>
        </w:rPr>
        <w:t>1,071.4290</w:t>
      </w:r>
      <w:r>
        <w:rPr/>
        <w:t>万元入股中广格兰。 </w:t>
      </w:r>
      <w:bookmarkStart w:name="4、营业收入和营业成本" w:id="489"/>
      <w:bookmarkEnd w:id="489"/>
      <w:r>
        <w:rPr/>
      </w:r>
      <w:r>
        <w:rPr>
          <w:rFonts w:ascii="宋体" w:hAnsi="宋体" w:cs="宋体" w:eastAsia="宋体" w:hint="default"/>
          <w:b/>
          <w:bCs/>
          <w:sz w:val="20"/>
          <w:szCs w:val="20"/>
        </w:rPr>
        <w:t>4</w:t>
      </w:r>
      <w:r>
        <w:rPr>
          <w:rFonts w:ascii="宋体" w:hAnsi="宋体" w:cs="宋体" w:eastAsia="宋体" w:hint="default"/>
          <w:b/>
          <w:bCs/>
          <w:sz w:val="20"/>
          <w:szCs w:val="20"/>
        </w:rPr>
        <w:t>、营业收入和营业成本</w:t>
      </w:r>
      <w:r>
        <w:rPr>
          <w:rFonts w:ascii="宋体" w:hAnsi="宋体" w:cs="宋体" w:eastAsia="宋体" w:hint="default"/>
          <w:sz w:val="20"/>
          <w:szCs w:val="20"/>
        </w:rPr>
      </w:r>
    </w:p>
    <w:p>
      <w:pPr>
        <w:spacing w:before="4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1995"/>
        <w:gridCol w:w="1838"/>
        <w:gridCol w:w="1913"/>
        <w:gridCol w:w="1913"/>
        <w:gridCol w:w="1912"/>
      </w:tblGrid>
      <w:tr>
        <w:trPr>
          <w:trHeight w:val="218" w:hRule="exact"/>
        </w:trPr>
        <w:tc>
          <w:tcPr>
            <w:tcW w:w="1995"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750"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5"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5"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6" w:space="0" w:color="000000"/>
              <w:bottom w:val="single" w:sz="6" w:space="0" w:color="000000"/>
              <w:right w:val="single" w:sz="6" w:space="0" w:color="000000"/>
            </w:tcBorders>
            <w:shd w:val="clear" w:color="auto" w:fill="D2D2D2"/>
          </w:tcPr>
          <w:p>
            <w:pPr/>
          </w:p>
        </w:tc>
        <w:tc>
          <w:tcPr>
            <w:tcW w:w="3825" w:type="dxa"/>
            <w:gridSpan w:val="2"/>
            <w:vMerge/>
            <w:tcBorders>
              <w:left w:val="single" w:sz="6" w:space="0" w:color="000000"/>
              <w:bottom w:val="single" w:sz="6" w:space="0" w:color="000000"/>
              <w:right w:val="single" w:sz="12" w:space="0" w:color="000000"/>
            </w:tcBorders>
            <w:shd w:val="clear" w:color="auto" w:fill="D2D2D2"/>
          </w:tcPr>
          <w:p>
            <w:pPr/>
          </w:p>
        </w:tc>
      </w:tr>
      <w:tr>
        <w:trPr>
          <w:trHeight w:val="196" w:hRule="exact"/>
        </w:trPr>
        <w:tc>
          <w:tcPr>
            <w:tcW w:w="1995" w:type="dxa"/>
            <w:vMerge/>
            <w:tcBorders>
              <w:left w:val="single" w:sz="12" w:space="0" w:color="000000"/>
              <w:bottom w:val="nil" w:sz="6" w:space="0" w:color="auto"/>
              <w:right w:val="single" w:sz="6" w:space="0" w:color="000000"/>
            </w:tcBorders>
            <w:shd w:val="clear" w:color="auto" w:fill="D2D2D2"/>
          </w:tcPr>
          <w:p>
            <w:pPr/>
          </w:p>
        </w:tc>
        <w:tc>
          <w:tcPr>
            <w:tcW w:w="183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2"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1" w:hRule="exact"/>
        </w:trPr>
        <w:tc>
          <w:tcPr>
            <w:tcW w:w="1995" w:type="dxa"/>
            <w:tcBorders>
              <w:top w:val="nil" w:sz="6" w:space="0" w:color="auto"/>
              <w:left w:val="single" w:sz="12" w:space="0" w:color="000000"/>
              <w:bottom w:val="single" w:sz="6" w:space="0" w:color="000000"/>
              <w:right w:val="single" w:sz="6" w:space="0" w:color="000000"/>
            </w:tcBorders>
            <w:shd w:val="clear" w:color="auto" w:fill="D2D2D2"/>
          </w:tcPr>
          <w:p>
            <w:pPr/>
          </w:p>
        </w:tc>
        <w:tc>
          <w:tcPr>
            <w:tcW w:w="1838"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6" w:space="0" w:color="000000"/>
            </w:tcBorders>
            <w:shd w:val="clear" w:color="auto" w:fill="D2D2D2"/>
          </w:tcPr>
          <w:p>
            <w:pPr/>
          </w:p>
        </w:tc>
        <w:tc>
          <w:tcPr>
            <w:tcW w:w="1912"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9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153,593,164.17</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126,637,993.48</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336,756,308.76</w:t>
            </w:r>
          </w:p>
        </w:tc>
        <w:tc>
          <w:tcPr>
            <w:tcW w:w="1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257,516,170.20</w:t>
            </w:r>
          </w:p>
        </w:tc>
      </w:tr>
      <w:tr>
        <w:trPr>
          <w:trHeight w:val="407" w:hRule="exact"/>
        </w:trPr>
        <w:tc>
          <w:tcPr>
            <w:tcW w:w="19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635,745.00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500,529.72</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1,030,990.75</w:t>
            </w:r>
          </w:p>
        </w:tc>
        <w:tc>
          <w:tcPr>
            <w:tcW w:w="1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805,957.71</w:t>
            </w:r>
          </w:p>
        </w:tc>
      </w:tr>
      <w:tr>
        <w:trPr>
          <w:trHeight w:val="415" w:hRule="exact"/>
        </w:trPr>
        <w:tc>
          <w:tcPr>
            <w:tcW w:w="19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154,228,909.17</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127,138,523.20</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337,787,299.51</w:t>
            </w:r>
          </w:p>
        </w:tc>
        <w:tc>
          <w:tcPr>
            <w:tcW w:w="19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258,322,127.91</w:t>
            </w:r>
          </w:p>
        </w:tc>
      </w:tr>
    </w:tbl>
    <w:p>
      <w:pPr>
        <w:spacing w:before="72"/>
        <w:ind w:left="1134" w:right="0" w:firstLine="0"/>
        <w:jc w:val="left"/>
        <w:rPr>
          <w:rFonts w:ascii="宋体" w:hAnsi="宋体" w:cs="宋体" w:eastAsia="宋体" w:hint="default"/>
          <w:sz w:val="20"/>
          <w:szCs w:val="20"/>
        </w:rPr>
      </w:pPr>
      <w:bookmarkStart w:name="5、投资收益" w:id="490"/>
      <w:bookmarkEnd w:id="490"/>
      <w:r>
        <w:rPr/>
      </w:r>
      <w:r>
        <w:rPr>
          <w:rFonts w:ascii="宋体" w:hAnsi="宋体" w:cs="宋体" w:eastAsia="宋体" w:hint="default"/>
          <w:b/>
          <w:bCs/>
          <w:sz w:val="20"/>
          <w:szCs w:val="20"/>
        </w:rPr>
        <w:t>5</w:t>
      </w:r>
      <w:r>
        <w:rPr>
          <w:rFonts w:ascii="宋体" w:hAnsi="宋体" w:cs="宋体" w:eastAsia="宋体" w:hint="default"/>
          <w:b/>
          <w:bCs/>
          <w:sz w:val="20"/>
          <w:szCs w:val="20"/>
        </w:rPr>
        <w:t>、投资收益</w:t>
      </w:r>
      <w:r>
        <w:rPr>
          <w:rFonts w:ascii="宋体" w:hAnsi="宋体" w:cs="宋体" w:eastAsia="宋体" w:hint="default"/>
          <w:sz w:val="20"/>
          <w:szCs w:val="20"/>
        </w:rPr>
      </w:r>
    </w:p>
    <w:p>
      <w:pPr>
        <w:spacing w:line="240" w:lineRule="auto" w:before="10"/>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308"/>
        <w:gridCol w:w="3069"/>
        <w:gridCol w:w="3186"/>
      </w:tblGrid>
      <w:tr>
        <w:trPr>
          <w:trHeight w:val="413" w:hRule="exact"/>
        </w:trPr>
        <w:tc>
          <w:tcPr>
            <w:tcW w:w="330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-760,715.17</w:t>
            </w: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30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-760,715.17</w:t>
            </w:r>
          </w:p>
        </w:tc>
        <w:tc>
          <w:tcPr>
            <w:tcW w:w="318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3" w:right="0" w:firstLine="0"/>
        <w:jc w:val="left"/>
        <w:rPr>
          <w:rFonts w:ascii="宋体" w:hAnsi="宋体" w:cs="宋体" w:eastAsia="宋体" w:hint="default"/>
          <w:sz w:val="20"/>
          <w:szCs w:val="20"/>
        </w:rPr>
      </w:pPr>
      <w:bookmarkStart w:name="6、其他" w:id="491"/>
      <w:bookmarkEnd w:id="491"/>
      <w:r>
        <w:rPr/>
      </w:r>
      <w:r>
        <w:rPr>
          <w:rFonts w:ascii="宋体" w:hAnsi="宋体" w:cs="宋体" w:eastAsia="宋体" w:hint="default"/>
          <w:b/>
          <w:bCs/>
          <w:sz w:val="20"/>
          <w:szCs w:val="20"/>
        </w:rPr>
        <w:t>6</w:t>
      </w:r>
      <w:r>
        <w:rPr>
          <w:rFonts w:ascii="宋体" w:hAnsi="宋体" w:cs="宋体" w:eastAsia="宋体" w:hint="default"/>
          <w:b/>
          <w:bCs/>
          <w:sz w:val="20"/>
          <w:szCs w:val="20"/>
        </w:rPr>
        <w:t>、其他</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Heading4"/>
        <w:spacing w:line="240" w:lineRule="auto" w:before="0"/>
        <w:ind w:right="0"/>
        <w:jc w:val="left"/>
        <w:rPr>
          <w:b w:val="0"/>
          <w:bCs w:val="0"/>
        </w:rPr>
      </w:pPr>
      <w:bookmarkStart w:name="十八、补充资料" w:id="492"/>
      <w:bookmarkEnd w:id="492"/>
      <w:r>
        <w:rPr>
          <w:b w:val="0"/>
          <w:bCs w:val="0"/>
        </w:rPr>
      </w:r>
      <w:r>
        <w:rPr/>
        <w:t>十八、补充资料</w:t>
      </w:r>
      <w:r>
        <w:rPr>
          <w:b w:val="0"/>
          <w:bCs w:val="0"/>
        </w:rPr>
      </w:r>
    </w:p>
    <w:p>
      <w:pPr>
        <w:spacing w:line="240" w:lineRule="auto" w:before="6"/>
        <w:rPr>
          <w:rFonts w:ascii="宋体" w:hAnsi="宋体" w:cs="宋体" w:eastAsia="宋体" w:hint="default"/>
          <w:b/>
          <w:bCs/>
          <w:sz w:val="15"/>
          <w:szCs w:val="15"/>
        </w:rPr>
      </w:pPr>
    </w:p>
    <w:p>
      <w:pPr>
        <w:spacing w:before="0"/>
        <w:ind w:left="1133" w:right="0" w:firstLine="0"/>
        <w:jc w:val="left"/>
        <w:rPr>
          <w:rFonts w:ascii="宋体" w:hAnsi="宋体" w:cs="宋体" w:eastAsia="宋体" w:hint="default"/>
          <w:sz w:val="20"/>
          <w:szCs w:val="20"/>
        </w:rPr>
      </w:pPr>
      <w:bookmarkStart w:name="1、当期非经常性损益明细表" w:id="493"/>
      <w:bookmarkEnd w:id="493"/>
      <w:r>
        <w:rPr/>
      </w:r>
      <w:r>
        <w:rPr>
          <w:rFonts w:ascii="宋体" w:hAnsi="宋体" w:cs="宋体" w:eastAsia="宋体" w:hint="default"/>
          <w:b/>
          <w:bCs/>
          <w:sz w:val="20"/>
          <w:szCs w:val="20"/>
        </w:rPr>
        <w:t>1</w:t>
      </w:r>
      <w:r>
        <w:rPr>
          <w:rFonts w:ascii="宋体" w:hAnsi="宋体" w:cs="宋体" w:eastAsia="宋体" w:hint="default"/>
          <w:b/>
          <w:bCs/>
          <w:sz w:val="20"/>
          <w:szCs w:val="20"/>
        </w:rPr>
        <w:t>、当期非经常性损益明细表</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308"/>
        <w:gridCol w:w="3069"/>
        <w:gridCol w:w="3186"/>
      </w:tblGrid>
      <w:tr>
        <w:trPr>
          <w:trHeight w:val="413" w:hRule="exact"/>
        </w:trPr>
        <w:tc>
          <w:tcPr>
            <w:tcW w:w="330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7"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-418,571.25</w:t>
            </w: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1032"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3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8,621,400.00</w:t>
            </w: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595,351.79</w:t>
            </w: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82,503.99</w:t>
            </w: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60,684.25</w:t>
            </w: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30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6" w:space="0" w:color="000000"/>
              <w:left w:val="single" w:sz="14" w:space="0" w:color="D2D2D2"/>
              <w:bottom w:val="single" w:sz="12" w:space="0" w:color="000000"/>
              <w:right w:val="single" w:sz="14" w:space="0" w:color="D2D2D2"/>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8,654,992.30</w:t>
            </w:r>
          </w:p>
        </w:tc>
        <w:tc>
          <w:tcPr>
            <w:tcW w:w="3186"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sz w:val="18"/>
              </w:rPr>
              <w:t>--</w:t>
            </w:r>
          </w:p>
        </w:tc>
      </w:tr>
    </w:tbl>
    <w:p>
      <w:pPr>
        <w:pStyle w:val="BodyText"/>
        <w:spacing w:line="240" w:lineRule="auto" w:before="63"/>
        <w:ind w:left="1134" w:right="0"/>
        <w:jc w:val="left"/>
      </w:pPr>
      <w:r>
        <w:rPr/>
        <w:t>对公司根据《公开发行证券的公司信息披露解释性公告第</w:t>
      </w:r>
      <w:r>
        <w:rPr>
          <w:spacing w:val="-64"/>
        </w:rPr>
        <w:t> </w:t>
      </w:r>
      <w:r>
        <w:rPr>
          <w:rFonts w:ascii="宋体" w:hAnsi="宋体" w:cs="宋体" w:eastAsia="宋体" w:hint="default"/>
        </w:rPr>
        <w:t>1</w:t>
      </w:r>
      <w:r>
        <w:rPr>
          <w:rFonts w:ascii="宋体" w:hAnsi="宋体" w:cs="宋体" w:eastAsia="宋体" w:hint="default"/>
          <w:spacing w:val="-64"/>
        </w:rPr>
        <w:t> </w:t>
      </w:r>
      <w:r>
        <w:rPr/>
        <w:t>号——非经常性损益》定义界定的非经常性损</w:t>
      </w:r>
    </w:p>
    <w:p>
      <w:pPr>
        <w:spacing w:line="240" w:lineRule="auto" w:before="10"/>
        <w:rPr>
          <w:rFonts w:ascii="宋体" w:hAnsi="宋体" w:cs="宋体" w:eastAsia="宋体" w:hint="default"/>
          <w:sz w:val="14"/>
          <w:szCs w:val="14"/>
        </w:rPr>
      </w:pPr>
    </w:p>
    <w:p>
      <w:pPr>
        <w:pStyle w:val="BodyText"/>
        <w:spacing w:line="408" w:lineRule="auto"/>
        <w:ind w:right="1116"/>
        <w:jc w:val="left"/>
      </w:pPr>
      <w:r>
        <w:rPr/>
        <w:t>益项目，以及把《公开发行证券的公司信息披露解释性公告第</w:t>
      </w:r>
      <w:r>
        <w:rPr>
          <w:spacing w:val="-64"/>
        </w:rPr>
        <w:t> </w:t>
      </w:r>
      <w:r>
        <w:rPr>
          <w:rFonts w:ascii="宋体" w:hAnsi="宋体" w:cs="宋体" w:eastAsia="宋体" w:hint="default"/>
        </w:rPr>
        <w:t>1</w:t>
      </w:r>
      <w:r>
        <w:rPr>
          <w:rFonts w:ascii="宋体" w:hAnsi="宋体" w:cs="宋体" w:eastAsia="宋体" w:hint="default"/>
          <w:spacing w:val="-64"/>
        </w:rPr>
        <w:t> </w:t>
      </w:r>
      <w:r>
        <w:rPr/>
        <w:t>号——非经常性损益》中列举的非经常性 损益项目界定为经常性损益的项目，应说明原因。</w:t>
      </w:r>
    </w:p>
    <w:p>
      <w:pPr>
        <w:pStyle w:val="BodyText"/>
        <w:spacing w:line="240" w:lineRule="auto" w:before="46"/>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3" w:right="0" w:firstLine="0"/>
        <w:jc w:val="left"/>
        <w:rPr>
          <w:rFonts w:ascii="宋体" w:hAnsi="宋体" w:cs="宋体" w:eastAsia="宋体" w:hint="default"/>
          <w:sz w:val="20"/>
          <w:szCs w:val="20"/>
        </w:rPr>
      </w:pPr>
      <w:bookmarkStart w:name="2、净资产收益率及每股收益" w:id="494"/>
      <w:bookmarkEnd w:id="494"/>
      <w:r>
        <w:rPr/>
      </w:r>
      <w:r>
        <w:rPr>
          <w:rFonts w:ascii="宋体" w:hAnsi="宋体" w:cs="宋体" w:eastAsia="宋体" w:hint="default"/>
          <w:b/>
          <w:bCs/>
          <w:sz w:val="20"/>
          <w:szCs w:val="20"/>
        </w:rPr>
        <w:t>2</w:t>
      </w:r>
      <w:r>
        <w:rPr>
          <w:rFonts w:ascii="宋体" w:hAnsi="宋体" w:cs="宋体" w:eastAsia="宋体" w:hint="default"/>
          <w:b/>
          <w:bCs/>
          <w:sz w:val="20"/>
          <w:szCs w:val="20"/>
        </w:rPr>
        <w:t>、净资产收益率及每股收益</w:t>
      </w:r>
      <w:r>
        <w:rPr>
          <w:rFonts w:ascii="宋体" w:hAnsi="宋体" w:cs="宋体" w:eastAsia="宋体" w:hint="default"/>
          <w:sz w:val="20"/>
          <w:szCs w:val="20"/>
        </w:rPr>
      </w:r>
    </w:p>
    <w:p>
      <w:pPr>
        <w:spacing w:line="240" w:lineRule="auto" w:before="3"/>
        <w:rPr>
          <w:rFonts w:ascii="宋体" w:hAnsi="宋体" w:cs="宋体" w:eastAsia="宋体" w:hint="default"/>
          <w:b/>
          <w:bCs/>
          <w:sz w:val="10"/>
          <w:szCs w:val="10"/>
        </w:rPr>
      </w:pPr>
    </w:p>
    <w:tbl>
      <w:tblPr>
        <w:tblW w:w="0" w:type="auto"/>
        <w:jc w:val="left"/>
        <w:tblInd w:w="1118" w:type="dxa"/>
        <w:tblLayout w:type="fixed"/>
        <w:tblCellMar>
          <w:top w:w="0" w:type="dxa"/>
          <w:left w:w="0" w:type="dxa"/>
          <w:bottom w:w="0" w:type="dxa"/>
          <w:right w:w="0" w:type="dxa"/>
        </w:tblCellMar>
        <w:tblLook w:val="01E0"/>
      </w:tblPr>
      <w:tblGrid>
        <w:gridCol w:w="2663"/>
        <w:gridCol w:w="3081"/>
        <w:gridCol w:w="1913"/>
        <w:gridCol w:w="1912"/>
      </w:tblGrid>
      <w:tr>
        <w:trPr>
          <w:trHeight w:val="219" w:hRule="exact"/>
        </w:trPr>
        <w:tc>
          <w:tcPr>
            <w:tcW w:w="2663"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081" w:type="dxa"/>
            <w:tcBorders>
              <w:top w:val="single" w:sz="12" w:space="0" w:color="000000"/>
              <w:left w:val="single" w:sz="6" w:space="0" w:color="000000"/>
              <w:bottom w:val="nil" w:sz="6" w:space="0" w:color="auto"/>
              <w:right w:val="single" w:sz="6" w:space="0" w:color="000000"/>
            </w:tcBorders>
            <w:shd w:val="clear" w:color="auto" w:fill="D2D2D2"/>
          </w:tcPr>
          <w:p>
            <w:pPr/>
          </w:p>
        </w:tc>
        <w:tc>
          <w:tcPr>
            <w:tcW w:w="3825"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88" w:hRule="exact"/>
        </w:trPr>
        <w:tc>
          <w:tcPr>
            <w:tcW w:w="2663"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left="86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63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5" w:type="dxa"/>
            <w:gridSpan w:val="2"/>
            <w:vMerge/>
            <w:tcBorders>
              <w:left w:val="single" w:sz="6" w:space="0" w:color="000000"/>
              <w:bottom w:val="single" w:sz="6" w:space="0" w:color="000000"/>
              <w:right w:val="single" w:sz="12" w:space="0" w:color="000000"/>
            </w:tcBorders>
            <w:shd w:val="clear" w:color="auto" w:fill="D2D2D2"/>
          </w:tcPr>
          <w:p>
            <w:pPr/>
          </w:p>
        </w:tc>
      </w:tr>
      <w:tr>
        <w:trPr>
          <w:trHeight w:val="204" w:hRule="exact"/>
        </w:trPr>
        <w:tc>
          <w:tcPr>
            <w:tcW w:w="2663" w:type="dxa"/>
            <w:vMerge/>
            <w:tcBorders>
              <w:left w:val="single" w:sz="12" w:space="0" w:color="000000"/>
              <w:bottom w:val="nil" w:sz="6" w:space="0" w:color="auto"/>
              <w:right w:val="single" w:sz="6" w:space="0" w:color="000000"/>
            </w:tcBorders>
            <w:shd w:val="clear" w:color="auto" w:fill="D2D2D2"/>
          </w:tcPr>
          <w:p>
            <w:pPr/>
          </w:p>
        </w:tc>
        <w:tc>
          <w:tcPr>
            <w:tcW w:w="3081" w:type="dxa"/>
            <w:vMerge/>
            <w:tcBorders>
              <w:left w:val="single" w:sz="6" w:space="0" w:color="000000"/>
              <w:bottom w:val="nil" w:sz="6" w:space="0" w:color="auto"/>
              <w:right w:val="single" w:sz="6" w:space="0" w:color="000000"/>
            </w:tcBorders>
            <w:shd w:val="clear" w:color="auto" w:fill="D2D2D2"/>
          </w:tcPr>
          <w:p>
            <w:pPr/>
          </w:p>
        </w:tc>
        <w:tc>
          <w:tcPr>
            <w:tcW w:w="191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8"/>
              <w:ind w:left="20" w:right="-13"/>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2"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8"/>
              <w:ind w:left="21" w:right="-22"/>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210" w:hRule="exact"/>
        </w:trPr>
        <w:tc>
          <w:tcPr>
            <w:tcW w:w="2663" w:type="dxa"/>
            <w:tcBorders>
              <w:top w:val="nil" w:sz="6" w:space="0" w:color="auto"/>
              <w:left w:val="single" w:sz="12" w:space="0" w:color="000000"/>
              <w:bottom w:val="single" w:sz="6" w:space="0" w:color="000000"/>
              <w:right w:val="single" w:sz="6" w:space="0" w:color="000000"/>
            </w:tcBorders>
            <w:shd w:val="clear" w:color="auto" w:fill="D2D2D2"/>
          </w:tcPr>
          <w:p>
            <w:pPr/>
          </w:p>
        </w:tc>
        <w:tc>
          <w:tcPr>
            <w:tcW w:w="3081"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6" w:space="0" w:color="000000"/>
            </w:tcBorders>
            <w:shd w:val="clear" w:color="auto" w:fill="D2D2D2"/>
          </w:tcPr>
          <w:p>
            <w:pPr/>
          </w:p>
        </w:tc>
        <w:tc>
          <w:tcPr>
            <w:tcW w:w="1912"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26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3.01%</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0.2454</w:t>
            </w:r>
          </w:p>
        </w:tc>
        <w:tc>
          <w:tcPr>
            <w:tcW w:w="1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0.2454</w:t>
            </w:r>
          </w:p>
        </w:tc>
      </w:tr>
      <w:tr>
        <w:trPr>
          <w:trHeight w:val="727" w:hRule="exact"/>
        </w:trPr>
        <w:tc>
          <w:tcPr>
            <w:tcW w:w="266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52"/>
              <w:ind w:left="13" w:right="10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2.35%</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0.1917</w:t>
            </w:r>
          </w:p>
        </w:tc>
        <w:tc>
          <w:tcPr>
            <w:tcW w:w="19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0.1917</w:t>
            </w:r>
          </w:p>
        </w:tc>
      </w:tr>
    </w:tbl>
    <w:p>
      <w:pPr>
        <w:spacing w:before="72"/>
        <w:ind w:left="1134" w:right="0" w:firstLine="0"/>
        <w:jc w:val="left"/>
        <w:rPr>
          <w:rFonts w:ascii="宋体" w:hAnsi="宋体" w:cs="宋体" w:eastAsia="宋体" w:hint="default"/>
          <w:sz w:val="20"/>
          <w:szCs w:val="20"/>
        </w:rPr>
      </w:pPr>
      <w:bookmarkStart w:name="3、境内外会计准则下会计数据差异" w:id="495"/>
      <w:bookmarkEnd w:id="495"/>
      <w:r>
        <w:rPr/>
      </w:r>
      <w:r>
        <w:rPr>
          <w:rFonts w:ascii="宋体" w:hAnsi="宋体" w:cs="宋体" w:eastAsia="宋体" w:hint="default"/>
          <w:b/>
          <w:bCs/>
          <w:sz w:val="20"/>
          <w:szCs w:val="20"/>
        </w:rPr>
        <w:t>3</w:t>
      </w:r>
      <w:r>
        <w:rPr>
          <w:rFonts w:ascii="宋体" w:hAnsi="宋体" w:cs="宋体" w:eastAsia="宋体" w:hint="default"/>
          <w:b/>
          <w:bCs/>
          <w:sz w:val="20"/>
          <w:szCs w:val="20"/>
        </w:rPr>
        <w:t>、境内外会计准则下会计数据差异</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p>
      <w:pPr>
        <w:pStyle w:val="BodyText"/>
        <w:spacing w:line="240" w:lineRule="auto"/>
        <w:ind w:left="1134" w:right="0"/>
        <w:jc w:val="left"/>
      </w:pPr>
      <w:r>
        <w:rPr/>
        <w:t>□ 适用 √</w:t>
      </w:r>
      <w:r>
        <w:rPr>
          <w:spacing w:val="-1"/>
        </w:rPr>
        <w:t> </w:t>
      </w:r>
      <w:r>
        <w:rPr/>
        <w:t>不适用</w:t>
      </w:r>
    </w:p>
    <w:p>
      <w:pPr>
        <w:spacing w:line="240" w:lineRule="auto" w:before="6"/>
        <w:rPr>
          <w:rFonts w:ascii="宋体" w:hAnsi="宋体" w:cs="宋体" w:eastAsia="宋体" w:hint="default"/>
          <w:sz w:val="15"/>
          <w:szCs w:val="15"/>
        </w:rPr>
      </w:pPr>
    </w:p>
    <w:p>
      <w:pPr>
        <w:spacing w:before="0"/>
        <w:ind w:left="1134" w:right="0" w:firstLine="0"/>
        <w:jc w:val="left"/>
        <w:rPr>
          <w:rFonts w:ascii="宋体" w:hAnsi="宋体" w:cs="宋体" w:eastAsia="宋体" w:hint="default"/>
          <w:sz w:val="20"/>
          <w:szCs w:val="20"/>
        </w:rPr>
      </w:pPr>
      <w:bookmarkStart w:name="4、其他" w:id="496"/>
      <w:bookmarkEnd w:id="496"/>
      <w:r>
        <w:rPr/>
      </w:r>
      <w:r>
        <w:rPr>
          <w:rFonts w:ascii="宋体" w:hAnsi="宋体" w:cs="宋体" w:eastAsia="宋体" w:hint="default"/>
          <w:b/>
          <w:bCs/>
          <w:sz w:val="20"/>
          <w:szCs w:val="20"/>
        </w:rPr>
        <w:t>4</w:t>
      </w:r>
      <w:r>
        <w:rPr>
          <w:rFonts w:ascii="宋体" w:hAnsi="宋体" w:cs="宋体" w:eastAsia="宋体" w:hint="default"/>
          <w:b/>
          <w:bCs/>
          <w:sz w:val="20"/>
          <w:szCs w:val="20"/>
        </w:rPr>
        <w:t>、其他</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747" w:footer="1000" w:top="1040" w:bottom="1180" w:left="0" w:right="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1"/>
          <w:szCs w:val="21"/>
        </w:rPr>
      </w:pPr>
    </w:p>
    <w:p>
      <w:pPr>
        <w:pStyle w:val="Heading1"/>
        <w:spacing w:line="240" w:lineRule="auto"/>
        <w:ind w:left="1129" w:right="1130"/>
        <w:jc w:val="center"/>
        <w:rPr>
          <w:b w:val="0"/>
          <w:bCs w:val="0"/>
        </w:rPr>
      </w:pPr>
      <w:bookmarkStart w:name="第十一节 备查文件目录" w:id="497"/>
      <w:bookmarkEnd w:id="497"/>
      <w:r>
        <w:rPr>
          <w:b w:val="0"/>
          <w:bCs w:val="0"/>
        </w:rPr>
      </w:r>
      <w:bookmarkStart w:name="_bookmark10" w:id="498"/>
      <w:bookmarkEnd w:id="498"/>
      <w:r>
        <w:rPr>
          <w:b w:val="0"/>
          <w:bCs w:val="0"/>
        </w:rPr>
      </w:r>
      <w:r>
        <w:rPr/>
        <w:t>第十一节</w:t>
      </w:r>
      <w:r>
        <w:rPr>
          <w:spacing w:val="-8"/>
        </w:rPr>
        <w:t> </w:t>
      </w:r>
      <w:r>
        <w:rPr/>
        <w:t>备查文件目录</w:t>
      </w:r>
      <w:r>
        <w:rPr>
          <w:b w:val="0"/>
          <w:bCs w:val="0"/>
        </w:rPr>
      </w:r>
    </w:p>
    <w:p>
      <w:pPr>
        <w:spacing w:line="240" w:lineRule="auto" w:before="10"/>
        <w:rPr>
          <w:rFonts w:ascii="宋体" w:hAnsi="宋体" w:cs="宋体" w:eastAsia="宋体" w:hint="default"/>
          <w:b/>
          <w:bCs/>
          <w:sz w:val="44"/>
          <w:szCs w:val="44"/>
        </w:rPr>
      </w:pPr>
    </w:p>
    <w:p>
      <w:pPr>
        <w:pStyle w:val="Heading3"/>
        <w:spacing w:line="357" w:lineRule="auto" w:before="0"/>
        <w:ind w:left="1558" w:right="1208"/>
        <w:jc w:val="left"/>
      </w:pPr>
      <w:r>
        <w:rPr/>
        <w:t>一、载有公司负责人、主管会计工作负责人、会计机构负责人签名并盖章的财务报表。 二、载有会计师事务所盖章、注册会计师签名并盖章的审计报告原件。 三、报告期内在中国证监会指定信息披露网站上披露的所有公司文件的正本及公告的原</w:t>
      </w:r>
    </w:p>
    <w:p>
      <w:pPr>
        <w:pStyle w:val="Heading3"/>
        <w:spacing w:line="240" w:lineRule="auto"/>
        <w:ind w:left="1134" w:right="0"/>
        <w:jc w:val="left"/>
      </w:pPr>
      <w:r>
        <w:rPr/>
        <w:t>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5"/>
          <w:szCs w:val="35"/>
        </w:rPr>
      </w:pPr>
    </w:p>
    <w:p>
      <w:pPr>
        <w:pStyle w:val="Heading3"/>
        <w:spacing w:line="357" w:lineRule="auto" w:before="0"/>
        <w:ind w:left="8373" w:right="1130"/>
        <w:jc w:val="center"/>
      </w:pPr>
      <w:r>
        <w:rPr/>
        <w:t>光一科技股份有限公司 董事长：龙昌明 </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14</w:t>
      </w:r>
      <w:r>
        <w:rPr/>
        <w:t>日</w:t>
      </w:r>
    </w:p>
    <w:sectPr>
      <w:pgSz w:w="11910" w:h="16840"/>
      <w:pgMar w:header="747" w:footer="1000" w:top="1040" w:bottom="11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18520" type="#_x0000_t75" stroked="false">
          <v:imagedata r:id="rId1" o:title=""/>
        </v:shape>
      </w:pict>
    </w:r>
    <w:r>
      <w:rPr/>
      <w:pict>
        <v:shape style="position:absolute;margin-left:533.179993pt;margin-top:794.545593pt;width:6.5pt;height:11pt;mso-position-horizontal-relative:page;mso-position-vertical-relative:page;z-index:-9184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18472" type="#_x0000_t75" stroked="false">
          <v:imagedata r:id="rId1" o:title=""/>
        </v:shape>
      </w:pict>
    </w:r>
    <w:r>
      <w:rPr/>
      <w:pict>
        <v:shape style="position:absolute;margin-left:523.179993pt;margin-top:780.925598pt;width:17.5pt;height:11pt;mso-position-horizontal-relative:page;mso-position-vertical-relative:page;z-index:-91844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60004pt;margin-top:36.325607pt;width:177.55pt;height:11pt;mso-position-horizontal-relative:page;mso-position-vertical-relative:page;z-index:-9185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光一科技股份有限公司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94"/>
      <w:ind w:left="1133"/>
    </w:pPr>
    <w:rPr>
      <w:rFonts w:ascii="宋体" w:hAnsi="宋体" w:eastAsia="宋体"/>
      <w:sz w:val="24"/>
      <w:szCs w:val="24"/>
    </w:rPr>
  </w:style>
  <w:style w:styleId="BodyText" w:type="paragraph">
    <w:name w:val="Body Text"/>
    <w:basedOn w:val="Normal"/>
    <w:uiPriority w:val="1"/>
    <w:qFormat/>
    <w:pPr>
      <w:ind w:left="1133"/>
    </w:pPr>
    <w:rPr>
      <w:rFonts w:ascii="宋体" w:hAnsi="宋体" w:eastAsia="宋体"/>
      <w:sz w:val="21"/>
      <w:szCs w:val="21"/>
    </w:rPr>
  </w:style>
  <w:style w:styleId="Heading1" w:type="paragraph">
    <w:name w:val="Heading 1"/>
    <w:basedOn w:val="Normal"/>
    <w:uiPriority w:val="1"/>
    <w:qFormat/>
    <w:pPr>
      <w:spacing w:before="1"/>
      <w:ind w:left="1130"/>
      <w:outlineLvl w:val="1"/>
    </w:pPr>
    <w:rPr>
      <w:rFonts w:ascii="宋体" w:hAnsi="宋体" w:eastAsia="宋体"/>
      <w:b/>
      <w:bCs/>
      <w:sz w:val="32"/>
      <w:szCs w:val="32"/>
    </w:rPr>
  </w:style>
  <w:style w:styleId="Heading2" w:type="paragraph">
    <w:name w:val="Heading 2"/>
    <w:basedOn w:val="Normal"/>
    <w:uiPriority w:val="1"/>
    <w:qFormat/>
    <w:pPr>
      <w:spacing w:before="170"/>
      <w:ind w:left="1133"/>
      <w:outlineLvl w:val="2"/>
    </w:pPr>
    <w:rPr>
      <w:rFonts w:ascii="宋体" w:hAnsi="宋体" w:eastAsia="宋体"/>
      <w:b/>
      <w:bCs/>
      <w:sz w:val="24"/>
      <w:szCs w:val="24"/>
    </w:rPr>
  </w:style>
  <w:style w:styleId="Heading3" w:type="paragraph">
    <w:name w:val="Heading 3"/>
    <w:basedOn w:val="Normal"/>
    <w:uiPriority w:val="1"/>
    <w:qFormat/>
    <w:pPr>
      <w:spacing w:before="36"/>
      <w:ind w:left="1133"/>
      <w:outlineLvl w:val="3"/>
    </w:pPr>
    <w:rPr>
      <w:rFonts w:ascii="宋体" w:hAnsi="宋体" w:eastAsia="宋体"/>
      <w:sz w:val="24"/>
      <w:szCs w:val="24"/>
    </w:rPr>
  </w:style>
  <w:style w:styleId="Heading4" w:type="paragraph">
    <w:name w:val="Heading 4"/>
    <w:basedOn w:val="Normal"/>
    <w:uiPriority w:val="1"/>
    <w:qFormat/>
    <w:pPr>
      <w:spacing w:before="46"/>
      <w:ind w:left="113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elefirst.com/" TargetMode="External"/><Relationship Id="rId10" Type="http://schemas.openxmlformats.org/officeDocument/2006/relationships/hyperlink" Target="mailto:elefirst@elefirst.com" TargetMode="External"/><Relationship Id="rId11" Type="http://schemas.openxmlformats.org/officeDocument/2006/relationships/hyperlink" Target="http://www.cninfo.com.cn/" TargetMode="External"/><Relationship Id="rId12"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光一科技股份有限公司</dc:creator>
  <dc:title>光一科技股份有限公司2015年年度报告全文</dc:title>
  <dcterms:created xsi:type="dcterms:W3CDTF">2020-05-04T16:46:27Z</dcterms:created>
  <dcterms:modified xsi:type="dcterms:W3CDTF">2020-05-04T16:46:27Z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2016-04-13T00:00:00Z</vt:filetime>
  </property>
  <property fmtid="{D5CDD505-2E9C-101B-9397-08002B2CF9AE}" pid="3" name="Creator">
    <vt:lpwstr>Microsoft® Office Word 2007</vt:lpwstr>
  </property>
  <property fmtid="{D5CDD505-2E9C-101B-9397-08002B2CF9AE}" pid="4" name="LastSaved">
    <vt:filetime>2020-05-04T00:00:00Z</vt:filetime>
  </property>
</Properties>
</file>